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19A70" w14:textId="0F845C29" w:rsidR="00A71EB9" w:rsidRDefault="005F4D5E" w:rsidP="00A71EB9">
      <w:pPr>
        <w:pStyle w:val="Default"/>
        <w:jc w:val="center"/>
        <w:rPr>
          <w:b/>
          <w:iCs/>
        </w:rPr>
      </w:pPr>
      <w:bookmarkStart w:id="0" w:name="_Toc43041668"/>
      <w:bookmarkStart w:id="1" w:name="_Toc43045110"/>
      <w:r>
        <w:rPr>
          <w:b/>
          <w:bCs/>
          <w:sz w:val="28"/>
          <w:szCs w:val="28"/>
        </w:rPr>
        <w:t xml:space="preserve"> </w:t>
      </w:r>
      <w:r w:rsidR="00A71EB9">
        <w:rPr>
          <w:b/>
          <w:bCs/>
          <w:sz w:val="28"/>
          <w:szCs w:val="28"/>
        </w:rPr>
        <w:t>UNIVERSITY OF WAIKATO</w:t>
      </w:r>
    </w:p>
    <w:p w14:paraId="6C9E67B8" w14:textId="77777777" w:rsidR="00A71EB9" w:rsidRDefault="00A71EB9" w:rsidP="00A71EB9">
      <w:pPr>
        <w:pStyle w:val="Default"/>
        <w:jc w:val="center"/>
        <w:rPr>
          <w:b/>
          <w:bCs/>
          <w:sz w:val="28"/>
          <w:szCs w:val="28"/>
        </w:rPr>
      </w:pPr>
      <w:r>
        <w:rPr>
          <w:b/>
          <w:bCs/>
          <w:sz w:val="28"/>
          <w:szCs w:val="28"/>
        </w:rPr>
        <w:br/>
        <w:t>Hamilton</w:t>
      </w:r>
    </w:p>
    <w:p w14:paraId="13FDDE0F" w14:textId="77777777" w:rsidR="00A71EB9" w:rsidRDefault="00A71EB9" w:rsidP="00A71EB9">
      <w:pPr>
        <w:pStyle w:val="CM1"/>
        <w:spacing w:line="240" w:lineRule="auto"/>
        <w:jc w:val="center"/>
        <w:rPr>
          <w:b/>
          <w:bCs/>
          <w:sz w:val="28"/>
          <w:szCs w:val="28"/>
        </w:rPr>
      </w:pPr>
      <w:r>
        <w:rPr>
          <w:b/>
          <w:bCs/>
          <w:sz w:val="28"/>
          <w:szCs w:val="28"/>
        </w:rPr>
        <w:t xml:space="preserve">New Zealand </w:t>
      </w:r>
    </w:p>
    <w:p w14:paraId="0D3C9256" w14:textId="77777777" w:rsidR="00A71EB9" w:rsidRDefault="00A71EB9" w:rsidP="00A71EB9">
      <w:pPr>
        <w:pStyle w:val="Default"/>
      </w:pPr>
    </w:p>
    <w:p w14:paraId="67C69926" w14:textId="77777777" w:rsidR="00A71EB9" w:rsidRDefault="00A71EB9" w:rsidP="00A71EB9">
      <w:pPr>
        <w:pStyle w:val="Default"/>
      </w:pPr>
    </w:p>
    <w:p w14:paraId="48EE3194" w14:textId="77777777" w:rsidR="00A71EB9" w:rsidRDefault="00A71EB9" w:rsidP="00A71EB9">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148A5114" w14:textId="27F77939" w:rsidR="00D9307F" w:rsidRPr="00D9307F" w:rsidRDefault="00D9307F" w:rsidP="00D9307F">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Cs/>
          <w:sz w:val="28"/>
          <w:szCs w:val="28"/>
          <w:lang w:val="en-NZ"/>
        </w:rPr>
      </w:pPr>
      <w:r w:rsidRPr="00D9307F">
        <w:rPr>
          <w:rFonts w:ascii="Times New Roman" w:hAnsi="Times New Roman"/>
          <w:bCs/>
          <w:sz w:val="28"/>
          <w:szCs w:val="28"/>
          <w:lang w:val="en-NZ"/>
        </w:rPr>
        <w:t>Does economic openness matter in the impact of financial development on income inequality?</w:t>
      </w:r>
    </w:p>
    <w:p w14:paraId="552A7AB7" w14:textId="19553001" w:rsidR="00A71EB9" w:rsidRPr="00085A2A" w:rsidRDefault="00085A2A" w:rsidP="00D9307F">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Cs/>
          <w:sz w:val="28"/>
          <w:szCs w:val="28"/>
        </w:rPr>
      </w:pPr>
      <w:r w:rsidRPr="00085A2A">
        <w:rPr>
          <w:rFonts w:ascii="Times New Roman" w:hAnsi="Times New Roman"/>
          <w:bCs/>
          <w:sz w:val="28"/>
          <w:szCs w:val="28"/>
        </w:rPr>
        <w:t xml:space="preserve"> </w:t>
      </w:r>
    </w:p>
    <w:p w14:paraId="59B294B9" w14:textId="08236E96" w:rsidR="00A71EB9" w:rsidRDefault="00A75625" w:rsidP="00A71EB9">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sz w:val="28"/>
          <w:szCs w:val="28"/>
        </w:rPr>
      </w:pPr>
      <w:r>
        <w:rPr>
          <w:rFonts w:ascii="Times New Roman" w:hAnsi="Times New Roman"/>
          <w:sz w:val="28"/>
          <w:szCs w:val="28"/>
        </w:rPr>
        <w:t xml:space="preserve">Roya </w:t>
      </w:r>
      <w:proofErr w:type="spellStart"/>
      <w:r>
        <w:rPr>
          <w:rFonts w:ascii="Times New Roman" w:hAnsi="Times New Roman"/>
          <w:sz w:val="28"/>
          <w:szCs w:val="28"/>
        </w:rPr>
        <w:t>Taherifar</w:t>
      </w:r>
      <w:proofErr w:type="spellEnd"/>
      <w:r w:rsidR="00A47099">
        <w:rPr>
          <w:rFonts w:ascii="Times New Roman" w:hAnsi="Times New Roman"/>
          <w:sz w:val="28"/>
          <w:szCs w:val="28"/>
        </w:rPr>
        <w:t xml:space="preserve">, </w:t>
      </w:r>
      <w:r>
        <w:rPr>
          <w:rFonts w:ascii="Times New Roman" w:hAnsi="Times New Roman"/>
          <w:sz w:val="28"/>
          <w:szCs w:val="28"/>
        </w:rPr>
        <w:t xml:space="preserve">Mark J. Holmes </w:t>
      </w:r>
      <w:r w:rsidR="00A47099">
        <w:rPr>
          <w:rFonts w:ascii="Times New Roman" w:hAnsi="Times New Roman"/>
          <w:sz w:val="28"/>
          <w:szCs w:val="28"/>
        </w:rPr>
        <w:t xml:space="preserve">and </w:t>
      </w:r>
      <w:r>
        <w:rPr>
          <w:rFonts w:ascii="Times New Roman" w:hAnsi="Times New Roman"/>
          <w:sz w:val="28"/>
          <w:szCs w:val="28"/>
        </w:rPr>
        <w:t>Gazi M. Hassan</w:t>
      </w:r>
    </w:p>
    <w:p w14:paraId="330059AB" w14:textId="77777777" w:rsidR="00A71EB9" w:rsidRDefault="00A71EB9" w:rsidP="00A71EB9">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val="0"/>
          <w:bCs/>
          <w:sz w:val="28"/>
          <w:szCs w:val="28"/>
        </w:rPr>
      </w:pPr>
      <w:r>
        <w:rPr>
          <w:rFonts w:ascii="Times New Roman" w:hAnsi="Times New Roman"/>
          <w:bCs/>
          <w:sz w:val="28"/>
          <w:szCs w:val="28"/>
        </w:rPr>
        <w:t xml:space="preserve"> </w:t>
      </w:r>
    </w:p>
    <w:p w14:paraId="2F7CD482" w14:textId="77777777" w:rsidR="00A71EB9" w:rsidRDefault="00A71EB9" w:rsidP="00A71EB9">
      <w:pPr>
        <w:rPr>
          <w:rFonts w:ascii="Times New Roman" w:hAnsi="Times New Roman"/>
          <w:szCs w:val="24"/>
          <w:lang w:val="en-US" w:eastAsia="ko-KR"/>
        </w:rPr>
      </w:pPr>
    </w:p>
    <w:p w14:paraId="62F13B78" w14:textId="7C0A971B" w:rsidR="00A71EB9" w:rsidRDefault="00A71EB9" w:rsidP="00C354E9">
      <w:pPr>
        <w:pStyle w:val="CM22"/>
        <w:spacing w:after="0"/>
        <w:jc w:val="center"/>
        <w:rPr>
          <w:b/>
          <w:bCs/>
          <w:sz w:val="28"/>
          <w:szCs w:val="28"/>
        </w:rPr>
      </w:pPr>
      <w:r>
        <w:rPr>
          <w:b/>
          <w:bCs/>
          <w:sz w:val="28"/>
          <w:szCs w:val="28"/>
        </w:rPr>
        <w:t xml:space="preserve">Working Paper in Economics </w:t>
      </w:r>
      <w:r w:rsidR="006560E0">
        <w:rPr>
          <w:b/>
          <w:bCs/>
          <w:sz w:val="28"/>
          <w:szCs w:val="28"/>
        </w:rPr>
        <w:t>4/23</w:t>
      </w:r>
    </w:p>
    <w:p w14:paraId="5B8345EE" w14:textId="77777777" w:rsidR="00A71EB9" w:rsidRDefault="00A71EB9" w:rsidP="00A71EB9">
      <w:pPr>
        <w:pStyle w:val="CM22"/>
        <w:spacing w:after="0"/>
        <w:jc w:val="center"/>
        <w:rPr>
          <w:b/>
          <w:bCs/>
          <w:sz w:val="28"/>
          <w:szCs w:val="28"/>
        </w:rPr>
      </w:pPr>
    </w:p>
    <w:p w14:paraId="561EA569" w14:textId="446B689D" w:rsidR="00A71EB9" w:rsidRDefault="00085A2A" w:rsidP="00A71EB9">
      <w:pPr>
        <w:pStyle w:val="CM22"/>
        <w:spacing w:after="0"/>
        <w:jc w:val="center"/>
        <w:rPr>
          <w:sz w:val="28"/>
          <w:szCs w:val="28"/>
        </w:rPr>
      </w:pPr>
      <w:r>
        <w:rPr>
          <w:sz w:val="28"/>
          <w:szCs w:val="28"/>
        </w:rPr>
        <w:t>April</w:t>
      </w:r>
      <w:r w:rsidR="00A71EB9">
        <w:rPr>
          <w:sz w:val="28"/>
          <w:szCs w:val="28"/>
        </w:rPr>
        <w:t xml:space="preserve"> 202</w:t>
      </w:r>
      <w:r>
        <w:rPr>
          <w:sz w:val="28"/>
          <w:szCs w:val="28"/>
        </w:rPr>
        <w:t>3</w:t>
      </w:r>
    </w:p>
    <w:p w14:paraId="6288EA2C" w14:textId="78E45CA7" w:rsidR="00A71EB9" w:rsidRDefault="00A71EB9" w:rsidP="00A71EB9">
      <w:pPr>
        <w:pStyle w:val="Default"/>
      </w:pPr>
    </w:p>
    <w:p w14:paraId="398C8DF9" w14:textId="77777777" w:rsidR="00A71EB9" w:rsidRDefault="00A71EB9" w:rsidP="00A71EB9">
      <w:pPr>
        <w:pStyle w:val="Default"/>
        <w:jc w:val="center"/>
      </w:pPr>
    </w:p>
    <w:p w14:paraId="0E0A34F3" w14:textId="1129E323" w:rsidR="000345D8" w:rsidRDefault="00A71EB9" w:rsidP="000345D8">
      <w:pPr>
        <w:pStyle w:val="Default"/>
        <w:jc w:val="center"/>
        <w:rPr>
          <w:i/>
        </w:rPr>
      </w:pPr>
      <w:r>
        <w:rPr>
          <w:i/>
        </w:rPr>
        <w:t>Correspondin</w:t>
      </w:r>
      <w:r w:rsidR="000345D8">
        <w:rPr>
          <w:i/>
        </w:rPr>
        <w:t xml:space="preserve">g </w:t>
      </w:r>
      <w:r>
        <w:rPr>
          <w:i/>
        </w:rPr>
        <w:t>Author</w:t>
      </w:r>
    </w:p>
    <w:p w14:paraId="205C0DD9" w14:textId="62D9E860" w:rsidR="002642BF" w:rsidRDefault="002642BF" w:rsidP="00A71EB9">
      <w:pPr>
        <w:pStyle w:val="Default"/>
        <w:jc w:val="center"/>
        <w:rPr>
          <w:iCs/>
        </w:rPr>
      </w:pPr>
    </w:p>
    <w:p w14:paraId="5CB48E3A" w14:textId="0C30B920" w:rsidR="002642BF" w:rsidRDefault="00243C25" w:rsidP="00A71EB9">
      <w:pPr>
        <w:pStyle w:val="Default"/>
        <w:jc w:val="center"/>
        <w:rPr>
          <w:b/>
          <w:bCs/>
          <w:iCs/>
        </w:rPr>
      </w:pPr>
      <w:r>
        <w:rPr>
          <w:b/>
          <w:bCs/>
          <w:iCs/>
        </w:rPr>
        <w:t xml:space="preserve">Roya </w:t>
      </w:r>
      <w:proofErr w:type="spellStart"/>
      <w:r>
        <w:rPr>
          <w:b/>
          <w:bCs/>
          <w:iCs/>
        </w:rPr>
        <w:t>Taherifar</w:t>
      </w:r>
      <w:proofErr w:type="spellEnd"/>
    </w:p>
    <w:p w14:paraId="5DBC739A" w14:textId="77777777" w:rsidR="00830BB9" w:rsidRDefault="00830BB9" w:rsidP="00A71EB9">
      <w:pPr>
        <w:pStyle w:val="Default"/>
        <w:jc w:val="center"/>
        <w:rPr>
          <w:iCs/>
        </w:rPr>
      </w:pPr>
      <w:r>
        <w:rPr>
          <w:iCs/>
        </w:rPr>
        <w:t>School of Accounting, Finance and Economics</w:t>
      </w:r>
    </w:p>
    <w:p w14:paraId="7D1AC21C" w14:textId="46D1126B" w:rsidR="002642BF" w:rsidRDefault="002642BF" w:rsidP="00A71EB9">
      <w:pPr>
        <w:pStyle w:val="Default"/>
        <w:jc w:val="center"/>
        <w:rPr>
          <w:iCs/>
        </w:rPr>
      </w:pPr>
      <w:r>
        <w:rPr>
          <w:iCs/>
        </w:rPr>
        <w:t>University of Waikato</w:t>
      </w:r>
    </w:p>
    <w:p w14:paraId="715D2D85" w14:textId="4F57EDBB" w:rsidR="002642BF" w:rsidRDefault="002642BF" w:rsidP="00A71EB9">
      <w:pPr>
        <w:pStyle w:val="Default"/>
        <w:jc w:val="center"/>
        <w:rPr>
          <w:iCs/>
        </w:rPr>
      </w:pPr>
      <w:r>
        <w:rPr>
          <w:iCs/>
        </w:rPr>
        <w:t>Private Bag 3105</w:t>
      </w:r>
    </w:p>
    <w:p w14:paraId="7B48044F" w14:textId="32F81323" w:rsidR="002642BF" w:rsidRDefault="00B61941" w:rsidP="00A71EB9">
      <w:pPr>
        <w:pStyle w:val="Default"/>
        <w:jc w:val="center"/>
        <w:rPr>
          <w:iCs/>
        </w:rPr>
      </w:pPr>
      <w:r>
        <w:rPr>
          <w:iCs/>
        </w:rPr>
        <w:t>Hamilton 3240</w:t>
      </w:r>
    </w:p>
    <w:p w14:paraId="48D2EA6C" w14:textId="2AB10394" w:rsidR="002642BF" w:rsidRDefault="002642BF" w:rsidP="00A71EB9">
      <w:pPr>
        <w:pStyle w:val="Default"/>
        <w:jc w:val="center"/>
        <w:rPr>
          <w:iCs/>
        </w:rPr>
      </w:pPr>
      <w:r>
        <w:rPr>
          <w:iCs/>
        </w:rPr>
        <w:t>New Zealand</w:t>
      </w:r>
    </w:p>
    <w:p w14:paraId="63E30B1F" w14:textId="77777777" w:rsidR="00DE375C" w:rsidRDefault="00DE375C" w:rsidP="00A71EB9">
      <w:pPr>
        <w:pStyle w:val="Default"/>
        <w:jc w:val="center"/>
        <w:rPr>
          <w:iCs/>
        </w:rPr>
      </w:pPr>
    </w:p>
    <w:p w14:paraId="0EDE0CD5" w14:textId="0336977F" w:rsidR="00F64F99" w:rsidRDefault="00F64F99" w:rsidP="00A71EB9">
      <w:pPr>
        <w:pStyle w:val="Default"/>
        <w:jc w:val="center"/>
        <w:rPr>
          <w:iCs/>
        </w:rPr>
      </w:pPr>
      <w:r>
        <w:rPr>
          <w:bCs/>
        </w:rPr>
        <w:t xml:space="preserve">Email: </w:t>
      </w:r>
      <w:r w:rsidR="00243C25">
        <w:rPr>
          <w:bCs/>
        </w:rPr>
        <w:t>rt228</w:t>
      </w:r>
      <w:r>
        <w:rPr>
          <w:bCs/>
        </w:rPr>
        <w:t>@students.waikato.ac.nz</w:t>
      </w:r>
    </w:p>
    <w:p w14:paraId="1FFA0C2A" w14:textId="77777777" w:rsidR="002642BF" w:rsidRPr="002642BF" w:rsidRDefault="002642BF" w:rsidP="00A71EB9">
      <w:pPr>
        <w:pStyle w:val="Default"/>
        <w:jc w:val="center"/>
        <w:rPr>
          <w:iCs/>
        </w:rPr>
      </w:pPr>
    </w:p>
    <w:tbl>
      <w:tblPr>
        <w:tblW w:w="0" w:type="auto"/>
        <w:jc w:val="center"/>
        <w:tblLook w:val="04A0" w:firstRow="1" w:lastRow="0" w:firstColumn="1" w:lastColumn="0" w:noHBand="0" w:noVBand="1"/>
      </w:tblPr>
      <w:tblGrid>
        <w:gridCol w:w="6946"/>
      </w:tblGrid>
      <w:tr w:rsidR="00A71EB9" w14:paraId="7CC0B119" w14:textId="77777777" w:rsidTr="00754F52">
        <w:trPr>
          <w:jc w:val="center"/>
        </w:trPr>
        <w:tc>
          <w:tcPr>
            <w:tcW w:w="6946" w:type="dxa"/>
          </w:tcPr>
          <w:p w14:paraId="1609A063" w14:textId="77777777" w:rsidR="00A71EB9" w:rsidRDefault="00A71EB9" w:rsidP="00754F52">
            <w:pPr>
              <w:pStyle w:val="CM4"/>
              <w:spacing w:line="240" w:lineRule="auto"/>
              <w:jc w:val="center"/>
              <w:rPr>
                <w:b/>
                <w:sz w:val="8"/>
                <w:szCs w:val="8"/>
              </w:rPr>
            </w:pPr>
          </w:p>
          <w:p w14:paraId="45282AED" w14:textId="77777777" w:rsidR="00243C25" w:rsidRDefault="00243C25" w:rsidP="00243C25">
            <w:pPr>
              <w:pStyle w:val="CM4"/>
              <w:spacing w:line="240" w:lineRule="auto"/>
              <w:jc w:val="center"/>
              <w:rPr>
                <w:b/>
                <w:bCs/>
              </w:rPr>
            </w:pPr>
            <w:r>
              <w:rPr>
                <w:b/>
                <w:bCs/>
              </w:rPr>
              <w:t>Mark J. Holmes</w:t>
            </w:r>
          </w:p>
          <w:p w14:paraId="31039ED0" w14:textId="77777777" w:rsidR="00243C25" w:rsidRDefault="00243C25" w:rsidP="00243C25">
            <w:pPr>
              <w:pStyle w:val="Default"/>
              <w:jc w:val="center"/>
              <w:rPr>
                <w:iCs/>
              </w:rPr>
            </w:pPr>
            <w:r>
              <w:rPr>
                <w:iCs/>
              </w:rPr>
              <w:t>School of Accounting, Finance and Economics</w:t>
            </w:r>
          </w:p>
          <w:p w14:paraId="72F06DCC" w14:textId="77777777" w:rsidR="00243C25" w:rsidRDefault="00243C25" w:rsidP="00243C25">
            <w:pPr>
              <w:pStyle w:val="Default"/>
              <w:jc w:val="center"/>
              <w:rPr>
                <w:iCs/>
              </w:rPr>
            </w:pPr>
            <w:r>
              <w:rPr>
                <w:iCs/>
              </w:rPr>
              <w:t>University of Waikato</w:t>
            </w:r>
          </w:p>
          <w:p w14:paraId="0CB11BF4" w14:textId="77777777" w:rsidR="00243C25" w:rsidRDefault="00243C25" w:rsidP="00243C25">
            <w:pPr>
              <w:pStyle w:val="CM23"/>
              <w:spacing w:after="0"/>
              <w:jc w:val="center"/>
            </w:pPr>
            <w:r>
              <w:t>Hamilton 3240</w:t>
            </w:r>
          </w:p>
          <w:p w14:paraId="018A2866" w14:textId="77777777" w:rsidR="00243C25" w:rsidRDefault="00243C25" w:rsidP="00243C25">
            <w:pPr>
              <w:pStyle w:val="CM4"/>
              <w:spacing w:line="240" w:lineRule="auto"/>
              <w:jc w:val="center"/>
            </w:pPr>
            <w:r>
              <w:t>New Zealand</w:t>
            </w:r>
          </w:p>
          <w:p w14:paraId="2C3C92D8" w14:textId="77777777" w:rsidR="00243C25" w:rsidRPr="00247734" w:rsidRDefault="00243C25" w:rsidP="00243C25">
            <w:pPr>
              <w:pStyle w:val="Default"/>
              <w:jc w:val="center"/>
              <w:rPr>
                <w:sz w:val="6"/>
                <w:szCs w:val="6"/>
                <w:lang w:val="en-US" w:eastAsia="en-US"/>
              </w:rPr>
            </w:pPr>
          </w:p>
          <w:p w14:paraId="2ADA2E61" w14:textId="77777777" w:rsidR="00243C25" w:rsidRDefault="00243C25" w:rsidP="00243C25">
            <w:pPr>
              <w:pStyle w:val="Default"/>
              <w:spacing w:line="256" w:lineRule="auto"/>
              <w:jc w:val="center"/>
              <w:rPr>
                <w:sz w:val="6"/>
                <w:szCs w:val="6"/>
                <w:lang w:val="en-US" w:eastAsia="ko-KR"/>
              </w:rPr>
            </w:pPr>
          </w:p>
          <w:p w14:paraId="1DB4892B" w14:textId="77777777" w:rsidR="00243C25" w:rsidRDefault="00243C25" w:rsidP="00243C25">
            <w:pPr>
              <w:pStyle w:val="CM4"/>
              <w:spacing w:line="240" w:lineRule="auto"/>
              <w:jc w:val="center"/>
              <w:rPr>
                <w:b/>
              </w:rPr>
            </w:pPr>
            <w:r>
              <w:rPr>
                <w:bCs/>
              </w:rPr>
              <w:t xml:space="preserve">Email: </w:t>
            </w:r>
            <w:r w:rsidRPr="00EE2833">
              <w:rPr>
                <w:rFonts w:asciiTheme="majorBidi" w:hAnsiTheme="majorBidi" w:cstheme="majorBidi"/>
                <w:color w:val="353535"/>
                <w:shd w:val="clear" w:color="auto" w:fill="FFFFFF"/>
              </w:rPr>
              <w:t>holmesmj@waikato.ac.nz</w:t>
            </w:r>
            <w:r>
              <w:rPr>
                <w:b/>
              </w:rPr>
              <w:t xml:space="preserve"> </w:t>
            </w:r>
          </w:p>
          <w:p w14:paraId="1DD196F4" w14:textId="77777777" w:rsidR="00243C25" w:rsidRDefault="00243C25" w:rsidP="00243C25">
            <w:pPr>
              <w:pStyle w:val="CM4"/>
              <w:spacing w:line="240" w:lineRule="auto"/>
              <w:jc w:val="center"/>
              <w:rPr>
                <w:b/>
              </w:rPr>
            </w:pPr>
          </w:p>
          <w:p w14:paraId="0A5AAD7E" w14:textId="31FEFA35" w:rsidR="00A71EB9" w:rsidRDefault="00754F52" w:rsidP="00243C25">
            <w:pPr>
              <w:pStyle w:val="CM4"/>
              <w:spacing w:line="240" w:lineRule="auto"/>
              <w:jc w:val="center"/>
              <w:rPr>
                <w:b/>
              </w:rPr>
            </w:pPr>
            <w:r>
              <w:rPr>
                <w:b/>
              </w:rPr>
              <w:t>Gazi M. Hassan</w:t>
            </w:r>
          </w:p>
          <w:p w14:paraId="4491A5A9" w14:textId="77777777" w:rsidR="00435CEF" w:rsidRDefault="00435CEF" w:rsidP="00435CEF">
            <w:pPr>
              <w:pStyle w:val="Default"/>
              <w:jc w:val="center"/>
              <w:rPr>
                <w:iCs/>
              </w:rPr>
            </w:pPr>
            <w:r>
              <w:rPr>
                <w:iCs/>
              </w:rPr>
              <w:t>School of Accounting, Finance and Economics</w:t>
            </w:r>
          </w:p>
          <w:p w14:paraId="1A16103E" w14:textId="77777777" w:rsidR="002642BF" w:rsidRDefault="002642BF" w:rsidP="002642BF">
            <w:pPr>
              <w:pStyle w:val="Default"/>
              <w:jc w:val="center"/>
              <w:rPr>
                <w:iCs/>
              </w:rPr>
            </w:pPr>
            <w:r>
              <w:rPr>
                <w:iCs/>
              </w:rPr>
              <w:t>University of Waikato</w:t>
            </w:r>
          </w:p>
          <w:p w14:paraId="048EBDC3" w14:textId="27411B96" w:rsidR="00A71EB9" w:rsidRDefault="00A71EB9" w:rsidP="00754F52">
            <w:pPr>
              <w:pStyle w:val="CM23"/>
              <w:spacing w:after="0"/>
              <w:jc w:val="center"/>
            </w:pPr>
            <w:r>
              <w:t>Hamilton</w:t>
            </w:r>
            <w:r w:rsidR="00B61941">
              <w:t xml:space="preserve"> 3240</w:t>
            </w:r>
          </w:p>
          <w:p w14:paraId="731288E0" w14:textId="4F7A58CE" w:rsidR="00A71EB9" w:rsidRDefault="00A71EB9" w:rsidP="002642BF">
            <w:pPr>
              <w:pStyle w:val="CM4"/>
              <w:spacing w:line="240" w:lineRule="auto"/>
              <w:jc w:val="center"/>
            </w:pPr>
            <w:r>
              <w:t>New Zealand</w:t>
            </w:r>
            <w:r w:rsidR="002642BF">
              <w:t xml:space="preserve"> </w:t>
            </w:r>
          </w:p>
          <w:p w14:paraId="2919EB91" w14:textId="77777777" w:rsidR="00A71EB9" w:rsidRPr="00247734" w:rsidRDefault="00A71EB9" w:rsidP="00754F52">
            <w:pPr>
              <w:pStyle w:val="Default"/>
              <w:rPr>
                <w:sz w:val="6"/>
                <w:szCs w:val="6"/>
                <w:lang w:val="en-US" w:eastAsia="en-US"/>
              </w:rPr>
            </w:pPr>
          </w:p>
          <w:p w14:paraId="24557044" w14:textId="5ABDB1AF" w:rsidR="00A71EB9" w:rsidRPr="00243C25" w:rsidRDefault="00A71EB9" w:rsidP="00243C25">
            <w:pPr>
              <w:pStyle w:val="CM4"/>
              <w:spacing w:line="240" w:lineRule="auto"/>
              <w:jc w:val="center"/>
              <w:rPr>
                <w:rFonts w:asciiTheme="majorBidi" w:hAnsiTheme="majorBidi" w:cstheme="majorBidi"/>
                <w:b/>
                <w:bCs/>
              </w:rPr>
            </w:pPr>
            <w:r>
              <w:rPr>
                <w:bCs/>
              </w:rPr>
              <w:t xml:space="preserve">Email: </w:t>
            </w:r>
            <w:r w:rsidR="00754F52" w:rsidRPr="00754F52">
              <w:rPr>
                <w:rFonts w:asciiTheme="majorBidi" w:hAnsiTheme="majorBidi" w:cstheme="majorBidi"/>
                <w:color w:val="353535"/>
                <w:shd w:val="clear" w:color="auto" w:fill="FFFFFF"/>
              </w:rPr>
              <w:t>gmhassan@waikato.ac.nz</w:t>
            </w:r>
          </w:p>
        </w:tc>
      </w:tr>
    </w:tbl>
    <w:p w14:paraId="007618E9" w14:textId="77777777" w:rsidR="00FE7754" w:rsidRPr="00FE7754" w:rsidRDefault="00FE7754" w:rsidP="00FA4293">
      <w:pPr>
        <w:ind w:firstLine="0"/>
      </w:pPr>
    </w:p>
    <w:p w14:paraId="49CCF857" w14:textId="77777777" w:rsidR="00FA4293" w:rsidRPr="00FA4293" w:rsidRDefault="00FA4293" w:rsidP="009F4FB6">
      <w:pPr>
        <w:ind w:firstLine="0"/>
      </w:pPr>
    </w:p>
    <w:p w14:paraId="168FEACD" w14:textId="71650C16" w:rsidR="002D504C" w:rsidRDefault="002D504C" w:rsidP="00A471C8">
      <w:pPr>
        <w:pStyle w:val="Heading2"/>
        <w:spacing w:line="360" w:lineRule="auto"/>
        <w:jc w:val="center"/>
      </w:pPr>
      <w:r>
        <w:rPr>
          <w:bCs/>
          <w:szCs w:val="24"/>
        </w:rPr>
        <w:t>Abstract</w:t>
      </w:r>
    </w:p>
    <w:p w14:paraId="0B4DB340" w14:textId="77777777" w:rsidR="00D9307F" w:rsidRPr="00D9307F" w:rsidRDefault="00D9307F" w:rsidP="00D9307F">
      <w:pPr>
        <w:ind w:firstLine="0"/>
        <w:rPr>
          <w:rFonts w:cstheme="majorBidi"/>
          <w:szCs w:val="24"/>
        </w:rPr>
      </w:pPr>
      <w:bookmarkStart w:id="2" w:name="_Toc43041669"/>
      <w:bookmarkStart w:id="3" w:name="_Toc43045111"/>
      <w:bookmarkEnd w:id="0"/>
      <w:bookmarkEnd w:id="1"/>
      <w:r w:rsidRPr="00D9307F">
        <w:rPr>
          <w:rFonts w:cstheme="majorBidi"/>
          <w:szCs w:val="24"/>
        </w:rPr>
        <w:t>Despite increasing academic attention on the income distributional impact of financial development, the debate has remained controversial. Hence, this study argues that economic openness to international trade and capital flows may impact the nexus between financial development and income inequality. Using a panel of 71 developing and developed countries for 1994–2017, we first use split-sampling and interaction analyses to examine the role of the country's level of openness on the relationship between financial development and income inequality. However, these two approaches do not provide specific information on the threshold value, if any, at which the effect changes. For this reason, we also employ the dynamic panel threshold method to investigate whether a financial or trade openness threshold exists beyond which financial development worsens income inequality. We find evidence that financial development generally fosters income inequality, but the level of financial and trade openness impacts the inequality effect of financial development. Our results assert that a higher level of financial and trade openness strengthens the pro-inequality impact of financial development.</w:t>
      </w:r>
    </w:p>
    <w:p w14:paraId="3BB7D722" w14:textId="26D354E1" w:rsidR="008422C4" w:rsidRPr="008422C4" w:rsidRDefault="008422C4" w:rsidP="008422C4">
      <w:pPr>
        <w:ind w:firstLine="0"/>
        <w:rPr>
          <w:rFonts w:cstheme="majorBidi"/>
          <w:szCs w:val="24"/>
        </w:rPr>
      </w:pPr>
    </w:p>
    <w:p w14:paraId="314363D7" w14:textId="53DF4580" w:rsidR="004C6C80" w:rsidRDefault="004C6C80" w:rsidP="004C6C80">
      <w:pPr>
        <w:spacing w:after="0" w:line="240" w:lineRule="auto"/>
        <w:jc w:val="center"/>
        <w:rPr>
          <w:rFonts w:ascii="Times New Roman" w:hAnsi="Times New Roman" w:cs="Times New Roman"/>
          <w:b/>
          <w:bCs/>
          <w:szCs w:val="24"/>
          <w:lang w:val="en-US"/>
        </w:rPr>
      </w:pPr>
      <w:r w:rsidRPr="00A82ADF">
        <w:rPr>
          <w:rFonts w:ascii="Times New Roman" w:hAnsi="Times New Roman" w:cs="Times New Roman"/>
          <w:b/>
          <w:bCs/>
          <w:szCs w:val="24"/>
          <w:lang w:val="en-US"/>
        </w:rPr>
        <w:t>Keyword</w:t>
      </w:r>
      <w:r>
        <w:rPr>
          <w:rFonts w:ascii="Times New Roman" w:hAnsi="Times New Roman" w:cs="Times New Roman"/>
          <w:b/>
          <w:bCs/>
          <w:szCs w:val="24"/>
          <w:lang w:val="en-US"/>
        </w:rPr>
        <w:t>s</w:t>
      </w:r>
    </w:p>
    <w:p w14:paraId="10943DEA" w14:textId="77777777" w:rsidR="004C6C80" w:rsidRPr="004C6C80" w:rsidRDefault="004C6C80" w:rsidP="004C6C80">
      <w:pPr>
        <w:spacing w:after="0" w:line="240" w:lineRule="auto"/>
        <w:jc w:val="center"/>
        <w:rPr>
          <w:rFonts w:ascii="Times New Roman" w:hAnsi="Times New Roman" w:cs="Times New Roman"/>
          <w:sz w:val="16"/>
          <w:szCs w:val="16"/>
          <w:lang w:val="en-US"/>
        </w:rPr>
      </w:pPr>
    </w:p>
    <w:p w14:paraId="4C68944F" w14:textId="77777777" w:rsidR="004C6C80" w:rsidRDefault="004C6C80" w:rsidP="00990225">
      <w:pPr>
        <w:spacing w:after="100" w:line="240" w:lineRule="auto"/>
        <w:ind w:firstLine="0"/>
        <w:jc w:val="center"/>
        <w:rPr>
          <w:rFonts w:ascii="Times New Roman" w:hAnsi="Times New Roman" w:cs="Times New Roman"/>
          <w:szCs w:val="24"/>
        </w:rPr>
      </w:pPr>
      <w:r w:rsidRPr="00D9307F">
        <w:rPr>
          <w:rFonts w:ascii="Times New Roman" w:hAnsi="Times New Roman" w:cs="Times New Roman"/>
          <w:szCs w:val="24"/>
        </w:rPr>
        <w:t>Financial Development</w:t>
      </w:r>
    </w:p>
    <w:p w14:paraId="60DA1724" w14:textId="77777777" w:rsidR="004C6C80" w:rsidRDefault="004C6C80" w:rsidP="00990225">
      <w:pPr>
        <w:spacing w:after="100" w:line="240" w:lineRule="auto"/>
        <w:ind w:firstLine="0"/>
        <w:jc w:val="center"/>
        <w:rPr>
          <w:rFonts w:ascii="Times New Roman" w:hAnsi="Times New Roman" w:cs="Times New Roman"/>
          <w:szCs w:val="24"/>
        </w:rPr>
      </w:pPr>
      <w:r w:rsidRPr="00D9307F">
        <w:rPr>
          <w:rFonts w:ascii="Times New Roman" w:hAnsi="Times New Roman" w:cs="Times New Roman"/>
          <w:szCs w:val="24"/>
        </w:rPr>
        <w:t>Income Inequality</w:t>
      </w:r>
    </w:p>
    <w:p w14:paraId="2EB82BF5" w14:textId="77777777" w:rsidR="004C6C80" w:rsidRDefault="004C6C80" w:rsidP="00990225">
      <w:pPr>
        <w:spacing w:after="100" w:line="240" w:lineRule="auto"/>
        <w:ind w:firstLine="0"/>
        <w:jc w:val="center"/>
        <w:rPr>
          <w:rFonts w:ascii="Times New Roman" w:hAnsi="Times New Roman" w:cs="Times New Roman"/>
          <w:szCs w:val="24"/>
        </w:rPr>
      </w:pPr>
      <w:r w:rsidRPr="00D9307F">
        <w:rPr>
          <w:rFonts w:ascii="Times New Roman" w:hAnsi="Times New Roman" w:cs="Times New Roman"/>
          <w:szCs w:val="24"/>
        </w:rPr>
        <w:t xml:space="preserve">Trade </w:t>
      </w:r>
      <w:r>
        <w:rPr>
          <w:rFonts w:ascii="Times New Roman" w:hAnsi="Times New Roman" w:cs="Times New Roman"/>
          <w:szCs w:val="24"/>
        </w:rPr>
        <w:t>O</w:t>
      </w:r>
      <w:r w:rsidRPr="00D9307F">
        <w:rPr>
          <w:rFonts w:ascii="Times New Roman" w:hAnsi="Times New Roman" w:cs="Times New Roman"/>
          <w:szCs w:val="24"/>
        </w:rPr>
        <w:t>penness</w:t>
      </w:r>
    </w:p>
    <w:p w14:paraId="73884CD5" w14:textId="2929413B" w:rsidR="005C1F2B" w:rsidRDefault="004C6C80" w:rsidP="00990225">
      <w:pPr>
        <w:spacing w:after="100" w:line="240" w:lineRule="auto"/>
        <w:ind w:firstLine="0"/>
        <w:jc w:val="center"/>
        <w:rPr>
          <w:rFonts w:ascii="Times New Roman" w:hAnsi="Times New Roman" w:cs="Times New Roman"/>
          <w:szCs w:val="24"/>
        </w:rPr>
      </w:pPr>
      <w:r w:rsidRPr="00D9307F">
        <w:rPr>
          <w:rFonts w:ascii="Times New Roman" w:hAnsi="Times New Roman" w:cs="Times New Roman"/>
          <w:szCs w:val="24"/>
        </w:rPr>
        <w:t>Financial Openness</w:t>
      </w:r>
    </w:p>
    <w:p w14:paraId="620F6596" w14:textId="77777777" w:rsidR="004C6C80" w:rsidRDefault="004C6C80" w:rsidP="004C6C80">
      <w:pPr>
        <w:ind w:firstLine="0"/>
        <w:jc w:val="center"/>
        <w:rPr>
          <w:rFonts w:cstheme="majorBidi"/>
          <w:szCs w:val="24"/>
        </w:rPr>
      </w:pPr>
    </w:p>
    <w:p w14:paraId="0D47D3CB" w14:textId="77777777" w:rsidR="004308FB" w:rsidRDefault="00EE2833" w:rsidP="004308FB">
      <w:pPr>
        <w:spacing w:after="0" w:line="240" w:lineRule="auto"/>
        <w:jc w:val="center"/>
        <w:rPr>
          <w:rFonts w:ascii="Times New Roman" w:hAnsi="Times New Roman" w:cs="Times New Roman"/>
          <w:b/>
          <w:bCs/>
          <w:szCs w:val="24"/>
          <w:lang w:val="it-IT"/>
        </w:rPr>
      </w:pPr>
      <w:r w:rsidRPr="00447368">
        <w:rPr>
          <w:rFonts w:ascii="Times New Roman" w:hAnsi="Times New Roman" w:cs="Times New Roman"/>
          <w:b/>
          <w:bCs/>
          <w:szCs w:val="24"/>
          <w:lang w:val="it-IT"/>
        </w:rPr>
        <w:t>JEL Classification</w:t>
      </w:r>
    </w:p>
    <w:p w14:paraId="6397FFDA" w14:textId="77777777" w:rsidR="004C6C80" w:rsidRPr="002931A4" w:rsidRDefault="004C6C80" w:rsidP="004308FB">
      <w:pPr>
        <w:spacing w:after="0" w:line="240" w:lineRule="auto"/>
        <w:jc w:val="center"/>
        <w:rPr>
          <w:rFonts w:ascii="Times New Roman" w:hAnsi="Times New Roman" w:cs="Times New Roman"/>
          <w:b/>
          <w:bCs/>
          <w:sz w:val="16"/>
          <w:szCs w:val="16"/>
          <w:lang w:val="it-IT"/>
        </w:rPr>
      </w:pPr>
    </w:p>
    <w:p w14:paraId="1EDE7FAB" w14:textId="522EA04D" w:rsidR="004C6C80" w:rsidRPr="00990225" w:rsidRDefault="004308FB" w:rsidP="00990225">
      <w:pPr>
        <w:spacing w:before="120" w:after="120" w:line="240" w:lineRule="auto"/>
        <w:jc w:val="center"/>
        <w:rPr>
          <w:rFonts w:ascii="Times New Roman" w:hAnsi="Times New Roman" w:cs="Times New Roman"/>
          <w:szCs w:val="24"/>
        </w:rPr>
      </w:pPr>
      <w:r>
        <w:rPr>
          <w:rFonts w:ascii="Times New Roman" w:hAnsi="Times New Roman" w:cs="Times New Roman"/>
          <w:szCs w:val="24"/>
        </w:rPr>
        <w:t>D31</w:t>
      </w:r>
    </w:p>
    <w:p w14:paraId="6C0CE3C6" w14:textId="5367DA4D" w:rsidR="004C6C80" w:rsidRPr="00990225" w:rsidRDefault="004308FB" w:rsidP="00990225">
      <w:pPr>
        <w:spacing w:before="120" w:after="120" w:line="240" w:lineRule="auto"/>
        <w:jc w:val="center"/>
        <w:rPr>
          <w:rFonts w:ascii="Times New Roman" w:hAnsi="Times New Roman" w:cs="Times New Roman"/>
          <w:szCs w:val="24"/>
        </w:rPr>
      </w:pPr>
      <w:r>
        <w:rPr>
          <w:rFonts w:ascii="Times New Roman" w:hAnsi="Times New Roman" w:cs="Times New Roman"/>
          <w:szCs w:val="24"/>
        </w:rPr>
        <w:t>D63</w:t>
      </w:r>
    </w:p>
    <w:p w14:paraId="04CFCCB0" w14:textId="5BFEA75F" w:rsidR="004C6C80" w:rsidRPr="00990225" w:rsidRDefault="004308FB" w:rsidP="00990225">
      <w:pPr>
        <w:spacing w:before="120" w:after="120" w:line="240" w:lineRule="auto"/>
        <w:jc w:val="center"/>
        <w:rPr>
          <w:rFonts w:ascii="Times New Roman" w:hAnsi="Times New Roman" w:cs="Times New Roman"/>
          <w:szCs w:val="24"/>
        </w:rPr>
      </w:pPr>
      <w:r>
        <w:rPr>
          <w:rFonts w:ascii="Times New Roman" w:hAnsi="Times New Roman" w:cs="Times New Roman"/>
          <w:szCs w:val="24"/>
        </w:rPr>
        <w:t>F02</w:t>
      </w:r>
    </w:p>
    <w:p w14:paraId="5C3290B4" w14:textId="11E2A4C5" w:rsidR="00EE2833" w:rsidRPr="004308FB" w:rsidRDefault="004308FB" w:rsidP="00990225">
      <w:pPr>
        <w:spacing w:before="120" w:after="120" w:line="240" w:lineRule="auto"/>
        <w:jc w:val="center"/>
        <w:rPr>
          <w:rFonts w:ascii="Times New Roman" w:hAnsi="Times New Roman" w:cs="Times New Roman"/>
          <w:b/>
          <w:bCs/>
          <w:szCs w:val="24"/>
          <w:lang w:val="it-IT"/>
        </w:rPr>
      </w:pPr>
      <w:r>
        <w:rPr>
          <w:rFonts w:ascii="Times New Roman" w:hAnsi="Times New Roman" w:cs="Times New Roman"/>
          <w:szCs w:val="24"/>
        </w:rPr>
        <w:t>O11</w:t>
      </w:r>
    </w:p>
    <w:p w14:paraId="20FAA8C2" w14:textId="471CA71A" w:rsidR="000737DE" w:rsidRPr="001A2328" w:rsidRDefault="000737DE" w:rsidP="004C6C80">
      <w:pPr>
        <w:spacing w:after="0" w:line="240" w:lineRule="auto"/>
        <w:ind w:firstLine="0"/>
        <w:rPr>
          <w:rFonts w:ascii="Times New Roman" w:hAnsi="Times New Roman" w:cs="Times New Roman"/>
          <w:szCs w:val="24"/>
        </w:rPr>
      </w:pPr>
    </w:p>
    <w:p w14:paraId="771E1C9D" w14:textId="3D8C5A86" w:rsidR="00830BB9" w:rsidRDefault="00830BB9" w:rsidP="00544C97">
      <w:pPr>
        <w:spacing w:after="0" w:line="240" w:lineRule="auto"/>
        <w:ind w:firstLine="0"/>
        <w:rPr>
          <w:rFonts w:ascii="Times New Roman" w:hAnsi="Times New Roman" w:cs="Times New Roman"/>
          <w:szCs w:val="24"/>
          <w:lang w:val="en-US"/>
        </w:rPr>
      </w:pPr>
    </w:p>
    <w:p w14:paraId="4C79AB4F" w14:textId="77777777" w:rsidR="00830BB9" w:rsidRDefault="00830BB9" w:rsidP="003A7E47">
      <w:pPr>
        <w:spacing w:after="0" w:line="240" w:lineRule="auto"/>
        <w:jc w:val="center"/>
        <w:rPr>
          <w:rFonts w:ascii="Times New Roman" w:hAnsi="Times New Roman" w:cs="Times New Roman"/>
          <w:szCs w:val="24"/>
          <w:lang w:val="en-US"/>
        </w:rPr>
      </w:pPr>
    </w:p>
    <w:p w14:paraId="77C43843" w14:textId="05D634EA" w:rsidR="003A7E47" w:rsidRDefault="00830BB9" w:rsidP="003A7E47">
      <w:pPr>
        <w:spacing w:after="0" w:line="240" w:lineRule="auto"/>
        <w:jc w:val="center"/>
        <w:rPr>
          <w:rFonts w:cstheme="majorBidi"/>
          <w:b/>
          <w:bCs/>
          <w:szCs w:val="24"/>
        </w:rPr>
      </w:pPr>
      <w:r w:rsidRPr="00830BB9">
        <w:rPr>
          <w:rFonts w:cstheme="majorBidi"/>
          <w:b/>
          <w:bCs/>
          <w:szCs w:val="24"/>
        </w:rPr>
        <w:t>Acknowledgement</w:t>
      </w:r>
      <w:r w:rsidR="00C311EC">
        <w:rPr>
          <w:rFonts w:cstheme="majorBidi"/>
          <w:b/>
          <w:bCs/>
          <w:szCs w:val="24"/>
        </w:rPr>
        <w:t>s</w:t>
      </w:r>
    </w:p>
    <w:p w14:paraId="68EC7C0C" w14:textId="77777777" w:rsidR="004C6C80" w:rsidRPr="002931A4" w:rsidRDefault="004C6C80" w:rsidP="003A7E47">
      <w:pPr>
        <w:spacing w:after="0" w:line="240" w:lineRule="auto"/>
        <w:jc w:val="center"/>
        <w:rPr>
          <w:rFonts w:cstheme="majorBidi"/>
          <w:b/>
          <w:bCs/>
          <w:sz w:val="16"/>
          <w:szCs w:val="16"/>
        </w:rPr>
      </w:pPr>
    </w:p>
    <w:p w14:paraId="55F52F25" w14:textId="0D03DACA" w:rsidR="00FE7754" w:rsidRDefault="00830BB9" w:rsidP="009D2930">
      <w:pPr>
        <w:spacing w:after="0" w:line="240" w:lineRule="auto"/>
        <w:jc w:val="center"/>
        <w:rPr>
          <w:rFonts w:cstheme="majorBidi"/>
          <w:szCs w:val="24"/>
        </w:rPr>
      </w:pPr>
      <w:r w:rsidRPr="00071517">
        <w:rPr>
          <w:rFonts w:cstheme="majorBidi"/>
          <w:szCs w:val="24"/>
        </w:rPr>
        <w:t xml:space="preserve">We would like to thank </w:t>
      </w:r>
      <w:r w:rsidR="00071517" w:rsidRPr="00071517">
        <w:rPr>
          <w:rFonts w:cstheme="majorBidi"/>
          <w:szCs w:val="24"/>
        </w:rPr>
        <w:t>the University of Waikato for providing funds for th</w:t>
      </w:r>
      <w:r w:rsidR="000345D8">
        <w:rPr>
          <w:rFonts w:cstheme="majorBidi"/>
          <w:szCs w:val="24"/>
        </w:rPr>
        <w:t>is</w:t>
      </w:r>
      <w:r w:rsidR="00071517" w:rsidRPr="00071517">
        <w:rPr>
          <w:rFonts w:cstheme="majorBidi"/>
          <w:szCs w:val="24"/>
        </w:rPr>
        <w:t xml:space="preserve"> study.</w:t>
      </w:r>
      <w:r w:rsidR="00B932EC">
        <w:rPr>
          <w:rFonts w:cstheme="majorBidi"/>
          <w:szCs w:val="24"/>
        </w:rPr>
        <w:t xml:space="preserve"> </w:t>
      </w:r>
    </w:p>
    <w:p w14:paraId="59519578" w14:textId="77777777" w:rsidR="009F4FB6" w:rsidRDefault="009F4FB6" w:rsidP="009D2930">
      <w:pPr>
        <w:spacing w:after="0" w:line="240" w:lineRule="auto"/>
        <w:jc w:val="center"/>
        <w:rPr>
          <w:rFonts w:cstheme="majorBidi"/>
          <w:szCs w:val="24"/>
        </w:rPr>
      </w:pPr>
    </w:p>
    <w:p w14:paraId="10820C0D" w14:textId="77777777" w:rsidR="009F4FB6" w:rsidRDefault="009F4FB6" w:rsidP="009D2930">
      <w:pPr>
        <w:spacing w:after="0" w:line="240" w:lineRule="auto"/>
        <w:jc w:val="center"/>
        <w:rPr>
          <w:rFonts w:cstheme="majorBidi"/>
          <w:szCs w:val="24"/>
        </w:rPr>
      </w:pPr>
    </w:p>
    <w:p w14:paraId="09472D19" w14:textId="77777777" w:rsidR="009F4FB6" w:rsidRDefault="009F4FB6" w:rsidP="009D2930">
      <w:pPr>
        <w:spacing w:after="0" w:line="240" w:lineRule="auto"/>
        <w:jc w:val="center"/>
        <w:rPr>
          <w:rFonts w:cstheme="majorBidi"/>
          <w:szCs w:val="24"/>
        </w:rPr>
      </w:pPr>
    </w:p>
    <w:p w14:paraId="4B7EA376" w14:textId="77777777" w:rsidR="009F4FB6" w:rsidRDefault="009F4FB6" w:rsidP="009D2930">
      <w:pPr>
        <w:spacing w:after="0" w:line="240" w:lineRule="auto"/>
        <w:jc w:val="center"/>
        <w:rPr>
          <w:rFonts w:cstheme="majorBidi"/>
          <w:szCs w:val="24"/>
        </w:rPr>
      </w:pPr>
    </w:p>
    <w:p w14:paraId="3E8262AA" w14:textId="5EF0896C" w:rsidR="0011020F" w:rsidRDefault="00953145" w:rsidP="00421703">
      <w:pPr>
        <w:pStyle w:val="Heading1"/>
        <w:numPr>
          <w:ilvl w:val="0"/>
          <w:numId w:val="1"/>
        </w:numPr>
      </w:pPr>
      <w:r w:rsidRPr="002D7619">
        <w:lastRenderedPageBreak/>
        <w:t>Introduction</w:t>
      </w:r>
      <w:bookmarkEnd w:id="2"/>
      <w:bookmarkEnd w:id="3"/>
    </w:p>
    <w:p w14:paraId="6DB6188A" w14:textId="5664682E" w:rsidR="0012305F" w:rsidRDefault="0012305F" w:rsidP="0012305F">
      <w:pPr>
        <w:ind w:firstLine="0"/>
      </w:pPr>
      <w:r w:rsidRPr="00C71532">
        <w:t xml:space="preserve">Although </w:t>
      </w:r>
      <w:r>
        <w:t xml:space="preserve">the development of financial systems boosts economic growth over the long run  </w:t>
      </w:r>
      <w:r w:rsidR="002E36DB">
        <w:fldChar w:fldCharType="begin" w:fldLock="1"/>
      </w:r>
      <w:r w:rsidR="00176DAD">
        <w:instrText>ADDIN CSL_CITATION {"citationItems":[{"id":"ITEM-1","itemData":{"DOI":"10.1016/S1574-0684(05)01012-9","ISBN":"9780444520418","ISSN":"1574-0684","abstract":"This paper reviews, appraises, and critiques theoretical and empirical research on the connections between the operation of the financial system and economic growth. While subject to ample qualifications and countervailing views, the preponderance of evidence suggests that both financial intermediaries and markets matter for growth and that reverse causality alone is not driving this relationship. Furthermore, theory and evidence imply that better developed financial systems ease external financing constraints facing firms, which illuminates one mechanism through which financial development influences economic growth. The paper highlights many areas needing additional research. © 2005 Elsevier B.V. All rights reserved.","author":[{"dropping-particle":"","family":"Levine","given":"Ross","non-dropping-particle":"","parse-names":false,"suffix":""}],"chapter-number":"12","container-title":"Handbook of Economic Growth","editor":[{"dropping-particle":"","family":"Aghion","given":"P.","non-dropping-particle":"","parse-names":false,"suffix":""},{"dropping-particle":"","family":"Durlauf","given":"S.N","non-dropping-particle":"","parse-names":false,"suffix":""}],"id":"ITEM-1","issue":"SUPPL. PART A","issued":{"date-parts":[["2005","1","1"]]},"page":"865-934","publisher":"Elsevier","title":"Finance and Growth: Theory and Evidence","type":"chapter","volume":"1"},"uris":["http://www.mendeley.com/documents/?uuid=1fc3aa45-2cae-394b-a376-e5a11fe8500e"]},{"id":"ITEM-2","itemData":{"author":[{"dropping-particle":"","family":"Levine","given":"Ross","non-dropping-particle":"","parse-names":false,"suffix":""}],"container-title":"Journal of Economic Literature","id":"ITEM-2","issue":"2","issued":{"date-parts":[["1997"]]},"page":"688-726","title":"Financial Development and Economic Growth: Views and Agenda on JSTOR","type":"article-journal","volume":"35"},"uris":["http://www.mendeley.com/documents/?uuid=11857058-72be-374c-ad17-5a317f16bd43"]}],"mendeley":{"formattedCitation":"(Levine, 1997, 2005)","plainTextFormattedCitation":"(Levine, 1997, 2005)","previouslyFormattedCitation":"(Levine, 1997, 2005)"},"properties":{"noteIndex":0},"schema":"https://github.com/citation-style-language/schema/raw/master/csl-citation.json"}</w:instrText>
      </w:r>
      <w:r w:rsidR="002E36DB">
        <w:fldChar w:fldCharType="separate"/>
      </w:r>
      <w:r w:rsidR="002E36DB" w:rsidRPr="002E36DB">
        <w:rPr>
          <w:noProof/>
        </w:rPr>
        <w:t>(Levine, 1997, 2005)</w:t>
      </w:r>
      <w:r w:rsidR="002E36DB">
        <w:fldChar w:fldCharType="end"/>
      </w:r>
      <w:r w:rsidR="002E36DB">
        <w:t xml:space="preserve">, </w:t>
      </w:r>
      <w:r>
        <w:t>its impact on the allocation of generated wealth remains under question. The World Income Inequality Report, 2022, highlights that income inequality has increased</w:t>
      </w:r>
      <w:r w:rsidRPr="000811A9">
        <w:t xml:space="preserve"> </w:t>
      </w:r>
      <w:r>
        <w:t>across most countries</w:t>
      </w:r>
      <w:r w:rsidRPr="000811A9">
        <w:t xml:space="preserve"> since the 1980s </w:t>
      </w:r>
      <w:r>
        <w:fldChar w:fldCharType="begin" w:fldLock="1"/>
      </w:r>
      <w:r>
        <w:instrText>ADDIN CSL_CITATION {"citationItems":[{"id":"ITEM-1","itemData":{"author":[{"dropping-particle":"","family":"Lucas","given":"Chancel","non-dropping-particle":"","parse-names":false,"suffix":""},{"dropping-particle":"","family":"Piketty","given":"Thomas","non-dropping-particle":"","parse-names":false,"suffix":""},{"dropping-particle":"","family":"Saez","given":"Emmanuel","non-dropping-particle":"","parse-names":false,"suffix":""},{"dropping-particle":"","family":"Zucman","given":"Gabriel","non-dropping-particle":"","parse-names":false,"suffix":""}],"id":"ITEM-1","issued":{"date-parts":[["2022"]]},"publisher":"Harvard University Press","title":"World Inequality Report 2022","type":"book"},"uris":["http://www.mendeley.com/documents/?uuid=ef34d862-6792-34ee-a420-e33f1b58d031"]}],"mendeley":{"formattedCitation":"(Lucas et al., 2022)","plainTextFormattedCitation":"(Lucas et al., 2022)","previouslyFormattedCitation":"(Lucas et al., 2022)"},"properties":{"noteIndex":0},"schema":"https://github.com/citation-style-language/schema/raw/master/csl-citation.json"}</w:instrText>
      </w:r>
      <w:r>
        <w:fldChar w:fldCharType="separate"/>
      </w:r>
      <w:r w:rsidRPr="00C1433E">
        <w:rPr>
          <w:noProof/>
        </w:rPr>
        <w:t>(Lucas et al., 2022)</w:t>
      </w:r>
      <w:r>
        <w:fldChar w:fldCharType="end"/>
      </w:r>
      <w:r>
        <w:t>. Hence, financial development (FD)</w:t>
      </w:r>
      <w:r w:rsidRPr="00C71532">
        <w:t xml:space="preserve"> has been accompanied by the debate of whether it comes at the cost of </w:t>
      </w:r>
      <w:r>
        <w:t>income</w:t>
      </w:r>
      <w:r w:rsidRPr="00C71532">
        <w:t xml:space="preserve"> inequality. </w:t>
      </w:r>
      <w:r>
        <w:t xml:space="preserve">According to the world inequality database and </w:t>
      </w:r>
      <w:r w:rsidR="00F82C26">
        <w:t>world bank’s (2019) report</w:t>
      </w:r>
      <w:r>
        <w:t xml:space="preserve"> t</w:t>
      </w:r>
      <w:r w:rsidRPr="00A7743C">
        <w:t xml:space="preserve">here are stunning cross-country differences in the distribution of income and the </w:t>
      </w:r>
      <w:r>
        <w:t>level of FD. Among financially developed countries, some face high income inequality (</w:t>
      </w:r>
      <w:r w:rsidRPr="000202C6">
        <w:t>e.g.,</w:t>
      </w:r>
      <w:r>
        <w:t xml:space="preserve"> Brazil, India, and Chile), while others are relatively more equal (</w:t>
      </w:r>
      <w:r w:rsidRPr="000202C6">
        <w:t>e.g.,</w:t>
      </w:r>
      <w:r>
        <w:t xml:space="preserve"> Australia, New Zealand, and Sweden). The same is true among less financially developed countries, with some</w:t>
      </w:r>
      <w:r w:rsidRPr="000202C6">
        <w:t xml:space="preserve"> exhibiting extreme </w:t>
      </w:r>
      <w:r>
        <w:t xml:space="preserve">income </w:t>
      </w:r>
      <w:r w:rsidRPr="000202C6">
        <w:t>inequality (e.g.,</w:t>
      </w:r>
      <w:r>
        <w:t xml:space="preserve"> Peru and Indonesia</w:t>
      </w:r>
      <w:r w:rsidRPr="000202C6">
        <w:t xml:space="preserve">) and </w:t>
      </w:r>
      <w:r>
        <w:t xml:space="preserve">some facing </w:t>
      </w:r>
      <w:r w:rsidRPr="000202C6">
        <w:t>moderate to relatively low levels</w:t>
      </w:r>
      <w:r>
        <w:t xml:space="preserve"> </w:t>
      </w:r>
      <w:r w:rsidRPr="000202C6">
        <w:t>(e.</w:t>
      </w:r>
      <w:r w:rsidRPr="008D255F">
        <w:t>g., Belarus and Kazakhstan). This ambiguity calls for more empirical and theoretical research on the relationship</w:t>
      </w:r>
      <w:r w:rsidRPr="003D2AC0">
        <w:t xml:space="preserve"> between </w:t>
      </w:r>
      <w:r>
        <w:t>FD</w:t>
      </w:r>
      <w:r w:rsidRPr="003D2AC0">
        <w:t xml:space="preserve"> and income inequality</w:t>
      </w:r>
      <w:r>
        <w:t>.</w:t>
      </w:r>
    </w:p>
    <w:p w14:paraId="6D2CF944" w14:textId="33D83662" w:rsidR="0012305F" w:rsidRDefault="0012305F" w:rsidP="0012305F">
      <w:r>
        <w:t xml:space="preserve">There is an inclusive literature on the FD and income inequality linkage, which can be classified into four groups. First, it is argued and illustrated that the development of the financial sector benefits upper-income individuals more than lower-income ones and thus widens income inequality </w:t>
      </w:r>
      <w:r>
        <w:fldChar w:fldCharType="begin" w:fldLock="1"/>
      </w:r>
      <w:r w:rsidR="00C62879">
        <w:instrText>ADDIN CSL_CITATION {"citationItems":[{"id":"ITEM-1","itemData":{"author":[{"dropping-particle":"","family":"Rajan","given":"Raghuram","non-dropping-particle":"","parse-names":false,"suffix":""},{"dropping-particle":"","family":"Zingales","given":"Luigi","non-dropping-particle":"","parse-names":false,"suffix":""}],"id":"ITEM-1","issued":{"date-parts":[["2003"]]},"number-of-pages":"369","publisher":"Princeton University Press","title":"Saving capitalism from the capitalists : unleashing the power of financial markets to create wealth and spread opportunity","type":"book"},"uris":["http://www.mendeley.com/documents/?uuid=7ab73a0a-6411-3c5e-b489-215a4a50ce3b"]},{"id":"ITEM-2","itemData":{"DOI":"10.1016/J.JBANKFIN.2010.11.011","ISSN":"0378-4266","abstract":"This paper analyzes the under-investigated relationship uniting financial development and income distribution. We use a novel approach taking into account for the first time the specific channels linking banks, capital markets and income inequality, the time-varying nature of the relationship, and reciprocal causality. We construct a set of annual indicators of banking and capital market size, robustness, efficiency and international integration. We then estimate the determinants of income distribution using a panel Bayesian structural vector autoregressive (SVAR) model, for a set of 49 countries over the 1994-2002 period. We uncover a significant causality running from financial sector development to income distribution. In addition, the banking sector seems to exert a stronger impact on inequality. Finally, the relationship appears to depend on the characteristics of the financial sector, rather than on its size. © 2010 Elsevier B.V.","author":[{"dropping-particle":"","family":"Gimet","given":"Céline","non-dropping-particle":"","parse-names":false,"suffix":""},{"dropping-particle":"","family":"Lagoarde-Segot","given":"Thomas","non-dropping-particle":"","parse-names":false,"suffix":""}],"container-title":"Journal of Banking &amp; Finance","id":"ITEM-2","issue":"7","issued":{"date-parts":[["2011","7","1"]]},"page":"1698-1713","publisher":"North-Holland","title":"A closer look at financial development and income distribution","type":"article-journal","volume":"35"},"uris":["http://www.mendeley.com/documents/?uuid=48358bb2-3cdc-3780-ae8e-80b4d5bd259d"]},{"id":"ITEM-3","itemData":{"DOI":"10.1007/S00181-015-1008-X/TABLES/7","ISSN":"03777332","abstract":"We analyzed the link between financial development and income inequality for a broad unbalanced dataset of up to 138 developed and developing countries over the years 1960–2008. Using credit to GDP as a measure of financial development, our results reject theoretical models predicting a negative impact of financial development on income inequality measured by the Gini coefficient. Controlling for country fixed effects, possible endogeneity problems, GDP per capita and other control variables, we find that financial development increases income inequality. These results are robust to different measures of financial development, econometric specifications and control variables.","author":[{"dropping-particle":"","family":"Jauch","given":"Sebastian","non-dropping-particle":"","parse-names":false,"suffix":""},{"dropping-particle":"","family":"Watzka","given":"Sebastian","non-dropping-particle":"","parse-names":false,"suffix":""}],"container-title":"Empirical Economics","id":"ITEM-3","issue":"1","issued":{"date-parts":[["2016","8","1"]]},"page":"291-314","publisher":"Springer Verlag","title":"Financial development and income inequality: a panel data approach","type":"article-journal","volume":"51"},"uris":["http://www.mendeley.com/documents/?uuid=c443e032-58b2-30c5-9663-fee88c1ece49"]}],"mendeley":{"formattedCitation":"(Gimet &amp; Lagoarde-Segot, 2011; Jauch &amp; Watzka, 2016; Rajan &amp; Zingales, 2003a)","manualFormatting":"(Gimet and Lagoarde-Segot, 2011; Jauch and Watzka, 2016; Rajan and Zingales, 2003a)","plainTextFormattedCitation":"(Gimet &amp; Lagoarde-Segot, 2011; Jauch &amp; Watzka, 2016; Rajan &amp; Zingales, 2003a)","previouslyFormattedCitation":"(Gimet &amp; Lagoarde-Segot, 2011; Jauch &amp; Watzka, 2016; Rajan &amp; Zingales, 2003a)"},"properties":{"noteIndex":0},"schema":"https://github.com/citation-style-language/schema/raw/master/csl-citation.json"}</w:instrText>
      </w:r>
      <w:r>
        <w:fldChar w:fldCharType="separate"/>
      </w:r>
      <w:r w:rsidRPr="00321676">
        <w:rPr>
          <w:noProof/>
        </w:rPr>
        <w:t xml:space="preserve">(Gimet </w:t>
      </w:r>
      <w:r w:rsidR="00C62879">
        <w:rPr>
          <w:noProof/>
        </w:rPr>
        <w:t>and</w:t>
      </w:r>
      <w:r w:rsidRPr="00321676">
        <w:rPr>
          <w:noProof/>
        </w:rPr>
        <w:t xml:space="preserve"> Lagoarde-Segot, 2011; Jauch </w:t>
      </w:r>
      <w:r w:rsidR="00C62879">
        <w:rPr>
          <w:noProof/>
        </w:rPr>
        <w:t>and</w:t>
      </w:r>
      <w:r w:rsidRPr="00321676">
        <w:rPr>
          <w:noProof/>
        </w:rPr>
        <w:t xml:space="preserve"> Watzka, 2016; Rajan </w:t>
      </w:r>
      <w:r w:rsidR="00C62879">
        <w:rPr>
          <w:noProof/>
        </w:rPr>
        <w:t>and</w:t>
      </w:r>
      <w:r w:rsidRPr="00321676">
        <w:rPr>
          <w:noProof/>
        </w:rPr>
        <w:t xml:space="preserve"> Zingales, 2003a)</w:t>
      </w:r>
      <w:r>
        <w:fldChar w:fldCharType="end"/>
      </w:r>
      <w:r>
        <w:t xml:space="preserve">. Second, several studies </w:t>
      </w:r>
      <w:r>
        <w:fldChar w:fldCharType="begin" w:fldLock="1"/>
      </w:r>
      <w:r w:rsidR="00002792">
        <w:instrText>ADDIN CSL_CITATION {"citationItems":[{"id":"ITEM-1","itemData":{"DOI":"10.2307/2297811","ISSN":"0034-6527","abstract":"This paper analyzes the role of wealth distribution in macroeconomics through investment in human capital. It is shown that in the presence of credit markets' imperfections and in divisibilities in investment in human capital, the initial distribution of wealth affects aggregate output and investment both in the short and in the long run, as there are multiple steady states. This paper therefore provides an additional explanation for the persistent differences in per-capita output across countries. Furthermore, the paper shows that cross-country differences in macroeconomic adjustment to aggregate shocks can be attributed, among other factors, to differences in wealth and income distribution across countries. © 1993 The Review of Economic Studies Limited.","author":[{"dropping-particle":"","family":"Galor","given":"Oded","non-dropping-particle":"","parse-names":false,"suffix":""},{"dropping-particle":"","family":"Zeira","given":"Joseph","non-dropping-particle":"","parse-names":false,"suffix":""}],"container-title":"The Review of Economic Studies","id":"ITEM-1","issue":"1","issued":{"date-parts":[["1993","1","1"]]},"page":"35-52","publisher":"Oxford Academic","title":"Income Distribution and Macroeconomics","type":"article-journal","volume":"60"},"uris":["http://www.mendeley.com/documents/?uuid=d4f71c5b-913d-36d9-83b0-e453aac845b6"]},{"id":"ITEM-2","itemData":{"DOI":"10.1007/S10887-007-9010-6","ISSN":"1573-7020","abstract":"Financial development disproportionately boosts incomes of the poorest quintile and reduces income inequality. About 40% of the long-run impact of financial development on the income growth of the poorest quintile is the result of reductions in income inequality, while 60% is due to the impact of financial development on aggregate economic growth. Furthermore, financial development is associated with a drop in the fraction of the population living on less than $ 1 a day, a result which holds when conditioning on average growth. These findings emphasize the importance of the financial system for the poor.","author":[{"dropping-particle":"","family":"Beck","given":"Thorsten","non-dropping-particle":"","parse-names":false,"suffix":""},{"dropping-particle":"","family":"Demirgüç-Kunt","given":"Asli","non-dropping-particle":"","parse-names":false,"suffix":""},{"dropping-particle":"","family":"Levine","given":"Ross","non-dropping-particle":"","parse-names":false,"suffix":""}],"container-title":"Journal of Economic Growth 2007 12:1","id":"ITEM-2","issue":"1","issued":{"date-parts":[["2007","3","6"]]},"page":"27-49","publisher":"Springer","title":"Finance, inequality and the poor","type":"article-journal","volume":"12"},"uris":["http://www.mendeley.com/documents/?uuid=ef69fbab-06d2-3848-95c2-1b7688171225"]},{"id":"ITEM-3","itemData":{"DOI":"10.1002/J.2325-8012.2006.TB00721.X","ISSN":"2325-8012","abstract":"… finance and income inequality, little empirical research compares their explanatory power. We examine the relationship between finance and … the literature on law, finance, and growth to …","author":[{"dropping-particle":"","family":"Clarke","given":"George R. G.","non-dropping-particle":"","parse-names":false,"suffix":""},{"dropping-particle":"","family":"Xu","given":"Lixin Colin","non-dropping-particle":"","parse-names":false,"suffix":""},{"dropping-particle":"","family":"Zou","given":"Heng-fu","non-dropping-particle":"","parse-names":false,"suffix":""}],"container-title":"Southern Economic Journal","id":"ITEM-3","issue":"3","issued":{"date-parts":[["2006","1","1"]]},"page":"578-596","publisher":"John Wiley &amp; Sons, Ltd","title":"Finance and Income Inequality: What Do the Data Tell Us?","type":"article-journal","volume":"72"},"uris":["http://www.mendeley.com/documents/?uuid=9d41f6c7-3072-31e2-8e0d-e74140d90186"]},{"id":"ITEM-4","itemData":{"DOI":"10.1007/S00181-019-01808-Z/TABLES/9","ISSN":"14358921","abstract":"Rising income inequality coinciding with financial liberalization has stimulated extensive studies on the possible links between income inequality and different forms of financial liberalization, both inputs and outputs, since the 1990s. Nonetheless, empirical investigations remain inconclusive. To provide new and robust evidence, this study investigates the distributional repercussions of financial liberalization and the role played by democratization in this process. Focusing on the outcome measures of financial liberalization, we find, in a panel of developing and developed countries for 1989–2011, that (1) financial openness alleviates income inequality, particularly for less democratic countries; (2) stock market development mitigates income inequality, whereas its volatility exacerbates it, with both effects decreasing with democratization; (3) banking development strengthens income inequality, whereas its volatility alleviates it, with both effects again moderating with democratization; and (4) these effects are mediated by human capital accumulation and entrepreneurship development.The data thus suggest that financial reforms toward capital account openness and more liquid, stable stock markets are beneficial to income distribution, as such reforms allow more previously excluded households and firms to access financial funds and services, thereby increasing human capital and entrepreneurship, especially in less democratic countries.","author":[{"dropping-particle":"","family":"Kim","given":"Dong Hyeon","non-dropping-particle":"","parse-names":false,"suffix":""},{"dropping-particle":"","family":"Hsieh","given":"Joyce","non-dropping-particle":"","parse-names":false,"suffix":""},{"dropping-particle":"","family":"Lin","given":"Shu Chin","non-dropping-particle":"","parse-names":false,"suffix":""}],"container-title":"Empirical Economics","id":"ITEM-4","issue":"3","issued":{"date-parts":[["2021","3","1"]]},"page":"1245-1281","publisher":"Springer Science and Business Media Deutschland GmbH","title":"Financial liberalization, political institutions, and income inequality","type":"article-journal","volume":"60"},"uris":["http://www.mendeley.com/documents/?uuid=da3ffcc7-9c03-3dc9-bb1d-ce8c8f78b8b3"]}],"mendeley":{"formattedCitation":"(Beck et al., 2007; Clarke et al., 2006; Galor &amp; Zeira, 1993a; Kim et al., 2021)","manualFormatting":"(Beck et al., 2007; Clarke et al., 2006; Galor and Zeira, 1993; Kim et al., 2021)","plainTextFormattedCitation":"(Beck et al., 2007; Clarke et al., 2006; Galor &amp; Zeira, 1993a; Kim et al., 2021)","previouslyFormattedCitation":"(Beck et al., 2007; Clarke et al., 2006; Galor &amp; Zeira, 1993a; Kim et al., 2021)"},"properties":{"noteIndex":0},"schema":"https://github.com/citation-style-language/schema/raw/master/csl-citation.json"}</w:instrText>
      </w:r>
      <w:r>
        <w:fldChar w:fldCharType="separate"/>
      </w:r>
      <w:r w:rsidRPr="000667FA">
        <w:rPr>
          <w:noProof/>
        </w:rPr>
        <w:t xml:space="preserve">(Beck et al., 2007; Clarke et al., 2006; Galor </w:t>
      </w:r>
      <w:r w:rsidR="00C62879">
        <w:rPr>
          <w:noProof/>
        </w:rPr>
        <w:t>and</w:t>
      </w:r>
      <w:r w:rsidRPr="000667FA">
        <w:rPr>
          <w:noProof/>
        </w:rPr>
        <w:t xml:space="preserve"> Zeira, 1993; Kim et al., 2021)</w:t>
      </w:r>
      <w:r>
        <w:fldChar w:fldCharType="end"/>
      </w:r>
      <w:r>
        <w:t xml:space="preserve"> </w:t>
      </w:r>
      <w:r w:rsidRPr="008D0211">
        <w:t xml:space="preserve">state that broader </w:t>
      </w:r>
      <w:r>
        <w:t>FD</w:t>
      </w:r>
      <w:r w:rsidRPr="008D0211">
        <w:t xml:space="preserve"> can help </w:t>
      </w:r>
      <w:r>
        <w:t xml:space="preserve">low-income individuals </w:t>
      </w:r>
      <w:r w:rsidRPr="008D0211">
        <w:t xml:space="preserve">get easier access to external ﬁnance </w:t>
      </w:r>
      <w:r>
        <w:t xml:space="preserve">and </w:t>
      </w:r>
      <w:r w:rsidRPr="008D0211">
        <w:t>earn more by investing</w:t>
      </w:r>
      <w:r>
        <w:t xml:space="preserve"> and therefore, mitigate income inequality.</w:t>
      </w:r>
      <w:r w:rsidRPr="008D0211">
        <w:t xml:space="preserve"> </w:t>
      </w:r>
      <w:r>
        <w:t xml:space="preserve">Third, the inverted U-shaped hypothesis </w:t>
      </w:r>
      <w:r>
        <w:fldChar w:fldCharType="begin" w:fldLock="1"/>
      </w:r>
      <w:r>
        <w:instrText>ADDIN CSL_CITATION {"citationItems":[{"id":"ITEM-1","itemData":{"DOI":"10.1086/261720","ISSN":"0022-3808","abstract":"A paradigm is presented in which both the extent of financial intermediation and the rate of economic growth are endogenously determined. Financial intermediation promotes growth because it allows ...","author":[{"dropping-particle":"","family":"Greenwood","given":"Jeremy","non-dropping-particle":"","parse-names":false,"suffix":""},{"dropping-particle":"","family":"Jovanovic","given":"Boyan","non-dropping-particle":"","parse-names":false,"suffix":""}],"container-title":"Journal of Political Economy","id":"ITEM-1","issued":{"date-parts":[["1990","10","22"]]},"page":"1076-1107","publisher":" The University of Chicago Press ","title":"Financial Development, Growth, and the Distribution of Income","type":"article-journal","volume":"98"},"uris":["http://www.mendeley.com/documents/?uuid=1f7a9957-8964-397a-90c9-0624f4696ed2"]}],"mendeley":{"formattedCitation":"(Greenwood &amp; Jovanovic, 1990)","plainTextFormattedCitation":"(Greenwood &amp; Jovanovic, 1990)","previouslyFormattedCitation":"(Greenwood &amp; Jovanovic, 1990)"},"properties":{"noteIndex":0},"schema":"https://github.com/citation-style-language/schema/raw/master/csl-citation.json"}</w:instrText>
      </w:r>
      <w:r>
        <w:fldChar w:fldCharType="separate"/>
      </w:r>
      <w:r w:rsidRPr="005F161D">
        <w:rPr>
          <w:noProof/>
        </w:rPr>
        <w:t xml:space="preserve">(Greenwood </w:t>
      </w:r>
      <w:r w:rsidR="00C62879">
        <w:rPr>
          <w:noProof/>
        </w:rPr>
        <w:t>and</w:t>
      </w:r>
      <w:r w:rsidRPr="005F161D">
        <w:rPr>
          <w:noProof/>
        </w:rPr>
        <w:t xml:space="preserve"> Jovanovic, 1990)</w:t>
      </w:r>
      <w:r>
        <w:fldChar w:fldCharType="end"/>
      </w:r>
      <w:r>
        <w:t xml:space="preserve"> combines the two preceding outcomes, suggesting that income inequality increases at the early stage of FD and then decreases after a certain level of ﬁnancial sector development. Fourth, a</w:t>
      </w:r>
      <w:r w:rsidRPr="008D0211">
        <w:t xml:space="preserve"> U</w:t>
      </w:r>
      <w:r>
        <w:t>-</w:t>
      </w:r>
      <w:r w:rsidRPr="008D0211">
        <w:t xml:space="preserve">shaped </w:t>
      </w:r>
      <w:r>
        <w:t xml:space="preserve">nexus is also found </w:t>
      </w:r>
      <w:r>
        <w:fldChar w:fldCharType="begin" w:fldLock="1"/>
      </w:r>
      <w:r>
        <w:instrText>ADDIN CSL_CITATION {"citationItems":[{"id":"ITEM-1","itemData":{"DOI":"10.1007/S10888-011-9174-3","ISSN":"15691721","abstract":"This study examines the dynamics of the finance-inequality nexus in 35 developing countries during the past two decades, using two data sets of income inequality: the University of Texas Inequality Project (UTIP) and the Standardized World Income Inequality Database (SWIID). The empirical results of this study, based on the dynamic panel models, provide new evidence that highlights the nonlinear U-shaped relationship between financial deepening and income distribution. It implies the narrowing of the income-inequality gap at the early stage of financial development of the countries. This improvement, however, will only be sustainable dynamically below a certain threshold level. Further deepening above that level will lead to a reverse effect, which deteriorates income inequality. This reflects the inefficiency of financial markets in improving economic inequality when the threshold level is overshot. © 2011 Springer Science+Business Media, LLC.","author":[{"dropping-particle":"","family":"Tan","given":"Hui Boon","non-dropping-particle":"","parse-names":false,"suffix":""},{"dropping-particle":"","family":"Law","given":"Siong Hook","non-dropping-particle":"","parse-names":false,"suffix":""}],"container-title":"Journal of Economic Inequality","id":"ITEM-1","issue":"4","issued":{"date-parts":[["2012","12"]]},"page":"551-563","title":"Nonlinear dynamics of the finance-inequality nexus in developing countries","type":"article-journal","volume":"10"},"uris":["http://www.mendeley.com/documents/?uuid=03b99fed-e962-31fb-b4f3-e0bae4d119f9"]},{"id":"ITEM-2","itemData":{"DOI":"10.1080/1540496X.2017.1333958","ISSN":"15580938","abstract":"The central objective of our article is to empirically examine the relationship between financial development and income inequality. Theoretically, there are grounds for both a positive and negativ...","author":[{"dropping-particle":"","family":"Park","given":"Donghyun","non-dropping-particle":"","parse-names":false,"suffix":""},{"dropping-particle":"","family":"Shin","given":"Kwanho","non-dropping-particle":"","parse-names":false,"suffix":""}],"container-title":"https://doi.org/10.1080/1540496X.2017.1333958","id":"ITEM-2","issue":"12","issued":{"date-parts":[["2017","12","2"]]},"page":"2794-2825","publisher":"Routledge","title":"Economic Growth, Financial Development, and Income Inequality","type":"article-journal","volume":"53"},"uris":["http://www.mendeley.com/documents/?uuid=1d964aec-d8a4-30e0-9320-41bacfd7852b"]}],"mendeley":{"formattedCitation":"(Park &amp; Shin, 2017; Tan &amp; Law, 2012)","plainTextFormattedCitation":"(Park &amp; Shin, 2017; Tan &amp; Law, 2012)","previouslyFormattedCitation":"(Park &amp; Shin, 2017; Tan &amp; Law, 2012)"},"properties":{"noteIndex":0},"schema":"https://github.com/citation-style-language/schema/raw/master/csl-citation.json"}</w:instrText>
      </w:r>
      <w:r>
        <w:fldChar w:fldCharType="separate"/>
      </w:r>
      <w:r w:rsidRPr="00671720">
        <w:rPr>
          <w:noProof/>
        </w:rPr>
        <w:t xml:space="preserve">(Park </w:t>
      </w:r>
      <w:r w:rsidR="00C62879">
        <w:rPr>
          <w:noProof/>
        </w:rPr>
        <w:t>and</w:t>
      </w:r>
      <w:r w:rsidRPr="00671720">
        <w:rPr>
          <w:noProof/>
        </w:rPr>
        <w:t xml:space="preserve"> Shin, 2017; Tan </w:t>
      </w:r>
      <w:r w:rsidR="00C62879">
        <w:rPr>
          <w:noProof/>
        </w:rPr>
        <w:t>and</w:t>
      </w:r>
      <w:r w:rsidRPr="00671720">
        <w:rPr>
          <w:noProof/>
        </w:rPr>
        <w:t xml:space="preserve"> Law, 2012)</w:t>
      </w:r>
      <w:r>
        <w:fldChar w:fldCharType="end"/>
      </w:r>
      <w:r>
        <w:t xml:space="preserve">, which implies that </w:t>
      </w:r>
      <w:r w:rsidRPr="008D0211">
        <w:t xml:space="preserve">ﬁnancial deepening </w:t>
      </w:r>
      <w:r>
        <w:t>can reduce</w:t>
      </w:r>
      <w:r w:rsidRPr="008D0211">
        <w:t xml:space="preserve"> income inequality</w:t>
      </w:r>
      <w:r w:rsidRPr="00671720">
        <w:t xml:space="preserve"> </w:t>
      </w:r>
      <w:r w:rsidRPr="008D0211">
        <w:t>in the early stage</w:t>
      </w:r>
      <w:r>
        <w:t>s</w:t>
      </w:r>
      <w:r w:rsidRPr="008D0211">
        <w:t xml:space="preserve"> of </w:t>
      </w:r>
      <w:r>
        <w:t>FD while</w:t>
      </w:r>
      <w:r w:rsidRPr="008D0211">
        <w:t xml:space="preserve"> it </w:t>
      </w:r>
      <w:r>
        <w:t>increases</w:t>
      </w:r>
      <w:r w:rsidRPr="008D0211">
        <w:t xml:space="preserve"> income inequality after reaching a higher level of </w:t>
      </w:r>
      <w:r>
        <w:t>FD</w:t>
      </w:r>
      <w:r w:rsidRPr="008D0211">
        <w:t>.</w:t>
      </w:r>
      <w:r w:rsidRPr="00162470">
        <w:t xml:space="preserve"> </w:t>
      </w:r>
      <w:r>
        <w:t xml:space="preserve">Thus, the existing literature has not reached any consensus on the income inequality impact </w:t>
      </w:r>
      <w:r w:rsidR="00B15F46">
        <w:t>of FD</w:t>
      </w:r>
      <w:r>
        <w:t xml:space="preserve">. </w:t>
      </w:r>
    </w:p>
    <w:p w14:paraId="716399B0" w14:textId="1F1AC2AC" w:rsidR="0012305F" w:rsidRDefault="0012305F" w:rsidP="0012305F">
      <w:r>
        <w:t>However, our study goes beyond the FD-income inequality relationship and argues</w:t>
      </w:r>
      <w:r w:rsidRPr="00C86E71">
        <w:t xml:space="preserve"> that </w:t>
      </w:r>
      <w:r>
        <w:t>a</w:t>
      </w:r>
      <w:r w:rsidRPr="00C86E71">
        <w:t xml:space="preserve"> country</w:t>
      </w:r>
      <w:r>
        <w:t>’</w:t>
      </w:r>
      <w:r w:rsidRPr="00C86E71">
        <w:t xml:space="preserve">s openness to trade market and capital flow can impact the nexus between FD and income inequality. The literature has emphasized the role of trade and financial openness in promoting </w:t>
      </w:r>
      <w:r>
        <w:t>FD</w:t>
      </w:r>
      <w:r w:rsidRPr="00C86E71">
        <w:t xml:space="preserve"> and determining income inequality. On the one hand, </w:t>
      </w:r>
      <w:r w:rsidRPr="00C86E71">
        <w:fldChar w:fldCharType="begin" w:fldLock="1"/>
      </w:r>
      <w:r w:rsidR="002E36DB">
        <w:instrText>ADDIN CSL_CITATION {"citationItems":[{"id":"ITEM-1","itemData":{"DOI":"10.1016/S0304-405X(03)00125-9","ISSN":"0304-405X","abstract":"The state of development of the financial sector does not change monotonically over time. In particular, by most measures, countries were more financially developed in 1913 than in 1980 and only recently have they surpassed their 1913 levels. To explain these changes, we propose an interest group theory of financial development where incumbents oppose financial development because it breeds competition. The theory predicts that incumbents' opposition will be weaker when an economy allows both cross-border trade and capital flows. This theory can go some way in accounting for the cross-country differences in, and the time-series variation of, financial development. © 2003 Elsevier Science B.V. All rights reserved.","author":[{"dropping-particle":"","family":"Rajan","given":"Raghuram","non-dropping-particle":"","parse-names":false,"suffix":""},{"dropping-particle":"","family":"Zingales","given":"Luigi","non-dropping-particle":"","parse-names":false,"suffix":""}],"container-title":"Journal of Financial Economics","id":"ITEM-1","issue":"1","issued":{"date-parts":[["2003","7","1"]]},"page":"5-50","publisher":"North-Holland","title":"The great reversals: the politics of financial development in the twentieth century","type":"article-journal","volume":"69"},"uris":["http://www.mendeley.com/documents/?uuid=9da0c7c1-1555-396a-aa4d-441b5afd7a92"]}],"mendeley":{"formattedCitation":"(Rajan &amp; Zingales, 2003b)","manualFormatting":"Rajan and Zingales (2003b)","plainTextFormattedCitation":"(Rajan &amp; Zingales, 2003b)","previouslyFormattedCitation":"(Rajan &amp; Zingales, 2003b)"},"properties":{"noteIndex":0},"schema":"https://github.com/citation-style-language/schema/raw/master/csl-citation.json"}</w:instrText>
      </w:r>
      <w:r w:rsidRPr="00C86E71">
        <w:fldChar w:fldCharType="separate"/>
      </w:r>
      <w:r w:rsidRPr="00321676">
        <w:rPr>
          <w:noProof/>
        </w:rPr>
        <w:t xml:space="preserve">Rajan </w:t>
      </w:r>
      <w:r>
        <w:rPr>
          <w:noProof/>
        </w:rPr>
        <w:t>and</w:t>
      </w:r>
      <w:r w:rsidRPr="00321676">
        <w:rPr>
          <w:noProof/>
        </w:rPr>
        <w:t xml:space="preserve"> Zingales </w:t>
      </w:r>
      <w:r>
        <w:rPr>
          <w:noProof/>
        </w:rPr>
        <w:t>(</w:t>
      </w:r>
      <w:r w:rsidRPr="00321676">
        <w:rPr>
          <w:noProof/>
        </w:rPr>
        <w:t>2003b)</w:t>
      </w:r>
      <w:r w:rsidRPr="00C86E71">
        <w:fldChar w:fldCharType="end"/>
      </w:r>
      <w:r>
        <w:t xml:space="preserve"> argue that a country’s openness </w:t>
      </w:r>
      <w:r w:rsidRPr="008D255F">
        <w:t xml:space="preserve">can weaken the power of established incumbent industrial and financial interest groups who oppose FD and provide incentives for them to develop the financial market. On the other hand, it is argued that the country’s openness is one of the determinants of income inequality </w:t>
      </w:r>
      <w:r w:rsidRPr="008D255F">
        <w:fldChar w:fldCharType="begin" w:fldLock="1"/>
      </w:r>
      <w:r w:rsidRPr="008D255F">
        <w:instrText>ADDIN CSL_CITATION {"citationItems":[{"id":"ITEM-1","itemData":{"DOI":"10.1111/TWEC.13007","ISSN":"1467-9701","abstract":"A large volume of econometric literature has studied the impact of economic globalisation on income inequality around the world. However, reported econometric estimates vary substantially, which makes it difficult to draw valid conclusions. This paper presents a quantitative summary and analysis of existing estimates regarding the globalisation–inequality relationship. We use a new data set consisting of 1,254 observations from 123 primary studies. By applying meta-analysis and meta-regression methods, we obtain several main findings. First, globalisation has a (small-to-moderate) inequality-increasing effect. Second, while the effect of trade globalisation is small, financial globalisation shows a more sizeable and significantly stronger inequality-increasing impact. Third, we find an average inequality-increasing impact of globalisation in both advanced and developing countries. Fourth, education and technology moderate the impact of globalisation on income inequality.","author":[{"dropping-particle":"","family":"Heimberger","given":"Philipp","non-dropping-particle":"","parse-names":false,"suffix":""}],"container-title":"The World Economy","id":"ITEM-1","issue":"11","issued":{"date-parts":[["2020","11","1"]]},"page":"2960-2982","publisher":"John Wiley &amp; Sons, Ltd","title":"Does economic globalisation affect income inequality? A meta-analysis","type":"article-journal","volume":"43"},"uris":["http://www.mendeley.com/documents/?uuid=1f9e32da-9fe2-3c7a-a76b-a9ee6d51fe30"]},{"id":"ITEM-2","itemData":{"DOI":"10.1093/ESR/JCN046","ISSN":"0266-7215","author":[{"dropping-particle":"","family":"Mills","given":"Melinda","non-dropping-particle":"","parse-names":false,"suffix":""}],"container-title":"European Sociological Review","id":"ITEM-2","issue":"1","issued":{"date-parts":[["2009","2","1"]]},"page":"1-8","publisher":"Oxford Academic","title":"Globalization and Inequality","type":"article-journal","volume":"25"},"uris":["http://www.mendeley.com/documents/?uuid=d3f877b7-499b-32d7-9773-f6a4b35d5fbb"]}],"mendeley":{"formattedCitation":"(Heimberger, 2020; Mills, 2009)","plainTextFormattedCitation":"(Heimberger, 2020; Mills, 2009)","previouslyFormattedCitation":"(Heimberger, 2020; Mills, 2009)"},"properties":{"noteIndex":0},"schema":"https://github.com/citation-style-language/schema/raw/master/csl-citation.json"}</w:instrText>
      </w:r>
      <w:r w:rsidRPr="008D255F">
        <w:fldChar w:fldCharType="separate"/>
      </w:r>
      <w:r w:rsidRPr="008D255F">
        <w:rPr>
          <w:noProof/>
        </w:rPr>
        <w:t>(Heimberger, 2020; Mills, 2009)</w:t>
      </w:r>
      <w:r w:rsidRPr="008D255F">
        <w:fldChar w:fldCharType="end"/>
      </w:r>
      <w:r w:rsidRPr="008D255F">
        <w:t xml:space="preserve">. Thus, it may be that a certain level of openness must be attained </w:t>
      </w:r>
      <w:r>
        <w:t xml:space="preserve">in a country </w:t>
      </w:r>
      <w:r w:rsidRPr="008D255F">
        <w:t xml:space="preserve">before FD impacts income inequality.  There is little direct evidence to confirm that openness makes a difference in how FD affects income inequality. The most relevant paper is by </w:t>
      </w:r>
      <w:r w:rsidRPr="008D255F">
        <w:fldChar w:fldCharType="begin" w:fldLock="1"/>
      </w:r>
      <w:r w:rsidRPr="008D255F">
        <w:instrText>ADDIN CSL_CITATION {"citationItems":[{"id":"ITEM-1","itemData":{"DOI":"10.1017/S1365100512000843","ISSN":"1365-1005","abstract":"This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Dynamics","id":"ITEM-1","issue":"5","issued":{"date-parts":[["2014"]]},"page":"1091-1128","publisher":"Cambridge University Press","title":"FINANCE AND INEQUALITY: HOW DOES GLOBALIZATION CHANGE THEIR RELATIONSHIP?","type":"article-journal","volume":"18"},"uris":["http://www.mendeley.com/documents/?uuid=8098cfdc-f149-3010-b8b3-1439aebcb663"]}],"mendeley":{"formattedCitation":"(Kunieda et al., 2014)","manualFormatting":"Kunieda et al. (2014)","plainTextFormattedCitation":"(Kunieda et al., 2014)","previouslyFormattedCitation":"(Kunieda et al., 2014)"},"properties":{"noteIndex":0},"schema":"https://github.com/citation-style-language/schema/raw/master/csl-citation.json"}</w:instrText>
      </w:r>
      <w:r w:rsidRPr="008D255F">
        <w:fldChar w:fldCharType="separate"/>
      </w:r>
      <w:r w:rsidRPr="008D255F">
        <w:rPr>
          <w:noProof/>
        </w:rPr>
        <w:t>Kunieda et al. (2014)</w:t>
      </w:r>
      <w:r w:rsidRPr="008D255F">
        <w:fldChar w:fldCharType="end"/>
      </w:r>
      <w:r w:rsidRPr="008D255F">
        <w:t>, which argues the importance of financial openness in the FD-income</w:t>
      </w:r>
      <w:r>
        <w:t xml:space="preserve"> inequality</w:t>
      </w:r>
      <w:r w:rsidRPr="00654299">
        <w:t xml:space="preserve"> relationship</w:t>
      </w:r>
      <w:r>
        <w:t xml:space="preserve">. They </w:t>
      </w:r>
      <w:r w:rsidRPr="00654299">
        <w:t>theoretically</w:t>
      </w:r>
      <w:r>
        <w:t xml:space="preserve"> </w:t>
      </w:r>
      <w:r>
        <w:lastRenderedPageBreak/>
        <w:t>and empirically show that FD increases</w:t>
      </w:r>
      <w:r w:rsidRPr="00DA2DC1">
        <w:t xml:space="preserve"> income inequality under higher ﬁnancial openness</w:t>
      </w:r>
      <w:r>
        <w:t xml:space="preserve"> bu</w:t>
      </w:r>
      <w:r w:rsidRPr="00DA2DC1">
        <w:t xml:space="preserve">t reduces income inequality </w:t>
      </w:r>
      <w:r w:rsidRPr="00E06D43">
        <w:t>under lower ﬁnancial openness. Despite their theoretical and empirical work, the empirical evidence on the impact of openness on the inequality impact of FD remain</w:t>
      </w:r>
      <w:r>
        <w:t>s</w:t>
      </w:r>
      <w:r w:rsidRPr="00E06D43">
        <w:t xml:space="preserve"> thin. Therefore, if we assume that a</w:t>
      </w:r>
      <w:r>
        <w:t>n</w:t>
      </w:r>
      <w:r w:rsidRPr="00E06D43">
        <w:t xml:space="preserve"> open economy provides fertile ground for the pro-inequality effects of FD, and the impact of FD on income inequality takes effect only after openness exceeds a threshold level, two questions </w:t>
      </w:r>
      <w:r>
        <w:t>are</w:t>
      </w:r>
      <w:r w:rsidRPr="00E06D43">
        <w:t xml:space="preserve"> raised: (</w:t>
      </w:r>
      <w:proofErr w:type="spellStart"/>
      <w:r w:rsidRPr="00E06D43">
        <w:t>i</w:t>
      </w:r>
      <w:proofErr w:type="spellEnd"/>
      <w:r w:rsidRPr="00E06D43">
        <w:t>) Would the relationship between FD and income inequality be uniform with the level of openness</w:t>
      </w:r>
      <w:r>
        <w:t>, including trade openness and financial openness</w:t>
      </w:r>
      <w:r w:rsidRPr="00E06D43">
        <w:t xml:space="preserve">? </w:t>
      </w:r>
      <w:r>
        <w:t xml:space="preserve">and </w:t>
      </w:r>
      <w:r w:rsidRPr="00E06D43">
        <w:t xml:space="preserve">(ii) </w:t>
      </w:r>
      <w:r>
        <w:t>T</w:t>
      </w:r>
      <w:r w:rsidRPr="00E06D43">
        <w:t>o what extent can FD contribute to the rises in income inequality? The primary objective of this study is to shed light on these questions. This paper represents a first step in providing such empirical evidence by analysing the impact of both trade and financial openness on FD-income inequality relationship.</w:t>
      </w:r>
    </w:p>
    <w:p w14:paraId="150BFC09" w14:textId="00592747" w:rsidR="0012305F" w:rsidRPr="00D548D6" w:rsidRDefault="0012305F" w:rsidP="0012305F">
      <w:pPr>
        <w:rPr>
          <w:highlight w:val="yellow"/>
        </w:rPr>
      </w:pPr>
      <w:r w:rsidRPr="00F66373">
        <w:t xml:space="preserve">For this </w:t>
      </w:r>
      <w:r w:rsidRPr="009B74B1">
        <w:t>purpose, first</w:t>
      </w:r>
      <w:r>
        <w:t>,</w:t>
      </w:r>
      <w:r w:rsidRPr="009B74B1">
        <w:t xml:space="preserve"> we split the sample into subgroups by the level of financial openness and trade openness to assess </w:t>
      </w:r>
      <w:r>
        <w:t>whether</w:t>
      </w:r>
      <w:r w:rsidRPr="009B74B1">
        <w:t xml:space="preserve"> the inequality impact of </w:t>
      </w:r>
      <w:r>
        <w:t>FD</w:t>
      </w:r>
      <w:r w:rsidRPr="009B74B1">
        <w:t xml:space="preserve"> varies in different subgroups. In further examination, in the full sample dataset, we interact </w:t>
      </w:r>
      <w:r>
        <w:t>FD</w:t>
      </w:r>
      <w:r w:rsidRPr="009B74B1">
        <w:t xml:space="preserve"> with either financial openness or trade openness to </w:t>
      </w:r>
      <w:r w:rsidRPr="0060324C">
        <w:t>examine whether the impact of FD on income inequality depends on the degree of openness. To capture the persistence of income inequality,  we allow for the dynamic behaviour of income inequality</w:t>
      </w:r>
      <w:r>
        <w:t>,</w:t>
      </w:r>
      <w:r w:rsidRPr="0060324C">
        <w:t xml:space="preserve"> which is estimated by the two-step Generalised Method of Moments (GMM), developed by </w:t>
      </w:r>
      <w:r w:rsidRPr="0060324C">
        <w:fldChar w:fldCharType="begin" w:fldLock="1"/>
      </w:r>
      <w:r w:rsidR="002E36DB">
        <w:instrText>ADDIN CSL_CITATION {"citationItems":[{"id":"ITEM-1","itemData":{"DOI":"10.2307/2297968","ISSN":"0034-6527","abstract":"This paper presents specification tests that are applicable after estimating a dynamic model from panel data by the generalized method of moments (GMM), and studies the practical performance of these procedures using both generated and real data. Our GMM estimator optimally exploits all the linear moment restrictions that follow from the assumption of no serial correlation in the errors, in an equation which contains individual effects, lagged dependent variables and no strictly exogenous variables. We propose a test of serial correlation based on the GMM residuals and compare this with Sargan tests of over-identifying restrictions and Hausman specification tests. © 1991 The Review of Economic Studies Limited.","author":[{"dropping-particle":"","family":"Arellano","given":"Manuel","non-dropping-particle":"","parse-names":false,"suffix":""},{"dropping-particle":"","family":"Bond","given":"Stephen","non-dropping-particle":"","parse-names":false,"suffix":""}],"container-title":"The Review of Economic Studies","id":"ITEM-1","issue":"2","issued":{"date-parts":[["1991","4","1"]]},"page":"277-297","publisher":"Oxford Academic","title":"Some tests of specification for panel data: Monte Carlo evidence and an application to employment equations","type":"article-journal","volume":"58"},"uris":["http://www.mendeley.com/documents/?uuid=a2e1da2f-bdb1-369c-8f95-30d5df46e677"]}],"mendeley":{"formattedCitation":"(Arellano &amp; Bond, 1991)","manualFormatting":"Arellano and Bond (1991)","plainTextFormattedCitation":"(Arellano &amp; Bond, 1991)","previouslyFormattedCitation":"(Arellano &amp; Bond, 1991)"},"properties":{"noteIndex":0},"schema":"https://github.com/citation-style-language/schema/raw/master/csl-citation.json"}</w:instrText>
      </w:r>
      <w:r w:rsidRPr="0060324C">
        <w:fldChar w:fldCharType="separate"/>
      </w:r>
      <w:r w:rsidRPr="0060324C">
        <w:rPr>
          <w:noProof/>
        </w:rPr>
        <w:t xml:space="preserve">Arellano </w:t>
      </w:r>
      <w:r>
        <w:rPr>
          <w:noProof/>
        </w:rPr>
        <w:t>and</w:t>
      </w:r>
      <w:r w:rsidRPr="0060324C">
        <w:rPr>
          <w:noProof/>
        </w:rPr>
        <w:t xml:space="preserve"> Bond (1991)</w:t>
      </w:r>
      <w:r w:rsidRPr="0060324C">
        <w:fldChar w:fldCharType="end"/>
      </w:r>
      <w:r w:rsidRPr="0060324C">
        <w:t xml:space="preserve">. However, these two approaches do not give us specific information on the threshold value, if any, at which the effect becomes different. For this reason, we employ the dynamic panel threshold method of </w:t>
      </w:r>
      <w:r w:rsidRPr="0060324C">
        <w:fldChar w:fldCharType="begin" w:fldLock="1"/>
      </w:r>
      <w:r w:rsidRPr="0060324C">
        <w:instrText>ADDIN CSL_CITATION {"citationItems":[{"id":"ITEM-1","itemData":{"DOI":"10.1007/S00181-012-0553-9","ISSN":"1435-8921","abstract":"We introduce a dynamic panel threshold model to estimate inflation thresholds for long-term economic growth. Advancing on Hansen (J Econom 93:345–368, 1999) and Caner and Hansen (Econom Theory 20:813–843, 2004), our model allows the estimation of threshold effects with panel data even in case of endogenous regressors. The empirical analysis is based on a large panel-dataset including 124 countries. For industrialized countries, our results confirm the inflation targets of about 2% set by many central banks. For non-industrialized countries, we estimate that inflation rates exceeding 17% are associated with lower economic growth. Below this threshold, however, the correlation remains insignificant.","author":[{"dropping-particle":"","family":"Kremer","given":"Stephanie","non-dropping-particle":"","parse-names":false,"suffix":""},{"dropping-particle":"","family":"Bick","given":"Alexander","non-dropping-particle":"","parse-names":false,"suffix":""},{"dropping-particle":"","family":"Nautz","given":"Dieter","non-dropping-particle":"","parse-names":false,"suffix":""}],"container-title":"Empirical Economics 2012 44:2","id":"ITEM-1","issue":"2","issued":{"date-parts":[["2013","3","14"]]},"page":"861-878","publisher":"Springer","title":"Inflation and growth: new evidence from a dynamic panel threshold analysis","type":"article-journal","volume":"44"},"uris":["http://www.mendeley.com/documents/?uuid=6e418c57-cfd5-3aa8-b0fd-373fdd3488c3"]}],"mendeley":{"formattedCitation":"(Kremer et al., 2013)","manualFormatting":"Kremer et al. (2013)","plainTextFormattedCitation":"(Kremer et al., 2013)","previouslyFormattedCitation":"(Kremer et al., 2013)"},"properties":{"noteIndex":0},"schema":"https://github.com/citation-style-language/schema/raw/master/csl-citation.json"}</w:instrText>
      </w:r>
      <w:r w:rsidRPr="0060324C">
        <w:fldChar w:fldCharType="separate"/>
      </w:r>
      <w:r w:rsidRPr="0060324C">
        <w:rPr>
          <w:noProof/>
        </w:rPr>
        <w:t>Kremer et al. (2013)</w:t>
      </w:r>
      <w:r w:rsidRPr="0060324C">
        <w:fldChar w:fldCharType="end"/>
      </w:r>
      <w:r w:rsidRPr="0060324C">
        <w:t>, which extends</w:t>
      </w:r>
      <w:r w:rsidRPr="009B74B1">
        <w:t xml:space="preserve"> the models of </w:t>
      </w:r>
      <w:r w:rsidRPr="009B74B1">
        <w:fldChar w:fldCharType="begin" w:fldLock="1"/>
      </w:r>
      <w:r>
        <w:instrText>ADDIN CSL_CITATION {"citationItems":[{"id":"ITEM-1","itemData":{"DOI":"10.1016/S0304-4076(99)00025-1","ISSN":"0304-4076","abstract":"Threshold regression methods are developed for non-dynamic panels with individual-specific fixed effects. Least squares estimation of the threshold and regression slopes is proposed using fixed-effects transformations. A non-standard asymptotic theory of inference is developed which allows construction of confidence intervals and testing of hypotheses. The methods are applied to a 15-year sample of 565 US firms to test whether financial constraints affect investment decisions. © 1999 Elsevier Science S.A. All rights reserved.","author":[{"dropping-particle":"","family":"Hansen","given":"Bruce E.","non-dropping-particle":"","parse-names":false,"suffix":""}],"container-title":"Journal of Econometrics","id":"ITEM-1","issue":"2","issued":{"date-parts":[["1999","12","1"]]},"page":"345-368","publisher":"North-Holland","title":"Threshold effects in non-dynamic panels: Estimation, testing, and inference","type":"article-journal","volume":"93"},"uris":["http://www.mendeley.com/documents/?uuid=80fd6d17-aff8-3acf-b154-88eed05a13fa"]}],"mendeley":{"formattedCitation":"(Hansen, 1999)","manualFormatting":"Hansen (1999)","plainTextFormattedCitation":"(Hansen, 1999)","previouslyFormattedCitation":"(Hansen, 1999)"},"properties":{"noteIndex":0},"schema":"https://github.com/citation-style-language/schema/raw/master/csl-citation.json"}</w:instrText>
      </w:r>
      <w:r w:rsidRPr="009B74B1">
        <w:fldChar w:fldCharType="separate"/>
      </w:r>
      <w:r w:rsidRPr="002A1517">
        <w:rPr>
          <w:noProof/>
        </w:rPr>
        <w:t xml:space="preserve">Hansen </w:t>
      </w:r>
      <w:r>
        <w:rPr>
          <w:noProof/>
        </w:rPr>
        <w:t>(</w:t>
      </w:r>
      <w:r w:rsidRPr="002A1517">
        <w:rPr>
          <w:noProof/>
        </w:rPr>
        <w:t>1999)</w:t>
      </w:r>
      <w:r w:rsidRPr="009B74B1">
        <w:fldChar w:fldCharType="end"/>
      </w:r>
      <w:r w:rsidRPr="009B74B1">
        <w:t xml:space="preserve"> and </w:t>
      </w:r>
      <w:r w:rsidRPr="009B74B1">
        <w:fldChar w:fldCharType="begin" w:fldLock="1"/>
      </w:r>
      <w:r w:rsidR="002E36DB">
        <w:instrText>ADDIN CSL_CITATION {"citationItems":[{"id":"ITEM-1","itemData":{"DOI":"10.1017/S0266466604205011","ISSN":"1469-4360","abstract":"Threshold models (sample splitting models) have wide application in economics. Existing estimation methods are confined to regression models, which require that all right-hand-side variables are exogenous. This paper considers a model with endogenous variables but an exogenous threshold variable. We develop a two-stage least squares estimator of the threshold parameter and a generalized method of moments estimator of the slope parameters. We show that these estimators are consistent, and we derive the asymptotic distribution of the estimators. The threshold estimate has the same distribution as for the regression case (Hansen, 2000, Econometrica 68, 575–603), with a different scale. The slope parameter estimates are asymptotically normal with conventional covariance matrices. We investigate our distribution theory with a Monte Carlo simulation that indicates the applicability of the methods.We thank the two referees and co-editor for constructive comments. Hansen thanks the National Science Foundation for financial support. Caner thanks University of Pittsburgh Central Research Development Fund for financial support.","author":[{"dropping-particle":"","family":"Caner","given":"Mehmet","non-dropping-particle":"","parse-names":false,"suffix":""},{"dropping-particle":"","family":"Hansen","given":"Bruce E.","non-dropping-particle":"","parse-names":false,"suffix":""}],"container-title":"Econometric Theory","id":"ITEM-1","issue":"5","issued":{"date-parts":[["2004","10"]]},"page":"813-843","publisher":"Cambridge University Press","title":"INSTRUMENTAL VARIABLE ESTIMATION OF A THRESHOLD MODEL","type":"article-journal","volume":"20"},"uris":["http://www.mendeley.com/documents/?uuid=44b668be-ed9d-3815-8fc3-e51408a8c77a"]}],"mendeley":{"formattedCitation":"(Caner &amp; Hansen, 2004)","manualFormatting":"Caner and Hansen (2004)","plainTextFormattedCitation":"(Caner &amp; Hansen, 2004)","previouslyFormattedCitation":"(Caner &amp; Hansen, 2004)"},"properties":{"noteIndex":0},"schema":"https://github.com/citation-style-language/schema/raw/master/csl-citation.json"}</w:instrText>
      </w:r>
      <w:r w:rsidRPr="009B74B1">
        <w:fldChar w:fldCharType="separate"/>
      </w:r>
      <w:r w:rsidRPr="002A1517">
        <w:rPr>
          <w:noProof/>
        </w:rPr>
        <w:t xml:space="preserve">Caner </w:t>
      </w:r>
      <w:r>
        <w:rPr>
          <w:noProof/>
        </w:rPr>
        <w:t>and</w:t>
      </w:r>
      <w:r w:rsidRPr="002A1517">
        <w:rPr>
          <w:noProof/>
        </w:rPr>
        <w:t xml:space="preserve"> Hansen </w:t>
      </w:r>
      <w:r>
        <w:rPr>
          <w:noProof/>
        </w:rPr>
        <w:t>(</w:t>
      </w:r>
      <w:r w:rsidRPr="002A1517">
        <w:rPr>
          <w:noProof/>
        </w:rPr>
        <w:t>2004)</w:t>
      </w:r>
      <w:r w:rsidRPr="009B74B1">
        <w:fldChar w:fldCharType="end"/>
      </w:r>
      <w:r>
        <w:t xml:space="preserve"> </w:t>
      </w:r>
      <w:r w:rsidRPr="009B74B1">
        <w:t xml:space="preserve">to allow for endogenous regressors in a panel setup. </w:t>
      </w:r>
      <w:r>
        <w:t>W</w:t>
      </w:r>
      <w:r w:rsidRPr="009B74B1">
        <w:t xml:space="preserve">e use a dynamic panel threshold mode with a GMM estimator to investigate whether </w:t>
      </w:r>
      <w:r>
        <w:t>a financial or trade openness threshold exists</w:t>
      </w:r>
      <w:r w:rsidRPr="009B74B1">
        <w:t xml:space="preserve"> beyond which </w:t>
      </w:r>
      <w:r>
        <w:t>FD</w:t>
      </w:r>
      <w:r w:rsidRPr="009B74B1">
        <w:t xml:space="preserve"> </w:t>
      </w:r>
      <w:r>
        <w:t>worsens</w:t>
      </w:r>
      <w:r w:rsidRPr="009B74B1">
        <w:t xml:space="preserve"> </w:t>
      </w:r>
      <w:r>
        <w:t>income inequality</w:t>
      </w:r>
      <w:r w:rsidRPr="00F66373">
        <w:t>.</w:t>
      </w:r>
      <w:r>
        <w:t xml:space="preserve"> W</w:t>
      </w:r>
      <w:r w:rsidRPr="0098144C">
        <w:t xml:space="preserve">e find </w:t>
      </w:r>
      <w:r>
        <w:t>evidence that FD generally fosters income inequality</w:t>
      </w:r>
      <w:r w:rsidRPr="0098144C">
        <w:t xml:space="preserve">, but the </w:t>
      </w:r>
      <w:r>
        <w:t>level of financial openness and trade openness influences the inequality effect of FD.</w:t>
      </w:r>
      <w:r w:rsidRPr="00024EAD">
        <w:t xml:space="preserve"> </w:t>
      </w:r>
      <w:r w:rsidRPr="0098144C">
        <w:t>This evidence</w:t>
      </w:r>
      <w:r>
        <w:t xml:space="preserve"> suggests that a higher level of financial openness and trade openness strengthens the pro-inequality impact of FD.</w:t>
      </w:r>
    </w:p>
    <w:p w14:paraId="07D0ABEE" w14:textId="2970E796" w:rsidR="0012305F" w:rsidRDefault="0012305F" w:rsidP="0012305F">
      <w:r>
        <w:t>This study’s contribution is threefold. First, we depart from previous studies by considering the level of the country’s openness to both financial and trade markets in the income inequality impact of FD.  As a result, this study adds more dimensions – trade openness and financial openness – to the current literature c</w:t>
      </w:r>
      <w:r w:rsidRPr="005A6513">
        <w:t>oncerning non</w:t>
      </w:r>
      <w:r>
        <w:t>-</w:t>
      </w:r>
      <w:r w:rsidRPr="005A6513">
        <w:t xml:space="preserve">linearity in the link between </w:t>
      </w:r>
      <w:r>
        <w:t>FD</w:t>
      </w:r>
      <w:r w:rsidRPr="005A6513">
        <w:t xml:space="preserve"> and income inequality</w:t>
      </w:r>
      <w:r>
        <w:t xml:space="preserve">. Second, </w:t>
      </w:r>
      <w:r w:rsidRPr="00F23D50">
        <w:t>while</w:t>
      </w:r>
      <w:r>
        <w:t xml:space="preserve"> </w:t>
      </w:r>
      <w:r w:rsidRPr="00F23D50">
        <w:t>previous</w:t>
      </w:r>
      <w:r>
        <w:t xml:space="preserve"> </w:t>
      </w:r>
      <w:r w:rsidRPr="00F23D50">
        <w:t>empirical stud</w:t>
      </w:r>
      <w:r>
        <w:t>y</w:t>
      </w:r>
      <w:r w:rsidRPr="00F23D50">
        <w:t xml:space="preserve"> on the </w:t>
      </w:r>
      <w:r>
        <w:t xml:space="preserve">moderation impact of financial openness on the FD-income inequality </w:t>
      </w:r>
      <w:r w:rsidRPr="00F23D50">
        <w:t>nexus support</w:t>
      </w:r>
      <w:r>
        <w:t>s a</w:t>
      </w:r>
      <w:r w:rsidRPr="00F23D50">
        <w:t xml:space="preserve"> positive monotonic </w:t>
      </w:r>
      <w:r>
        <w:t>relationship by increasing financial openness</w:t>
      </w:r>
      <w:r w:rsidRPr="00F23D50">
        <w:t xml:space="preserve">, we examine whether </w:t>
      </w:r>
      <w:r>
        <w:t>a nonlinear relationship exists</w:t>
      </w:r>
      <w:r w:rsidRPr="00F23D50">
        <w:t xml:space="preserve"> with a potential threshold effect</w:t>
      </w:r>
      <w:r>
        <w:t>, using dynamic panel threshold regression</w:t>
      </w:r>
      <w:r w:rsidRPr="00F23D50">
        <w:t>.</w:t>
      </w:r>
      <w:r>
        <w:t xml:space="preserve"> Third, our findings </w:t>
      </w:r>
      <w:r w:rsidRPr="005A6513">
        <w:t>call attention to the need for policymakers to</w:t>
      </w:r>
      <w:r>
        <w:t xml:space="preserve"> consider the level of a country’s openness when exploring possible outcomes from </w:t>
      </w:r>
      <w:r w:rsidR="00B15F46">
        <w:t>FD and</w:t>
      </w:r>
      <w:r>
        <w:t xml:space="preserve"> </w:t>
      </w:r>
      <w:r w:rsidRPr="00F23D50">
        <w:t>provide</w:t>
      </w:r>
      <w:r>
        <w:t xml:space="preserve"> </w:t>
      </w:r>
      <w:r w:rsidRPr="00F23D50">
        <w:t xml:space="preserve">insights into how changes in </w:t>
      </w:r>
      <w:r>
        <w:t xml:space="preserve">openness </w:t>
      </w:r>
      <w:r w:rsidRPr="00F23D50">
        <w:t xml:space="preserve">will affect </w:t>
      </w:r>
      <w:r>
        <w:t>those outcomes</w:t>
      </w:r>
      <w:r w:rsidRPr="005A6513">
        <w:t>.</w:t>
      </w:r>
    </w:p>
    <w:p w14:paraId="714C61D9" w14:textId="70024F4B" w:rsidR="0012305F" w:rsidRDefault="0012305F" w:rsidP="002E36DB">
      <w:r w:rsidRPr="008D255F">
        <w:t>The paper is organised as follows. </w:t>
      </w:r>
      <w:bookmarkStart w:id="4" w:name="bsec1"/>
      <w:r w:rsidRPr="002E36DB">
        <w:t>Section 2</w:t>
      </w:r>
      <w:bookmarkEnd w:id="4"/>
      <w:r w:rsidRPr="008D255F">
        <w:t xml:space="preserve"> reviews the relevant literature on this topic. </w:t>
      </w:r>
      <w:bookmarkStart w:id="5" w:name="bsec2"/>
      <w:r w:rsidRPr="002E36DB">
        <w:t>Section 3</w:t>
      </w:r>
      <w:bookmarkEnd w:id="5"/>
      <w:r w:rsidRPr="008D255F">
        <w:t xml:space="preserve"> describes </w:t>
      </w:r>
      <w:bookmarkStart w:id="6" w:name="bsec3"/>
      <w:r w:rsidRPr="008D255F">
        <w:t xml:space="preserve">the dataset and provides some preliminary insights about the income </w:t>
      </w:r>
      <w:r w:rsidRPr="008D255F">
        <w:lastRenderedPageBreak/>
        <w:t xml:space="preserve">inequality effect of FD at different levels of openness. Our empirical methodology, including two estimation methods, dynamic panel GMM and dynamic panel threshold </w:t>
      </w:r>
      <w:r w:rsidR="00B15F46" w:rsidRPr="008D255F">
        <w:t>estimation, are</w:t>
      </w:r>
      <w:r w:rsidRPr="008D255F">
        <w:t xml:space="preserve"> discussed in section 4, followed by our empirical findings and discussion in section 5.</w:t>
      </w:r>
      <w:bookmarkEnd w:id="6"/>
      <w:r w:rsidRPr="008D255F">
        <w:t xml:space="preserve"> Finally, </w:t>
      </w:r>
      <w:bookmarkStart w:id="7" w:name="bsec4"/>
      <w:r w:rsidRPr="002E36DB">
        <w:t>Section 6</w:t>
      </w:r>
      <w:bookmarkEnd w:id="7"/>
      <w:r w:rsidRPr="008D255F">
        <w:t> provides concluding remarks and policy implications.</w:t>
      </w:r>
      <w:r>
        <w:t xml:space="preserve">  </w:t>
      </w:r>
    </w:p>
    <w:p w14:paraId="1A52A351" w14:textId="7C229B0B" w:rsidR="0012305F" w:rsidRPr="002E36DB" w:rsidRDefault="0012305F" w:rsidP="002E36DB">
      <w:pPr>
        <w:pStyle w:val="Heading1"/>
        <w:numPr>
          <w:ilvl w:val="0"/>
          <w:numId w:val="1"/>
        </w:numPr>
      </w:pPr>
      <w:r w:rsidRPr="002E36DB">
        <w:t xml:space="preserve">Related literature review </w:t>
      </w:r>
    </w:p>
    <w:p w14:paraId="6F501A0A" w14:textId="3282A301" w:rsidR="0012305F" w:rsidRPr="00654299" w:rsidRDefault="0012305F" w:rsidP="002E36DB">
      <w:pPr>
        <w:ind w:firstLine="0"/>
      </w:pPr>
      <w:r w:rsidRPr="00654299">
        <w:t xml:space="preserve">Economic theories and empirical findings have remained inclusive about the impact of </w:t>
      </w:r>
      <w:r>
        <w:t>FD</w:t>
      </w:r>
      <w:r w:rsidRPr="00654299">
        <w:t xml:space="preserve"> on income inequality, as pointed out by </w:t>
      </w:r>
      <w:r w:rsidRPr="00654299">
        <w:fldChar w:fldCharType="begin" w:fldLock="1"/>
      </w:r>
      <w:r w:rsidR="002E36DB">
        <w:instrText>ADDIN CSL_CITATION {"citationItems":[{"id":"ITEM-1","itemData":{"DOI":"10.1146/ANNUREV.FINANCIAL.050808.114334","ISSN":"1941-1367","abstract":"In this paper, we critically review the literature on finance and inequality, highlighting substantive gaps in the literature. Finance plays a crucial role in the preponderance of theories of persi...","author":[{"dropping-particle":"","family":"Demirgüç-Kunt","given":"Asli","non-dropping-particle":"","parse-names":false,"suffix":""},{"dropping-particle":"","family":"Levine","given":"Ross","non-dropping-particle":"","parse-names":false,"suffix":""}],"container-title":"Annual Review of Financial Economics","id":"ITEM-1","issue":"1","issued":{"date-parts":[["2009","11","24"]]},"page":"287-318","publisher":"Annual Reviews","title":"Finance and Inequality: Theory and Evidence","type":"article-journal","volume":"1"},"uris":["http://www.mendeley.com/documents/?uuid=4129cb55-6c87-3779-b780-350bc6c20c37"]}],"mendeley":{"formattedCitation":"(Demirgüç-Kunt &amp; Levine, 2009)","manualFormatting":"Demirgüç-Kunt and Levine (2009)","plainTextFormattedCitation":"(Demirgüç-Kunt &amp; Levine, 2009)","previouslyFormattedCitation":"(Demirgüç-Kunt &amp; Levine, 2009)"},"properties":{"noteIndex":0},"schema":"https://github.com/citation-style-language/schema/raw/master/csl-citation.json"}</w:instrText>
      </w:r>
      <w:r w:rsidRPr="00654299">
        <w:fldChar w:fldCharType="separate"/>
      </w:r>
      <w:r w:rsidRPr="00654299">
        <w:rPr>
          <w:noProof/>
        </w:rPr>
        <w:t xml:space="preserve">Demirgüç-Kunt </w:t>
      </w:r>
      <w:r>
        <w:rPr>
          <w:noProof/>
        </w:rPr>
        <w:t>and</w:t>
      </w:r>
      <w:r w:rsidRPr="00654299">
        <w:rPr>
          <w:noProof/>
        </w:rPr>
        <w:t xml:space="preserve"> Levine </w:t>
      </w:r>
      <w:r>
        <w:rPr>
          <w:noProof/>
        </w:rPr>
        <w:t>(</w:t>
      </w:r>
      <w:r w:rsidRPr="00654299">
        <w:rPr>
          <w:noProof/>
        </w:rPr>
        <w:t>2009)</w:t>
      </w:r>
      <w:r w:rsidRPr="00654299">
        <w:fldChar w:fldCharType="end"/>
      </w:r>
      <w:r w:rsidRPr="00654299">
        <w:t>. One set of theoretical models predicts a positive linear relation</w:t>
      </w:r>
      <w:r>
        <w:t>ship</w:t>
      </w:r>
      <w:r w:rsidRPr="00654299">
        <w:t xml:space="preserve"> between </w:t>
      </w:r>
      <w:r>
        <w:t>FD</w:t>
      </w:r>
      <w:r w:rsidRPr="00654299">
        <w:t xml:space="preserve"> and income inequality, </w:t>
      </w:r>
      <w:r>
        <w:t xml:space="preserve">the </w:t>
      </w:r>
      <w:r w:rsidRPr="00654299">
        <w:t xml:space="preserve">inequality-widening hypothesis. According to this view, proposed by </w:t>
      </w:r>
      <w:r w:rsidRPr="00654299">
        <w:fldChar w:fldCharType="begin" w:fldLock="1"/>
      </w:r>
      <w:r w:rsidR="002E36DB">
        <w:instrText>ADDIN CSL_CITATION {"citationItems":[{"id":"ITEM-1","itemData":{"author":[{"dropping-particle":"","family":"Rajan","given":"Raghuram","non-dropping-particle":"","parse-names":false,"suffix":""},{"dropping-particle":"","family":"Zingales","given":"Luigi","non-dropping-particle":"","parse-names":false,"suffix":""}],"id":"ITEM-1","issued":{"date-parts":[["2003"]]},"number-of-pages":"369","publisher":"Princeton University Press","title":"Saving capitalism from the capitalists : unleashing the power of financial markets to create wealth and spread opportunity","type":"book"},"uris":["http://www.mendeley.com/documents/?uuid=7ab73a0a-6411-3c5e-b489-215a4a50ce3b"]}],"mendeley":{"formattedCitation":"(Rajan &amp; Zingales, 2003a)","manualFormatting":"Rajan and Zingales (2003a)","plainTextFormattedCitation":"(Rajan &amp; Zingales, 2003a)","previouslyFormattedCitation":"(Rajan &amp; Zingales, 2003a)"},"properties":{"noteIndex":0},"schema":"https://github.com/citation-style-language/schema/raw/master/csl-citation.json"}</w:instrText>
      </w:r>
      <w:r w:rsidRPr="00654299">
        <w:fldChar w:fldCharType="separate"/>
      </w:r>
      <w:r w:rsidRPr="00321676">
        <w:rPr>
          <w:noProof/>
        </w:rPr>
        <w:t xml:space="preserve">Rajan </w:t>
      </w:r>
      <w:r>
        <w:rPr>
          <w:noProof/>
        </w:rPr>
        <w:t>and</w:t>
      </w:r>
      <w:r w:rsidRPr="00321676">
        <w:rPr>
          <w:noProof/>
        </w:rPr>
        <w:t xml:space="preserve"> Zingales </w:t>
      </w:r>
      <w:r>
        <w:rPr>
          <w:noProof/>
        </w:rPr>
        <w:t>(</w:t>
      </w:r>
      <w:r w:rsidRPr="00321676">
        <w:rPr>
          <w:noProof/>
        </w:rPr>
        <w:t>2003a)</w:t>
      </w:r>
      <w:r w:rsidRPr="00654299">
        <w:fldChar w:fldCharType="end"/>
      </w:r>
      <w:r w:rsidRPr="00654299">
        <w:t xml:space="preserve">, </w:t>
      </w:r>
      <w:r>
        <w:t>FD</w:t>
      </w:r>
      <w:r w:rsidRPr="00654299">
        <w:t xml:space="preserve"> mainly benefits upper-level income individuals who can offer collateral and repay their loan</w:t>
      </w:r>
      <w:r>
        <w:t>s,</w:t>
      </w:r>
      <w:r w:rsidRPr="00654299">
        <w:t xml:space="preserve"> and excludes low-income individuals with collateral constraint</w:t>
      </w:r>
      <w:r>
        <w:t>s</w:t>
      </w:r>
      <w:r w:rsidRPr="00654299">
        <w:t>, even when financial markets are well</w:t>
      </w:r>
      <w:r>
        <w:t>-</w:t>
      </w:r>
      <w:r w:rsidRPr="00654299">
        <w:t xml:space="preserve">developed. Thus, improving </w:t>
      </w:r>
      <w:r>
        <w:t>FD</w:t>
      </w:r>
      <w:r w:rsidRPr="00654299">
        <w:t xml:space="preserve"> proportionally benefits high-income level individuals and widen</w:t>
      </w:r>
      <w:r>
        <w:t>s</w:t>
      </w:r>
      <w:r w:rsidRPr="00654299">
        <w:t xml:space="preserve"> income inequality. Various studies have provided empirical support for </w:t>
      </w:r>
      <w:r>
        <w:t xml:space="preserve">the </w:t>
      </w:r>
      <w:r w:rsidRPr="00654299">
        <w:t>inequality</w:t>
      </w:r>
      <w:r>
        <w:t>-</w:t>
      </w:r>
      <w:r w:rsidRPr="00654299">
        <w:t>widening hypothesis. For example, using country</w:t>
      </w:r>
      <w:r>
        <w:t>-</w:t>
      </w:r>
      <w:r w:rsidRPr="00654299">
        <w:t>level data</w:t>
      </w:r>
      <w:r>
        <w:t>,</w:t>
      </w:r>
      <w:r w:rsidRPr="00654299">
        <w:t xml:space="preserve"> </w:t>
      </w:r>
      <w:r w:rsidRPr="00654299">
        <w:fldChar w:fldCharType="begin" w:fldLock="1"/>
      </w:r>
      <w:r w:rsidR="002E36DB">
        <w:instrText>ADDIN CSL_CITATION {"citationItems":[{"id":"ITEM-1","itemData":{"DOI":"10.2139/SSRN.2649944","abstract":"Using data from OECD countries over the past three decades, this paper shows that financial expansion has fuelled greater income inequality. Higher levels of credit intermediation and stock markets are both related with a more unequal distribution of income. Greater income inequality may not reduce the welfare of even the lowest earners so long as their income growth is not negatively affected. Numerical simulations based on a novel empirical methodology indicate, however, that the financial expansion has put a brake on the income growth of many low- and middle-income households. No evidence is found that financial crises explain the observed relationships. While causality is difficult to establish beyond doubt, the paper finds credit patterns which are inconsistent with reverse causality running from greater income inequality to more household borrowing.","author":[{"dropping-particle":"","family":"Denk","given":"Oliver","non-dropping-particle":"","parse-names":false,"suffix":""},{"dropping-particle":"","family":"Cournede","given":"Boris","non-dropping-particle":"","parse-names":false,"suffix":""}],"container-title":"SSRN Electronic Journal","id":"ITEM-1","issued":{"date-parts":[["2015","8","24"]]},"publisher":"Elsevier BV","title":"Finance and Income Inequality in OECD Countries","type":"article-journal"},"uris":["http://www.mendeley.com/documents/?uuid=7d9f5633-e288-3510-85fd-080a40c0c16e"]},{"id":"ITEM-2","itemData":{"DOI":"10.1016/J.EJPOLECO.2017.04.007","ISSN":"0176-2680","abstract":"Using a panel fixed effects model for a sample of 121 countries covering 1975–2005, we examine how financial development, financial liberalization and banking crises are related to income inequality. In contrast with most previous work, our results suggest that all finance variables increase income inequality. The level of financial development conditions the impact of financial liberalization on inequality. Also the quality of political institutions conditions the impact of financial liberalization on income inequality, in contrast to the quality of economic institutions. Our main findings are robust for using random effects, cross-country regressions and legal origin as instrument for financial development.","author":[{"dropping-particle":"","family":"Haan","given":"Jakob","non-dropping-particle":"de","parse-names":false,"suffix":""},{"dropping-particle":"","family":"Sturm","given":"Jan Egbert","non-dropping-particle":"","parse-names":false,"suffix":""}],"container-title":"European Journal of Political Economy","id":"ITEM-2","issued":{"date-parts":[["2017","12","1"]]},"page":"171-195","publisher":"North-Holland","title":"Finance and income inequality: A review and new evidence","type":"article-journal","volume":"50"},"uris":["http://www.mendeley.com/documents/?uuid=c08bef1f-c18c-3d3e-bc0c-0f1e177c7c87"]},{"id":"ITEM-3","itemData":{"DOI":"10.1016/J.JBANKFIN.2010.11.011","ISSN":"0378-4266","abstract":"This paper analyzes the under-investigated relationship uniting financial development and income distribution. We use a novel approach taking into account for the first time the specific channels linking banks, capital markets and income inequality, the time-varying nature of the relationship, and reciprocal causality. We construct a set of annual indicators of banking and capital market size, robustness, efficiency and international integration. We then estimate the determinants of income distribution using a panel Bayesian structural vector autoregressive (SVAR) model, for a set of 49 countries over the 1994-2002 period. We uncover a significant causality running from financial sector development to income distribution. In addition, the banking sector seems to exert a stronger impact on inequality. Finally, the relationship appears to depend on the characteristics of the financial sector, rather than on its size. © 2010 Elsevier B.V.","author":[{"dropping-particle":"","family":"Gimet","given":"Céline","non-dropping-particle":"","parse-names":false,"suffix":""},{"dropping-particle":"","family":"Lagoarde-Segot","given":"Thomas","non-dropping-particle":"","parse-names":false,"suffix":""}],"container-title":"Journal of Banking &amp; Finance","id":"ITEM-3","issue":"7","issued":{"date-parts":[["2011","7","1"]]},"page":"1698-1713","publisher":"North-Holland","title":"A closer look at financial development and income distribution","type":"article-journal","volume":"35"},"uris":["http://www.mendeley.com/documents/?uuid=48358bb2-3cdc-3780-ae8e-80b4d5bd259d"]},{"id":"ITEM-4","itemData":{"DOI":"10.1007/S00181-015-1008-X/TABLES/7","ISSN":"03777332","abstract":"We analyzed the link between financial development and income inequality for a broad unbalanced dataset of up to 138 developed and developing countries over the years 1960–2008. Using credit to GDP as a measure of financial development, our results reject theoretical models predicting a negative impact of financial development on income inequality measured by the Gini coefficient. Controlling for country fixed effects, possible endogeneity problems, GDP per capita and other control variables, we find that financial development increases income inequality. These results are robust to different measures of financial development, econometric specifications and control variables.","author":[{"dropping-particle":"","family":"Jauch","given":"Sebastian","non-dropping-particle":"","parse-names":false,"suffix":""},{"dropping-particle":"","family":"Watzka","given":"Sebastian","non-dropping-particle":"","parse-names":false,"suffix":""}],"container-title":"Empirical Economics","id":"ITEM-4","issue":"1","issued":{"date-parts":[["2016","8","1"]]},"page":"291-314","publisher":"Springer Verlag","title":"Financial development and income inequality: a panel data approach","type":"article-journal","volume":"51"},"uris":["http://www.mendeley.com/documents/?uuid=c443e032-58b2-30c5-9663-fee88c1ece49"]},{"id":"ITEM-5","itemData":{"DOI":"10.1016/J.EMEMAR.2016.02.002","ISSN":"1566-0141","abstract":"The objective of this paper is to examine whether bank and stock market development contributes to reducing income inequality and poverty in emerging countries. Using dynamic panel data methods with an updated dataset for the period 1987-2011, we assess the finance-inequality-poverty nexus by taking the separate and simultaneous impacts of banks and stock markets into account. Mixed explanatory findings on panel studies suggest that although financial development promotes economic growth, this does not necessarily benefit those on low-incomes in emerging countries. For the finance-poverty link, we find that neither banks nor stock markets play a significant role in poverty reduction.","author":[{"dropping-particle":"","family":"Seven","given":"Unal","non-dropping-particle":"","parse-names":false,"suffix":""},{"dropping-particle":"","family":"Coskun","given":"Yener","non-dropping-particle":"","parse-names":false,"suffix":""}],"container-title":"Emerging Markets Review","id":"ITEM-5","issued":{"date-parts":[["2016","3","1"]]},"page":"34-63","publisher":"North-Holland","title":"Does financial development reduce income inequality and poverty? Evidence from emerging countries","type":"article-journal","volume":"26"},"uris":["http://www.mendeley.com/documents/?uuid=a3c2cb63-731a-3a69-b459-edafee681f00"]}],"mendeley":{"formattedCitation":"(de Haan &amp; Sturm, 2017; Denk &amp; Cournede, 2015; Gimet &amp; Lagoarde-Segot, 2011; Jauch &amp; Watzka, 2016; Seven &amp; Coskun, 2016)","manualFormatting":"de Haan and Sturm (2017), Denk and Cournede (2015), Gimet and Lagoarde-Segot, (2011), Jauch and Watzka (2016), and Seven and Coskun (2016","plainTextFormattedCitation":"(de Haan &amp; Sturm, 2017; Denk &amp; Cournede, 2015; Gimet &amp; Lagoarde-Segot, 2011; Jauch &amp; Watzka, 2016; Seven &amp; Coskun, 2016)","previouslyFormattedCitation":"(de Haan &amp; Sturm, 2017; Denk &amp; Cournede, 2015; Gimet &amp; Lagoarde-Segot, 2011; Jauch &amp; Watzka, 2016; Seven &amp; Coskun, 2016)"},"properties":{"noteIndex":0},"schema":"https://github.com/citation-style-language/schema/raw/master/csl-citation.json"}</w:instrText>
      </w:r>
      <w:r w:rsidRPr="00654299">
        <w:fldChar w:fldCharType="separate"/>
      </w:r>
      <w:r w:rsidRPr="00654299">
        <w:rPr>
          <w:noProof/>
        </w:rPr>
        <w:t xml:space="preserve">de Haan </w:t>
      </w:r>
      <w:r>
        <w:rPr>
          <w:noProof/>
        </w:rPr>
        <w:t>and</w:t>
      </w:r>
      <w:r w:rsidRPr="00654299">
        <w:rPr>
          <w:noProof/>
        </w:rPr>
        <w:t xml:space="preserve"> Sturm</w:t>
      </w:r>
      <w:r>
        <w:rPr>
          <w:noProof/>
        </w:rPr>
        <w:t xml:space="preserve"> (</w:t>
      </w:r>
      <w:r w:rsidRPr="00654299">
        <w:rPr>
          <w:noProof/>
        </w:rPr>
        <w:t>2017</w:t>
      </w:r>
      <w:r>
        <w:rPr>
          <w:noProof/>
        </w:rPr>
        <w:t>),</w:t>
      </w:r>
      <w:r w:rsidRPr="00654299">
        <w:rPr>
          <w:noProof/>
        </w:rPr>
        <w:t xml:space="preserve"> Denk </w:t>
      </w:r>
      <w:r>
        <w:rPr>
          <w:noProof/>
        </w:rPr>
        <w:t>and</w:t>
      </w:r>
      <w:r w:rsidRPr="00654299">
        <w:rPr>
          <w:noProof/>
        </w:rPr>
        <w:t xml:space="preserve"> Cournede </w:t>
      </w:r>
      <w:r>
        <w:rPr>
          <w:noProof/>
        </w:rPr>
        <w:t>(</w:t>
      </w:r>
      <w:r w:rsidRPr="00654299">
        <w:rPr>
          <w:noProof/>
        </w:rPr>
        <w:t>2015</w:t>
      </w:r>
      <w:r>
        <w:rPr>
          <w:noProof/>
        </w:rPr>
        <w:t>),</w:t>
      </w:r>
      <w:r w:rsidRPr="00654299">
        <w:rPr>
          <w:noProof/>
        </w:rPr>
        <w:t xml:space="preserve"> Gimet </w:t>
      </w:r>
      <w:r>
        <w:rPr>
          <w:noProof/>
        </w:rPr>
        <w:t>and</w:t>
      </w:r>
      <w:r w:rsidRPr="00654299">
        <w:rPr>
          <w:noProof/>
        </w:rPr>
        <w:t xml:space="preserve"> Lagoarde-Segot, </w:t>
      </w:r>
      <w:r>
        <w:rPr>
          <w:noProof/>
        </w:rPr>
        <w:t>(</w:t>
      </w:r>
      <w:r w:rsidRPr="00654299">
        <w:rPr>
          <w:noProof/>
        </w:rPr>
        <w:t>2011</w:t>
      </w:r>
      <w:r>
        <w:rPr>
          <w:noProof/>
        </w:rPr>
        <w:t>),</w:t>
      </w:r>
      <w:r w:rsidRPr="00654299">
        <w:rPr>
          <w:noProof/>
        </w:rPr>
        <w:t xml:space="preserve"> Jauch </w:t>
      </w:r>
      <w:r>
        <w:rPr>
          <w:noProof/>
        </w:rPr>
        <w:t>and</w:t>
      </w:r>
      <w:r w:rsidRPr="00654299">
        <w:rPr>
          <w:noProof/>
        </w:rPr>
        <w:t xml:space="preserve"> Watzka </w:t>
      </w:r>
      <w:r>
        <w:rPr>
          <w:noProof/>
        </w:rPr>
        <w:t>(</w:t>
      </w:r>
      <w:r w:rsidRPr="00654299">
        <w:rPr>
          <w:noProof/>
        </w:rPr>
        <w:t>2016</w:t>
      </w:r>
      <w:r>
        <w:rPr>
          <w:noProof/>
        </w:rPr>
        <w:t xml:space="preserve">), and </w:t>
      </w:r>
      <w:r w:rsidRPr="00654299">
        <w:rPr>
          <w:noProof/>
        </w:rPr>
        <w:t xml:space="preserve">Seven </w:t>
      </w:r>
      <w:r>
        <w:rPr>
          <w:noProof/>
        </w:rPr>
        <w:t>and</w:t>
      </w:r>
      <w:r w:rsidRPr="00654299">
        <w:rPr>
          <w:noProof/>
        </w:rPr>
        <w:t xml:space="preserve"> Coskun </w:t>
      </w:r>
      <w:r>
        <w:rPr>
          <w:noProof/>
        </w:rPr>
        <w:t>(</w:t>
      </w:r>
      <w:r w:rsidRPr="00654299">
        <w:rPr>
          <w:noProof/>
        </w:rPr>
        <w:t>2016</w:t>
      </w:r>
      <w:r w:rsidRPr="00654299">
        <w:fldChar w:fldCharType="end"/>
      </w:r>
      <w:r>
        <w:t>)</w:t>
      </w:r>
      <w:r w:rsidRPr="00654299">
        <w:t xml:space="preserve"> show the positive linkage between </w:t>
      </w:r>
      <w:r>
        <w:t>FD</w:t>
      </w:r>
      <w:r w:rsidRPr="00654299">
        <w:t xml:space="preserve">, </w:t>
      </w:r>
      <w:r>
        <w:t xml:space="preserve">either </w:t>
      </w:r>
      <w:r w:rsidRPr="00654299">
        <w:t>banking development or financial market development</w:t>
      </w:r>
      <w:r>
        <w:t>, and income inequality</w:t>
      </w:r>
      <w:r w:rsidRPr="00654299">
        <w:t xml:space="preserve">. In addition, further empirical support is provided by studies using regional data. For instance, </w:t>
      </w:r>
      <w:r w:rsidRPr="00654299">
        <w:fldChar w:fldCharType="begin" w:fldLock="1"/>
      </w:r>
      <w:r w:rsidR="002E36DB">
        <w:instrText>ADDIN CSL_CITATION {"citationItems":[{"id":"ITEM-1","itemData":{"DOI":"10.1111/J.1467-9787.2008.00602.X","ISSN":"1467-9787","abstract":"This paper provides an empirical study of the determinants of income inequality across regions of the EU. Using the European Community Household Panel dataset for 102 regions over the period 1995-2000, it analyses how microeconomic changes in human capital distribution affect income inequality for the population as a whole and for normally working people. The different static and dynamic panel data analyses conducted reveal that the relationship between income per capita and income inequality, as well as between a good human capital endowment and income inequality is positive. High levels of inequality in educational attainment are also associated with higher income inequality. The above results are robust to changes in the definition of income distribution and may be interpreted as a sign of the responsiveness of the EU labor market to differences in qualifications and skills. Other results indicate that population ageing, female participation in the labor force, urbanization, agriculture, and industry are negatively associated to income inequality, while unemployment and the presence of a strong financial sector positively affect inequality. Finally, income inequality is lower in social-democratic welfare states, in Protestant areas, and in regions with Nordic family structures. © 2009 Wiley Periodicals, Inc.","author":[{"dropping-particle":"","family":"Rodríguez-Pose","given":"Andrés","non-dropping-particle":"","parse-names":false,"suffix":""},{"dropping-particle":"","family":"Tselios","given":"Vassilis","non-dropping-particle":"","parse-names":false,"suffix":""}],"container-title":"Journal of Regional Science","id":"ITEM-1","issue":"3","issued":{"date-parts":[["2009","8","1"]]},"page":"411-437","publisher":"John Wiley &amp; Sons, Ltd","title":"EDUCATION AND INCOME INEQUALITY IN THE REGIONS OF THE EUROPEAN UNION*","type":"article-journal","volume":"49"},"uris":["http://www.mendeley.com/documents/?uuid=3d3e4f00-d141-3731-97b3-f6389886b2fe"]}],"mendeley":{"formattedCitation":"(Rodríguez-Pose &amp; Tselios, 2009)","manualFormatting":"Rodríguez-Pose and Tselios (2009)","plainTextFormattedCitation":"(Rodríguez-Pose &amp; Tselios, 2009)","previouslyFormattedCitation":"(Rodríguez-Pose &amp; Tselios, 2009)"},"properties":{"noteIndex":0},"schema":"https://github.com/citation-style-language/schema/raw/master/csl-citation.json"}</w:instrText>
      </w:r>
      <w:r w:rsidRPr="00654299">
        <w:fldChar w:fldCharType="separate"/>
      </w:r>
      <w:r w:rsidRPr="00654299">
        <w:rPr>
          <w:noProof/>
        </w:rPr>
        <w:t xml:space="preserve">Rodríguez-Pose </w:t>
      </w:r>
      <w:r>
        <w:rPr>
          <w:noProof/>
        </w:rPr>
        <w:t>and</w:t>
      </w:r>
      <w:r w:rsidRPr="00654299">
        <w:rPr>
          <w:noProof/>
        </w:rPr>
        <w:t xml:space="preserve"> Tselios</w:t>
      </w:r>
      <w:r>
        <w:rPr>
          <w:noProof/>
        </w:rPr>
        <w:t xml:space="preserve"> (</w:t>
      </w:r>
      <w:r w:rsidRPr="00654299">
        <w:rPr>
          <w:noProof/>
        </w:rPr>
        <w:t>2009)</w:t>
      </w:r>
      <w:r w:rsidRPr="00654299">
        <w:fldChar w:fldCharType="end"/>
      </w:r>
      <w:r w:rsidRPr="00654299">
        <w:t xml:space="preserve">, using a sample of 102 European regions for 1995–2000, ﬁnd a positive linkage between the per capita added value of the private ﬁnancial sector and income inequality. </w:t>
      </w:r>
    </w:p>
    <w:p w14:paraId="6F03D3A3" w14:textId="60DB70C3" w:rsidR="0012305F" w:rsidRPr="00654299" w:rsidRDefault="0012305F" w:rsidP="0012305F">
      <w:r w:rsidRPr="00654299">
        <w:t>Another set of theoretical model</w:t>
      </w:r>
      <w:r>
        <w:t>s</w:t>
      </w:r>
      <w:r w:rsidRPr="00654299">
        <w:t xml:space="preserve"> suggests that development in financial markets can mitigate income inequality </w:t>
      </w:r>
      <w:r w:rsidRPr="00654299">
        <w:fldChar w:fldCharType="begin" w:fldLock="1"/>
      </w:r>
      <w:r>
        <w:instrText>ADDIN CSL_CITATION {"citationItems":[{"id":"ITEM-1","itemData":{"DOI":"10.2307/2297811","ISSN":"0034-6527","abstract":"This paper analyzes the role of wealth distribution in macroeconomics through investment in human capital. It is shown that in the presence of credit markets' imperfections and in divisibilities in investment in human capital, the initial distribution of wealth affects aggregate output and investment both in the short and in the long run, as there are multiple steady states. This paper therefore provides an additional explanation for the persistent differences in per-capita output across countries. Furthermore, the paper shows that cross-country differences in macroeconomic adjustment to aggregate shocks can be attributed, among other factors, to differences in wealth and income distribution across countries. © 1993 The Review of Economic Studies Limited.","author":[{"dropping-particle":"","family":"Galor","given":"Oded","non-dropping-particle":"","parse-names":false,"suffix":""},{"dropping-particle":"","family":"Zeira","given":"Joseph","non-dropping-particle":"","parse-names":false,"suffix":""}],"container-title":"The Review of Economic Studies","id":"ITEM-1","issue":"1","issued":{"date-parts":[["1993","1","1"]]},"page":"35-52","publisher":"Oxford Academic","title":"Income Distribution and Macroeconomics","type":"article-journal","volume":"60"},"uris":["http://www.mendeley.com/documents/?uuid=7c89d853-4d46-3ac3-b94f-8778124d04f7"]},{"id":"ITEM-2","itemData":{"DOI":"10.1086/261876","ISSN":"00223808","abstract":"This paper models economic development as a process of institutional transformation by focusing on the interplay between agents' occupational decisions and the distribution of wealth. Becau se of capital-market imperfections, poor agents choose working for a wa ge over self-employment and wealthy agents become entrepreneurs who monitor workers. Only with sufficient inequality, however, will ther e be employment contracts; otherwise, there is either subsistence or self-employment. Thus, in static equilibrium, the occupational structure depends on distribution. Since the latter is itself endogenous, the authors demonstrate the robustness of this result b y extending the model dynamically and studying examples in which initi al wealth distributions have long-run effects. Copyright 1993 by University of Chicago Press.","author":[{"dropping-particle":"","family":"Banerjee","given":"Abhijit","non-dropping-particle":"","parse-names":false,"suffix":""},{"dropping-particle":"","family":"Newman","given":"Andrew","non-dropping-particle":"","parse-names":false,"suffix":""}],"container-title":"Journal of Political Economy","id":"ITEM-2","issue":"2","issued":{"date-parts":[["1993"]]},"page":"298","publisher":"University of Chicago Press","title":"Occupational Choice and the Process of Development","type":"article-journal","volume":"101"},"uris":["http://www.mendeley.com/documents/?uuid=c143e347-7ef2-37b9-8d2a-2955e320beb3"]}],"mendeley":{"formattedCitation":"(Banerjee &amp; Newman, 1993; Galor &amp; Zeira, 1993b)","plainTextFormattedCitation":"(Banerjee &amp; Newman, 1993; Galor &amp; Zeira, 1993b)","previouslyFormattedCitation":"(Banerjee &amp; Newman, 1993; Galor &amp; Zeira, 1993b)"},"properties":{"noteIndex":0},"schema":"https://github.com/citation-style-language/schema/raw/master/csl-citation.json"}</w:instrText>
      </w:r>
      <w:r w:rsidRPr="00654299">
        <w:fldChar w:fldCharType="separate"/>
      </w:r>
      <w:r w:rsidRPr="000667FA">
        <w:rPr>
          <w:noProof/>
        </w:rPr>
        <w:t xml:space="preserve">(Banerjee </w:t>
      </w:r>
      <w:r w:rsidR="00C62879">
        <w:rPr>
          <w:noProof/>
        </w:rPr>
        <w:t>and</w:t>
      </w:r>
      <w:r w:rsidRPr="000667FA">
        <w:rPr>
          <w:noProof/>
        </w:rPr>
        <w:t xml:space="preserve"> Newman, 1993; Galor </w:t>
      </w:r>
      <w:r w:rsidR="00C62879">
        <w:rPr>
          <w:noProof/>
        </w:rPr>
        <w:t>and</w:t>
      </w:r>
      <w:r w:rsidRPr="000667FA">
        <w:rPr>
          <w:noProof/>
        </w:rPr>
        <w:t xml:space="preserve"> Zeira, 1993)</w:t>
      </w:r>
      <w:r w:rsidRPr="00654299">
        <w:fldChar w:fldCharType="end"/>
      </w:r>
      <w:r w:rsidRPr="00654299">
        <w:t xml:space="preserve">, inequality-narrowing hypothesis. From this perspective, </w:t>
      </w:r>
      <w:r>
        <w:t>c</w:t>
      </w:r>
      <w:r w:rsidRPr="00654299">
        <w:t xml:space="preserve">apital market imperfections (e.g., information and transaction costs) may be </w:t>
      </w:r>
      <w:r>
        <w:t>e</w:t>
      </w:r>
      <w:r w:rsidRPr="00654299">
        <w:t>specially binding on low-income individuals who lack collateral and credit histories, and any improvement on the imperfection (e.g., abating credit constraint</w:t>
      </w:r>
      <w:r>
        <w:t>s</w:t>
      </w:r>
      <w:r w:rsidRPr="00654299">
        <w:t xml:space="preserve">) disproportionally benefits them </w:t>
      </w:r>
      <w:r w:rsidRPr="00654299">
        <w:fldChar w:fldCharType="begin" w:fldLock="1"/>
      </w:r>
      <w:r w:rsidRPr="00654299">
        <w:instrText>ADDIN CSL_CITATION {"citationItems":[{"id":"ITEM-1","itemData":{"DOI":"10.1007/S10887-007-9010-6","ISSN":"1573-7020","abstract":"Financial development disproportionately boosts incomes of the poorest quintile and reduces income inequality. About 40% of the long-run impact of financial development on the income growth of the poorest quintile is the result of reductions in income inequality, while 60% is due to the impact of financial development on aggregate economic growth. Furthermore, financial development is associated with a drop in the fraction of the population living on less than $ 1 a day, a result which holds when conditioning on average growth. These findings emphasize the importance of the financial system for the poor.","author":[{"dropping-particle":"","family":"Beck","given":"Thorsten","non-dropping-particle":"","parse-names":false,"suffix":""},{"dropping-particle":"","family":"Demirgüç-Kunt","given":"Asli","non-dropping-particle":"","parse-names":false,"suffix":""},{"dropping-particle":"","family":"Levine","given":"Ross","non-dropping-particle":"","parse-names":false,"suffix":""}],"container-title":"Journal of Economic Growth 2007 12:1","id":"ITEM-1","issue":"1","issued":{"date-parts":[["2007","3","6"]]},"page":"27-49","publisher":"Springer","title":"Finance, inequality and the poor","type":"article-journal","volume":"12"},"uris":["http://www.mendeley.com/documents/?uuid=ef69fbab-06d2-3848-95c2-1b7688171225"]}],"mendeley":{"formattedCitation":"(Beck et al., 2007)","plainTextFormattedCitation":"(Beck et al., 2007)","previouslyFormattedCitation":"(Beck et al., 2007)"},"properties":{"noteIndex":0},"schema":"https://github.com/citation-style-language/schema/raw/master/csl-citation.json"}</w:instrText>
      </w:r>
      <w:r w:rsidRPr="00654299">
        <w:fldChar w:fldCharType="separate"/>
      </w:r>
      <w:r w:rsidRPr="00654299">
        <w:rPr>
          <w:noProof/>
        </w:rPr>
        <w:t>(Beck et al., 2007)</w:t>
      </w:r>
      <w:r w:rsidRPr="00654299">
        <w:fldChar w:fldCharType="end"/>
      </w:r>
      <w:r w:rsidRPr="00654299">
        <w:t>. Furthermore, capital constraint reduces the efficiency of capital allocation and prevent</w:t>
      </w:r>
      <w:r>
        <w:t>s the flow of capital to less privileged and low-income individuals, worsening</w:t>
      </w:r>
      <w:r w:rsidRPr="00654299">
        <w:t xml:space="preserve"> income inequality </w:t>
      </w:r>
      <w:r w:rsidRPr="00654299">
        <w:fldChar w:fldCharType="begin" w:fldLock="1"/>
      </w:r>
      <w:r>
        <w:instrText>ADDIN CSL_CITATION {"citationItems":[{"id":"ITEM-1","itemData":{"DOI":"10.2307/2971707","ISSN":"00346527","abstract":"This paper develops a model of growth and income inequalities in the presence of imperfect capital markets, and it analyses the trickle-down effect of capital accumulation. Moral hazard with limited wealth constraints on the part of the borrowers is the source of both capital market imperfections and the emergence of persistent income inequalities. Three main conclusions are obtained from this model. First, when the rate of capital accumulation is sufficiently high, the economy converges to a unique invariant wealth distribution. Second, even though the trickle-down mechanism can lead to a unique steady-state distribution under laissez-faire, there is room for government intervention: in particular, redistribution of wealth from rich lenders to poor and middle-class borrowers improves the production efficiency of the economy both because it brings about greater equality of opportunity and also because it accelerates the trickle-down process. Third, the process of capital accumulation initially has the effect of widening inequalities but in later stages it reduces them: in other words, this model can generate a Kuznets curve.","author":[{"dropping-particle":"","family":"Aghion","given":"Philippe","non-dropping-particle":"","parse-names":false,"suffix":""},{"dropping-particle":"","family":"Bolton","given":"Patrick","non-dropping-particle":"","parse-names":false,"suffix":""}],"container-title":"Review of Economic Studies","id":"ITEM-1","issue":"2","issued":{"date-parts":[["1997"]]},"page":"151-172","publisher":"Oxford University Press","title":"A Theory of Trickle-Down Growth and Development","type":"article-journal","volume":"64"},"uris":["http://www.mendeley.com/documents/?uuid=9b017d77-4c19-386c-9e22-fc5c5ec5c8c7"]},{"id":"ITEM-2","itemData":{"DOI":"10.1111/0034-6527.00312","ISSN":"0034-6527","abstract":"This paper develops a growth theory that captures the replacement of physical capital accumulation by human capital accumulation as a prime engine of growth along the process of development. It argues that the positive impact of inequality on the growth process was reversed in this process. In early stages of the Industrial Revolution, when physical capital accumulation was the prime source of growth, inequality stimulated development by channelling resources towards individuals with a higher propensity to save. As human capital emerged as a growth engine, equality alleviated adverse effects of credit-constraints on human capital accumulation, stimulating the growth process. © 2004 The Review of Economic Studies Limited.","author":[{"dropping-particle":"","family":"Galor","given":"Oded","non-dropping-particle":"","parse-names":false,"suffix":""},{"dropping-particle":"","family":"Moav","given":"Omer","non-dropping-particle":"","parse-names":false,"suffix":""}],"container-title":"The Review of Economic Studies","id":"ITEM-2","issue":"4","issued":{"date-parts":[["2004","10","1"]]},"page":"1001-1026","publisher":"Oxford Academic","title":"From Physical to Human Capital Accumulation: Inequality and the Process of Development","type":"article-journal","volume":"71"},"uris":["http://www.mendeley.com/documents/?uuid=c2c022e3-d67f-3598-a82c-56fb0ab6dd13"]},{"id":"ITEM-3","itemData":{"DOI":"10.2307/2297811","ISSN":"0034-6527","abstract":"This paper analyzes the role of wealth distribution in macroeconomics through investment in human capital. It is shown that in the presence of credit markets' imperfections and in divisibilities in investment in human capital, the initial distribution of wealth affects aggregate output and investment both in the short and in the long run, as there are multiple steady states. This paper therefore provides an additional explanation for the persistent differences in per-capita output across countries. Furthermore, the paper shows that cross-country differences in macroeconomic adjustment to aggregate shocks can be attributed, among other factors, to differences in wealth and income distribution across countries. © 1993 The Review of Economic Studies Limited.","author":[{"dropping-particle":"","family":"Galor","given":"Oded","non-dropping-particle":"","parse-names":false,"suffix":""},{"dropping-particle":"","family":"Zeira","given":"Joseph","non-dropping-particle":"","parse-names":false,"suffix":""}],"container-title":"The Review of Economic Studies","id":"ITEM-3","issue":"1","issued":{"date-parts":[["1993","1","1"]]},"page":"35-52","publisher":"Oxford Academic","title":"Income Distribution and Macroeconomics","type":"article-journal","volume":"60"},"uris":["http://www.mendeley.com/documents/?uuid=7c89d853-4d46-3ac3-b94f-8778124d04f7"]}],"mendeley":{"formattedCitation":"(Aghion &amp; Bolton, 1997; Galor &amp; Moav, 2004; Galor &amp; Zeira, 1993b)","plainTextFormattedCitation":"(Aghion &amp; Bolton, 1997; Galor &amp; Moav, 2004; Galor &amp; Zeira, 1993b)","previouslyFormattedCitation":"(Aghion &amp; Bolton, 1997; Galor &amp; Moav, 2004; Galor &amp; Zeira, 1993b)"},"properties":{"noteIndex":0},"schema":"https://github.com/citation-style-language/schema/raw/master/csl-citation.json"}</w:instrText>
      </w:r>
      <w:r w:rsidRPr="00654299">
        <w:fldChar w:fldCharType="separate"/>
      </w:r>
      <w:r w:rsidRPr="00671720">
        <w:rPr>
          <w:noProof/>
        </w:rPr>
        <w:t xml:space="preserve">(Aghion </w:t>
      </w:r>
      <w:r w:rsidR="00C62879">
        <w:rPr>
          <w:noProof/>
        </w:rPr>
        <w:t>and</w:t>
      </w:r>
      <w:r w:rsidRPr="00671720">
        <w:rPr>
          <w:noProof/>
        </w:rPr>
        <w:t xml:space="preserve"> Bolton, 1997; Galor </w:t>
      </w:r>
      <w:r w:rsidR="00C62879">
        <w:rPr>
          <w:noProof/>
        </w:rPr>
        <w:t>and</w:t>
      </w:r>
      <w:r w:rsidRPr="00671720">
        <w:rPr>
          <w:noProof/>
        </w:rPr>
        <w:t xml:space="preserve"> Moav, 2004; Galor </w:t>
      </w:r>
      <w:r w:rsidR="00C62879">
        <w:rPr>
          <w:noProof/>
        </w:rPr>
        <w:t>and</w:t>
      </w:r>
      <w:r w:rsidRPr="00671720">
        <w:rPr>
          <w:noProof/>
        </w:rPr>
        <w:t xml:space="preserve"> Zeira, 1993)</w:t>
      </w:r>
      <w:r w:rsidRPr="00654299">
        <w:fldChar w:fldCharType="end"/>
      </w:r>
      <w:r w:rsidRPr="00654299">
        <w:t xml:space="preserve">. Thus, </w:t>
      </w:r>
      <w:r>
        <w:t>FD</w:t>
      </w:r>
      <w:r w:rsidRPr="00654299">
        <w:t xml:space="preserve"> can reduce income inequality b</w:t>
      </w:r>
      <w:r>
        <w:t>y alleviating credit constraints and improving capital allocation efficiency</w:t>
      </w:r>
      <w:r w:rsidRPr="00654299">
        <w:rPr>
          <w:noProof/>
        </w:rPr>
        <w:t xml:space="preserve">. Various cross-country and country-level studies </w:t>
      </w:r>
      <w:r>
        <w:rPr>
          <w:noProof/>
        </w:rPr>
        <w:t xml:space="preserve">have </w:t>
      </w:r>
      <w:r w:rsidRPr="00654299">
        <w:rPr>
          <w:noProof/>
        </w:rPr>
        <w:t xml:space="preserve">uncovered evidence favouring </w:t>
      </w:r>
      <w:r>
        <w:rPr>
          <w:noProof/>
        </w:rPr>
        <w:t xml:space="preserve">the </w:t>
      </w:r>
      <w:r w:rsidRPr="00654299">
        <w:rPr>
          <w:noProof/>
        </w:rPr>
        <w:t>inequ</w:t>
      </w:r>
      <w:r>
        <w:rPr>
          <w:noProof/>
        </w:rPr>
        <w:t>al</w:t>
      </w:r>
      <w:r w:rsidRPr="00654299">
        <w:rPr>
          <w:noProof/>
        </w:rPr>
        <w:t xml:space="preserve">ity-narrowing hypothesis.  For instance, using cross-country data,  </w:t>
      </w:r>
      <w:r w:rsidRPr="00654299">
        <w:fldChar w:fldCharType="begin" w:fldLock="1"/>
      </w:r>
      <w:r w:rsidR="002E36DB">
        <w:instrText>ADDIN CSL_CITATION {"citationItems":[{"id":"ITEM-1","itemData":{"DOI":"10.1007/S10887-007-9010-6","ISSN":"1573-7020","abstract":"Financial development disproportionately boosts incomes of the poorest quintile and reduces income inequality. About 40% of the long-run impact of financial development on the income growth of the poorest quintile is the result of reductions in income inequality, while 60% is due to the impact of financial development on aggregate economic growth. Furthermore, financial development is associated with a drop in the fraction of the population living on less than $ 1 a day, a result which holds when conditioning on average growth. These findings emphasize the importance of the financial system for the poor.","author":[{"dropping-particle":"","family":"Beck","given":"Thorsten","non-dropping-particle":"","parse-names":false,"suffix":""},{"dropping-particle":"","family":"Demirgüç-Kunt","given":"Asli","non-dropping-particle":"","parse-names":false,"suffix":""},{"dropping-particle":"","family":"Levine","given":"Ross","non-dropping-particle":"","parse-names":false,"suffix":""}],"container-title":"Journal of Economic Growth 2007 12:1","id":"ITEM-1","issue":"1","issued":{"date-parts":[["2007","3","6"]]},"page":"27-49","publisher":"Springer","title":"Finance, inequality and the poor","type":"article-journal","volume":"12"},"uris":["http://www.mendeley.com/documents/?uuid=ef69fbab-06d2-3848-95c2-1b7688171225"]},{"id":"ITEM-2","itemData":{"DOI":"10.1002/J.2325-8012.2006.TB00721.X","ISSN":"2325-8012","abstract":"… finance and income inequality, little empirical research compares their explanatory power. We examine the relationship between finance and … the literature on law, finance, and growth to …","author":[{"dropping-particle":"","family":"Clarke","given":"George R. G.","non-dropping-particle":"","parse-names":false,"suffix":""},{"dropping-particle":"","family":"Xu","given":"Lixin Colin","non-dropping-particle":"","parse-names":false,"suffix":""},{"dropping-particle":"","family":"Zou","given":"Heng-fu","non-dropping-particle":"","parse-names":false,"suffix":""}],"container-title":"Southern Economic Journal","id":"ITEM-2","issue":"3","issued":{"date-parts":[["2006","1","1"]]},"page":"578-596","publisher":"John Wiley &amp; Sons, Ltd","title":"Finance and Income Inequality: What Do the Data Tell Us?","type":"article-journal","volume":"72"},"uris":["http://www.mendeley.com/documents/?uuid=9d41f6c7-3072-31e2-8e0d-e74140d90186"]},{"id":"ITEM-3","itemData":{"DOI":"10.1016/J.ASIECO.2011.12.001","ISSN":"1049-0078","abstract":"This paper uses an unbalanced panel data analysis of 126 countries for the period 1963-2002 to analyze the effects of financial deepening on inequality. The principal findings can be summarized as follows: (1) financial deepening reduces inequality; (2) economic growth reduces the equalizing effects of financial deepening; (3) inequality increases with an increase in trade openness; (4) the disequalizing effects of trade openness decrease as a country grows; (5) financial deepening and trade openness therefore have asymmetric effects on inequality; and (6) these effects are robust to the choice of financial variables, inequality measures, and model specifications. © 2012 Elsevier Inc..","author":[{"dropping-particle":"","family":"Hamori","given":"Shigeyuki","non-dropping-particle":"","parse-names":false,"suffix":""},{"dropping-particle":"","family":"Hashiguchi","given":"Yoshihiro","non-dropping-particle":"","parse-names":false,"suffix":""}],"container-title":"Journal of Asian Economics","id":"ITEM-3","issue":"4","issued":{"date-parts":[["2012","8","1"]]},"page":"353-359","publisher":"North-Holland","title":"The effect of financial deepening on inequality: Some international evidence","type":"article-journal","volume":"23"},"uris":["http://www.mendeley.com/documents/?uuid=03e24855-21ea-3d4c-b9bd-88e134dd3e7c"]},{"id":"ITEM-4","itemData":{"author":[{"dropping-particle":"","family":"Naceur","given":"MSB","non-dropping-particle":"","parse-names":false,"suffix":""},{"dropping-particle":"","family":"Zhang","given":"RX","non-dropping-particle":"","parse-names":false,"suffix":""}],"id":"ITEM-4","issued":{"date-parts":[["2016"]]},"title":"Financial development, inequality and poverty: some international evidence","type":"book"},"uris":["http://www.mendeley.com/documents/?uuid=f6489b1b-25c4-300b-abe2-09ce9885e4ea"]},{"id":"ITEM-5","itemData":{"DOI":"10.1016/J.EMEMAR.2010.07.001","ISSN":"1566-0141","abstract":"Using a sample of developed and developing countries this study empirically gauges the impact of the availability of financial services, as measured by the number of bank branches per 100,000 populations on income inequality. The results show that greater access to bank branches robustly reduces income inequality across countries. The study also documents that barriers to bank access significantly increases income inequality. © 2010 Elsevier B.V.","author":[{"dropping-particle":"","family":"Mookerjee","given":"Rajen","non-dropping-particle":"","parse-names":false,"suffix":""},{"dropping-particle":"","family":"Kalipioni","given":"Paul","non-dropping-particle":"","parse-names":false,"suffix":""}],"container-title":"Emerging Markets Review","id":"ITEM-5","issue":"4","issued":{"date-parts":[["2010","12","1"]]},"page":"404-408","publisher":"North-Holland","title":"Availability of financial services and income inequality: The evidence from many countries","type":"article-journal","volume":"11"},"uris":["http://www.mendeley.com/documents/?uuid=97cac197-64c7-35c3-9471-5eff46d6357a"]},{"id":"ITEM-6","itemData":{"DOI":"10.1111/1468-0297.00271","ISSN":"0013-0133","abstract":"This paper explores the propositions that, income inequality is relatively stable within countries; and that it varies significantly among countries. A new and expanded data set provides broad support for both propositions. Drawing on a political economy and capital market imperfection arguments to explain the intertemporal and international variation in inequality, the empirical analysis shows that the predicted variables associated with the first argument (a measure of civil liberties and the initial level of secondary schooling) and the second argument (a measure of financial depth and the initial distribution of land) are indeed important determinants of inequality.","author":[{"dropping-particle":"","family":"Li","given":"Hongyi","non-dropping-particle":"","parse-names":false,"suffix":""},{"dropping-particle":"","family":"Squire","given":"Lyn","non-dropping-particle":"","parse-names":false,"suffix":""},{"dropping-particle":"","family":"Zou","given":"Heng Fu","non-dropping-particle":"","parse-names":false,"suffix":""}],"container-title":"The Economic Journal","id":"ITEM-6","issue":"446","issued":{"date-parts":[["1998","1","1"]]},"page":"26-43","publisher":"Oxford Academic","title":"Explaining International and Intertemporal Variations in Income Inequality","type":"article-journal","volume":"108"},"uris":["http://www.mendeley.com/documents/?uuid=06bbe857-2b7d-3e71-83e4-c37998b04252"]}],"mendeley":{"formattedCitation":"(Beck et al., 2007; Clarke et al., 2006; Hamori &amp; Hashiguchi, 2012; Li et al., 1998; Mookerjee &amp; Kalipioni, 2010; Naceur &amp; Zhang, 2016)","manualFormatting":"Beck et al. (2007), Clarke et al. (2006), Hamori and Hashiguchi (2012), Li et al. (1998), Mookerjee and Kalipioni (2010), and Naceur and Zhang (2016)","plainTextFormattedCitation":"(Beck et al., 2007; Clarke et al., 2006; Hamori &amp; Hashiguchi, 2012; Li et al., 1998; Mookerjee &amp; Kalipioni, 2010; Naceur &amp; Zhang, 2016)","previouslyFormattedCitation":"(Beck et al., 2007; Clarke et al., 2006; Hamori &amp; Hashiguchi, 2012; Li et al., 1998; Mookerjee &amp; Kalipioni, 2010; Naceur &amp; Zhang, 2016)"},"properties":{"noteIndex":0},"schema":"https://github.com/citation-style-language/schema/raw/master/csl-citation.json"}</w:instrText>
      </w:r>
      <w:r w:rsidRPr="00654299">
        <w:fldChar w:fldCharType="separate"/>
      </w:r>
      <w:r w:rsidRPr="00654299">
        <w:rPr>
          <w:noProof/>
        </w:rPr>
        <w:t>Beck et al.</w:t>
      </w:r>
      <w:r>
        <w:rPr>
          <w:noProof/>
        </w:rPr>
        <w:t xml:space="preserve"> (</w:t>
      </w:r>
      <w:r w:rsidRPr="00654299">
        <w:rPr>
          <w:noProof/>
        </w:rPr>
        <w:t>2007</w:t>
      </w:r>
      <w:r>
        <w:rPr>
          <w:noProof/>
        </w:rPr>
        <w:t>),</w:t>
      </w:r>
      <w:r w:rsidRPr="00654299">
        <w:rPr>
          <w:noProof/>
        </w:rPr>
        <w:t xml:space="preserve"> Clarke et al. </w:t>
      </w:r>
      <w:r>
        <w:rPr>
          <w:noProof/>
        </w:rPr>
        <w:t>(</w:t>
      </w:r>
      <w:r w:rsidRPr="00654299">
        <w:rPr>
          <w:noProof/>
        </w:rPr>
        <w:t>2006</w:t>
      </w:r>
      <w:r>
        <w:rPr>
          <w:noProof/>
        </w:rPr>
        <w:t>),</w:t>
      </w:r>
      <w:r w:rsidRPr="00654299">
        <w:rPr>
          <w:noProof/>
        </w:rPr>
        <w:t xml:space="preserve"> Hamori </w:t>
      </w:r>
      <w:r>
        <w:rPr>
          <w:noProof/>
        </w:rPr>
        <w:t>and</w:t>
      </w:r>
      <w:r w:rsidRPr="00654299">
        <w:rPr>
          <w:noProof/>
        </w:rPr>
        <w:t xml:space="preserve"> Hashiguchi </w:t>
      </w:r>
      <w:r>
        <w:rPr>
          <w:noProof/>
        </w:rPr>
        <w:t>(</w:t>
      </w:r>
      <w:r w:rsidRPr="00654299">
        <w:rPr>
          <w:noProof/>
        </w:rPr>
        <w:t>2012</w:t>
      </w:r>
      <w:r>
        <w:rPr>
          <w:noProof/>
        </w:rPr>
        <w:t>),</w:t>
      </w:r>
      <w:r w:rsidRPr="00654299">
        <w:rPr>
          <w:noProof/>
        </w:rPr>
        <w:t xml:space="preserve"> Li et al. </w:t>
      </w:r>
      <w:r>
        <w:rPr>
          <w:noProof/>
        </w:rPr>
        <w:t>(</w:t>
      </w:r>
      <w:r w:rsidRPr="00654299">
        <w:rPr>
          <w:noProof/>
        </w:rPr>
        <w:t>1998</w:t>
      </w:r>
      <w:r>
        <w:rPr>
          <w:noProof/>
        </w:rPr>
        <w:t>),</w:t>
      </w:r>
      <w:r w:rsidRPr="00654299">
        <w:rPr>
          <w:noProof/>
        </w:rPr>
        <w:t xml:space="preserve"> Mookerjee </w:t>
      </w:r>
      <w:r>
        <w:rPr>
          <w:noProof/>
        </w:rPr>
        <w:t>and</w:t>
      </w:r>
      <w:r w:rsidRPr="00654299">
        <w:rPr>
          <w:noProof/>
        </w:rPr>
        <w:t xml:space="preserve"> Kalipioni </w:t>
      </w:r>
      <w:r>
        <w:rPr>
          <w:noProof/>
        </w:rPr>
        <w:t>(</w:t>
      </w:r>
      <w:r w:rsidRPr="00654299">
        <w:rPr>
          <w:noProof/>
        </w:rPr>
        <w:t>2010</w:t>
      </w:r>
      <w:r>
        <w:rPr>
          <w:noProof/>
        </w:rPr>
        <w:t xml:space="preserve">), and </w:t>
      </w:r>
      <w:r w:rsidRPr="00654299">
        <w:rPr>
          <w:noProof/>
        </w:rPr>
        <w:t xml:space="preserve">Naceur </w:t>
      </w:r>
      <w:r>
        <w:rPr>
          <w:noProof/>
        </w:rPr>
        <w:t>and</w:t>
      </w:r>
      <w:r w:rsidRPr="00654299">
        <w:rPr>
          <w:noProof/>
        </w:rPr>
        <w:t xml:space="preserve"> Zhang </w:t>
      </w:r>
      <w:r>
        <w:rPr>
          <w:noProof/>
        </w:rPr>
        <w:t>(</w:t>
      </w:r>
      <w:r w:rsidRPr="00654299">
        <w:rPr>
          <w:noProof/>
        </w:rPr>
        <w:t>2016)</w:t>
      </w:r>
      <w:r w:rsidRPr="00654299">
        <w:fldChar w:fldCharType="end"/>
      </w:r>
      <w:r w:rsidRPr="00654299">
        <w:t xml:space="preserve"> report that </w:t>
      </w:r>
      <w:r>
        <w:t xml:space="preserve">FD </w:t>
      </w:r>
      <w:r w:rsidRPr="00654299">
        <w:t>beneﬁts the poor and reduces income inequality. In addition, some country</w:t>
      </w:r>
      <w:r>
        <w:t>-</w:t>
      </w:r>
      <w:r w:rsidRPr="00654299">
        <w:t xml:space="preserve">level studies have found that </w:t>
      </w:r>
      <w:r>
        <w:t>FD</w:t>
      </w:r>
      <w:r w:rsidRPr="00654299">
        <w:t xml:space="preserve"> is negatively associated with income inequality in India </w:t>
      </w:r>
      <w:r w:rsidRPr="00654299">
        <w:fldChar w:fldCharType="begin" w:fldLock="1"/>
      </w:r>
      <w:r w:rsidRPr="00654299">
        <w:instrText>ADDIN CSL_CITATION {"citationItems":[{"id":"ITEM-1","itemData":{"DOI":"10.4284/SEJ.2010.76.3.738","ISSN":"2325-8012","abstract":"See, stats, and : https : / / www . researchgate . net / publication / 28079</w:instrText>
      </w:r>
      <w:r w:rsidRPr="005D0B39">
        <w:rPr>
          <w:lang w:val="de-DE"/>
        </w:rPr>
        <w:instrText>4542 Finance : The India Article DOI : 10 . 4284 / sej . 2010 . 76 . 3 . 738 CITATIONS 33 READS 204 1 : James Nanyang 60 , 279 SEE All . The . Although theory emphasizes the role of financial market frictions in explaining income inequality , there is little empirical research exploring how financial development and financial sector reforms influence the evolution of income inequality . This article examines how finance impacts income inequality in India using annual time series data for over half a century . The results indicate that while financial development helps reduce income inequality , financial liberalization seems to exacerbate it . The results are robust to the use of different measures for financial development and financial liberalization .","author":[{"dropping-particle":"","family":"Ang","given":"James B.","non-dropping-particle":"","parse-names":false,"suffix":""}],"container-title":"Southern Economic Journal","id":"ITEM-1","issue":"3","issued":{"date-parts":[["2010","1","1"]]},"page":"738-761","publisher":"John Wiley &amp; Sons, Ltd","title":"Finance and Inequality: The Case of India","type":"article-journal","volume":"76"},"uris":["http://www.mendeley.com/documents/?uuid=4e08332a-f208-394c-a34a-c0bef0bee813"]}],"mendeley":{"formattedCitation":"(Ang, 2010)","plainTextFormattedCitation":"(Ang, 2010)","previouslyFormattedCitation":"(Ang, 2010)"},"properties":{"noteIndex":0},"schema":"https://github.com/citation-style-language/schema/raw/master/csl-citation.json"}</w:instrText>
      </w:r>
      <w:r w:rsidRPr="00654299">
        <w:fldChar w:fldCharType="separate"/>
      </w:r>
      <w:r w:rsidRPr="005D0B39">
        <w:rPr>
          <w:noProof/>
          <w:lang w:val="de-DE"/>
        </w:rPr>
        <w:t>(Ang, 2010)</w:t>
      </w:r>
      <w:r w:rsidRPr="00654299">
        <w:fldChar w:fldCharType="end"/>
      </w:r>
      <w:r w:rsidRPr="005D0B39">
        <w:rPr>
          <w:lang w:val="de-DE"/>
        </w:rPr>
        <w:t xml:space="preserve">, Brazil </w:t>
      </w:r>
      <w:r w:rsidRPr="00654299">
        <w:fldChar w:fldCharType="begin" w:fldLock="1"/>
      </w:r>
      <w:r w:rsidRPr="005D0B39">
        <w:rPr>
          <w:lang w:val="de-DE"/>
        </w:rPr>
        <w:instrText>ADDIN CSL_CITATION {"citationItems":[{"id":"ITEM-1","itemData":{"abstract":"We examine the impact that financial development had on earnings inequality in Brazil in the 1980's and 90's. The empirical evidence, based on panel time series and time series data, shows that more broad access to financial and credit markets had a significant and robust effect in reducing inequality during the period investigated. We suggest that this is not only because the poor can invest the acquired credit in all sorts of productive activities, but also because those with access to financial markets can insulate themselves against recurrent poor macroeconomic performance, which is exemplified by extreme inflation rates. The main implication of the results is that a seemingly non-distortionary policy, such as more credit aimed at the poor, alleviates the high inequality present in Brazil and consequently improves welfare without distorting economic efficiency.","author":[{"dropping-particle":"","family":"Meyer Bittencourt","given":"Manoel F","non-dropping-particle":"","parse-names":false,"suffix":""}],"id":"ITEM-1","issued":{"date-parts":[["2006"]]},"publisher":"Hannover: Verein für Socialpolitik, Ausschuss für Entwicklungsländer","title":"Financial Development and Inequality: Brazil 1985-99","type":"article-journal"},"uris":["http://www.mendeley.com/documents/?uuid=25887a4c-eae8-3aa2-89bf-a091744decf0"]}],"mendeley":{"formattedCitation":"(Meyer Bittencourt, 2006)","plainTextFormattedCitation":"(Meyer Bittencourt, 2006)","previouslyFormattedCitation":"(Meyer Bittencourt, 2006)"},"properties":{"noteIndex":0},"schema":"https://github.com/citation-style-language/schema/raw/master/csl-citation.json"}</w:instrText>
      </w:r>
      <w:r w:rsidRPr="00654299">
        <w:fldChar w:fldCharType="separate"/>
      </w:r>
      <w:r w:rsidRPr="005D0B39">
        <w:rPr>
          <w:noProof/>
          <w:lang w:val="de-DE"/>
        </w:rPr>
        <w:t>(Meyer Bittencourt, 2006)</w:t>
      </w:r>
      <w:r w:rsidRPr="00654299">
        <w:fldChar w:fldCharType="end"/>
      </w:r>
      <w:r w:rsidRPr="005D0B39">
        <w:rPr>
          <w:lang w:val="de-DE"/>
        </w:rPr>
        <w:t xml:space="preserve">, China </w:t>
      </w:r>
      <w:r w:rsidRPr="00654299">
        <w:fldChar w:fldCharType="begin" w:fldLock="1"/>
      </w:r>
      <w:r w:rsidRPr="005D0B39">
        <w:rPr>
          <w:lang w:val="de-DE"/>
        </w:rPr>
        <w:instrText>ADDIN CSL_CITATION {"citationItems":[{"id":"ITEM-1","itemData":{"author":[{"dropping-particle":"","family":"Liang","given":"Zhicheng","non-dropping-particle":"","parse-names":false,"suffix":""}],"container-title":"Journal of economic development","id":"ITEM-1","issue":"2","issued":{"date-parts":[["2006"]]},"title":"Financial development and income distribution: a system GMM panel analysis with application to urban China","type":"article-journal","volume":"31"},"uris":["http://www.mendeley.com/documents/?uuid=005e597b-2ab9-3866-9290-c15985f3baa0"]},{"id":"ITEM-2","itemData":{"DOI":"10.1057/9780230584259_3","abstract":"The Chinese economy has experienced impressive growth over the last two decades. However, this rapid growth has been accompanied by remarkable increases in inequality. According to the World Bank (1997), China’s Gini coefficient rose from 0.288 in 1981 to 0.388...","author":[{"dropping-particle":"","family":"Liang","given":"Zhicheng","non-dropping-particle":"","parse-names":false,"suffix":""}],"container-title":"Understanding Inequality and Poverty in China","id":"ITEM-2","issued":{"date-parts":[["2008"]]},"page":"72-88","publisher":"Palgrave Macmillan, London","title":"Financial Development and Income Inequality in Rural China 1991–2000","type":"article-journal"},"uris":["http://www.mendeley.com/documents/?uuid=19be9451-e85b-342c-a208-698118ee79d3"]}],"mendeley":{"formattedCitation":"(Liang, 2006, 2008)","plainTextFormattedCitation":"(Liang, 2006, 2008)","previouslyFormattedCitation":"(Liang, 2006, 2008)"},"properties":{"noteIndex":0},"schema":"https://github.com/citation-style-language/schema/raw/master/csl-citation.json"}</w:instrText>
      </w:r>
      <w:r w:rsidRPr="00654299">
        <w:fldChar w:fldCharType="separate"/>
      </w:r>
      <w:r w:rsidRPr="005D0B39">
        <w:rPr>
          <w:noProof/>
          <w:lang w:val="de-DE"/>
        </w:rPr>
        <w:t>(Liang, 2006, 2008)</w:t>
      </w:r>
      <w:r w:rsidRPr="00654299">
        <w:fldChar w:fldCharType="end"/>
      </w:r>
      <w:r w:rsidRPr="005D0B39">
        <w:rPr>
          <w:lang w:val="de-DE"/>
        </w:rPr>
        <w:t xml:space="preserve">, Pakistan </w:t>
      </w:r>
      <w:r w:rsidRPr="00654299">
        <w:fldChar w:fldCharType="begin" w:fldLock="1"/>
      </w:r>
      <w:r w:rsidRPr="005D0B39">
        <w:rPr>
          <w:lang w:val="de-DE"/>
        </w:rPr>
        <w:instrText>ADDIN CSL_CITATION {"citationItems":[{"id":"ITEM-1","itemData":{"abstract":"The paper examines the relationship between financial development and income inequality; and\nalso explores if the Greenwood and Jovianvich (GJ) hypothesis applies to Pakistan. Using data\nfrom 1971 to 2005, the paper implements the Auto Regressive Distributed Lag (ARDL) bounds\ntesting approach to cointegration to examine the existence of long run; and the error correction\nmodel (ECM) for the short run relationships. Stationarity properties of the series are checked by\nthe ADF method. The findings indicate that financial development reduces income inequality\nwhile financial instability aggravates it. Contrary to the conventional wisdom, we find economic\ngrowth worsens income distribution and that the latter is deteriorated further by trade openness.\nThe paper does not find support for the GJ relation. Appropriate reforms aimed at developing a\nwell-organized financial sector in Pakistan can help reduce income inequality.","author":[{"dropping-particle":"","family":"Shahbaz","given":"Muhammad","non-dropping-particle":"","parse-names":false,"suffix":""},{"dropping-particle":"","family":"Islam","given":"Faridul","non-dropping-particle":"","parse-names":false,"suffix":""}],"id":"ITEM-1","issued":{"date-parts":[["2011","1","15"]]},"title":"Financial development and income inequality in Pakistan: An application of ARDL approach","type":"article-journal"},"uris":["http://www.mendeley.com/documents/?uuid=cedf0227-6dc3-3723-abc3-933ea01f0bff"]}],"mendeley":{"formattedCitation":"(Shahbaz &amp; Islam, 2011)","plainTextFormattedCitation":"(Shahbaz &amp; Islam, 2011)","previouslyFormattedCitation":"(Shahbaz &amp; Islam, 2011)"},"properties":{"noteIndex":0},"schema":"https://github.com/citation-style-language/schema/raw/master/csl-citation.json"}</w:instrText>
      </w:r>
      <w:r w:rsidRPr="00654299">
        <w:fldChar w:fldCharType="separate"/>
      </w:r>
      <w:r w:rsidRPr="005D0B39">
        <w:rPr>
          <w:noProof/>
          <w:lang w:val="de-DE"/>
        </w:rPr>
        <w:t xml:space="preserve">(Shahbaz </w:t>
      </w:r>
      <w:r w:rsidR="00C62879">
        <w:rPr>
          <w:noProof/>
          <w:lang w:val="de-DE"/>
        </w:rPr>
        <w:t>and</w:t>
      </w:r>
      <w:r w:rsidRPr="005D0B39">
        <w:rPr>
          <w:noProof/>
          <w:lang w:val="de-DE"/>
        </w:rPr>
        <w:t xml:space="preserve"> Islam, 2011)</w:t>
      </w:r>
      <w:r w:rsidRPr="00654299">
        <w:fldChar w:fldCharType="end"/>
      </w:r>
      <w:r w:rsidRPr="005D0B39">
        <w:rPr>
          <w:lang w:val="de-DE"/>
        </w:rPr>
        <w:t xml:space="preserve">, and Vietnam </w:t>
      </w:r>
      <w:r w:rsidRPr="00654299">
        <w:fldChar w:fldCharType="begin" w:fldLock="1"/>
      </w:r>
      <w:r w:rsidRPr="005D0B39">
        <w:rPr>
          <w:lang w:val="de-DE"/>
        </w:rPr>
        <w:instrText>ADDIN CSL_CITATION {"citationItems":[{"id":"ITEM-1","itemData":{"abstract":"The pattern of income distribution can be influenced by financial evelopment. Using provincial data, this paper empirically investigates the relationship between financial development and income inequality in Vietnam from 2002 to 2008. The results show that financial development has a positive impact on reducing income inequality, which is consistent with the bulk of theoretical and empirical research. The results also confirms that financial development when it interacts with education has joint-effects on reducing income inequality. We also find no evidence supporting the Greenwood-Jovanovic hypothesis of an inverted U-shaped relationship between the financial sector of development and inequality.","author":[{"dropping-particle":"","family":"Hoi","given":"Chu Minh","non-dropping-particle":"","parse-names":false,"suffix":""},{"dropping-particle":"","family":"Hoi","given":"Le Quoc","non-dropping-particle":"","parse-names":false,"suffix":""}],"container-title":"Journal of Economics and Development","id":"ITEM-1","issue":"2","issued":{"date-parts":[["2012"]]},"page":"5-25","title":"Financial Development and Income Inequality in Vietnam: An Empirical Analysis","type":"article-journal","volume":"15"},"uris":["http://www.mendeley.com/documents/?uuid=31391ff3-bbc5-3a9e-974b-6286ba6714f0"]}],"mendeley":{"formattedCitation":"(Hoi &amp; Hoi, 2012)","plainTextFormattedCitation</w:instrText>
      </w:r>
      <w:r w:rsidRPr="00654299">
        <w:instrText>":"(Hoi &amp; Hoi, 2012)","previouslyFormattedCitation":"(Hoi &amp; Hoi, 2012)"},"properties":{"noteIndex":0},"schema":"https://github.com/citation-style-language/schema/raw/master/csl-citation.json"}</w:instrText>
      </w:r>
      <w:r w:rsidRPr="00654299">
        <w:fldChar w:fldCharType="separate"/>
      </w:r>
      <w:r w:rsidRPr="00654299">
        <w:rPr>
          <w:noProof/>
        </w:rPr>
        <w:t xml:space="preserve">(Hoi </w:t>
      </w:r>
      <w:r w:rsidR="00C62879">
        <w:rPr>
          <w:noProof/>
        </w:rPr>
        <w:t>and</w:t>
      </w:r>
      <w:r w:rsidRPr="00654299">
        <w:rPr>
          <w:noProof/>
        </w:rPr>
        <w:t xml:space="preserve"> Hoi, 2012)</w:t>
      </w:r>
      <w:r w:rsidRPr="00654299">
        <w:fldChar w:fldCharType="end"/>
      </w:r>
      <w:r w:rsidRPr="00654299">
        <w:t>.</w:t>
      </w:r>
    </w:p>
    <w:p w14:paraId="00DB0489" w14:textId="19F6D49E" w:rsidR="0012305F" w:rsidRPr="00654299" w:rsidRDefault="0012305F" w:rsidP="0012305F">
      <w:r w:rsidRPr="00654299">
        <w:t xml:space="preserve">In addition to the linear relationship, recent theoretical and empirical studies reveal </w:t>
      </w:r>
      <w:r>
        <w:t>a</w:t>
      </w:r>
      <w:r w:rsidRPr="00654299">
        <w:t xml:space="preserve"> nonlinear relationship between </w:t>
      </w:r>
      <w:r>
        <w:t>FD</w:t>
      </w:r>
      <w:r w:rsidRPr="00654299">
        <w:t xml:space="preserve"> and income inequality</w:t>
      </w:r>
      <w:r>
        <w:t>,</w:t>
      </w:r>
      <w:r w:rsidRPr="00654299">
        <w:t xml:space="preserve"> depending on the level of </w:t>
      </w:r>
      <w:r>
        <w:t>FD</w:t>
      </w:r>
      <w:r w:rsidRPr="00654299">
        <w:t xml:space="preserve">. </w:t>
      </w:r>
      <w:r w:rsidRPr="00654299">
        <w:lastRenderedPageBreak/>
        <w:t xml:space="preserve">According to this view, both </w:t>
      </w:r>
      <w:r>
        <w:t xml:space="preserve">the </w:t>
      </w:r>
      <w:r w:rsidRPr="00654299">
        <w:t>inequality-widening and inequality</w:t>
      </w:r>
      <w:r>
        <w:t>-</w:t>
      </w:r>
      <w:r w:rsidRPr="00654299">
        <w:t>narrowing hypothes</w:t>
      </w:r>
      <w:r>
        <w:t>e</w:t>
      </w:r>
      <w:r w:rsidRPr="00654299">
        <w:t xml:space="preserve">s can be supported. This category can be divided into two. First, </w:t>
      </w:r>
      <w:r>
        <w:t>a</w:t>
      </w:r>
      <w:r w:rsidRPr="00654299">
        <w:t xml:space="preserve">n inverted U-shaped relationship between finance and inequality, </w:t>
      </w:r>
      <w:r>
        <w:t xml:space="preserve">developed by </w:t>
      </w:r>
      <w:r w:rsidRPr="00654299">
        <w:fldChar w:fldCharType="begin" w:fldLock="1"/>
      </w:r>
      <w:r w:rsidR="002E36DB">
        <w:instrText>ADDIN CSL_CITATION {"citationItems":[{"id":"ITEM-1","itemData":{"DOI":"10.1086/261720","ISSN":"0022-3808","abstract":"A paradigm is presented in which both the extent of financial intermediation and the rate of economic growth are endogenously determined. Financial intermediation promotes growth because it allows ...","author":[{"dropping-particle":"","family":"Greenwood","given":"Jeremy","non-dropping-particle":"","parse-names":false,"suffix":""},{"dropping-particle":"","family":"Jovanovic","given":"Boyan","non-dropping-particle":"","parse-names":false,"suffix":""}],"container-title":"Journal of Political Economy","id":"ITEM-1","issued":{"date-parts":[["1990","10","22"]]},"page":"1076-1107","publisher":" The University of Chicago Press ","title":"Financial Development, Growth, and the Distribution of Income","type":"article-journal","volume":"98"},"uris":["http://www.mendeley.com/documents/?uuid=1f7a9957-8964-397a-90c9-0624f4696ed2"]}],"mendeley":{"formattedCitation":"(Greenwood &amp; Jovanovic, 1990)","manualFormatting":"Greenwood and Jovanovic (1990)","plainTextFormattedCitation":"(Greenwood &amp; Jovanovic, 1990)","previouslyFormattedCitation":"(Greenwood &amp; Jovanovic, 1990)"},"properties":{"noteIndex":0},"schema":"https://github.com/citation-style-language/schema/raw/master/csl-citation.json"}</w:instrText>
      </w:r>
      <w:r w:rsidRPr="00654299">
        <w:fldChar w:fldCharType="separate"/>
      </w:r>
      <w:r w:rsidRPr="00654299">
        <w:rPr>
          <w:noProof/>
        </w:rPr>
        <w:t xml:space="preserve">Greenwood </w:t>
      </w:r>
      <w:r>
        <w:rPr>
          <w:noProof/>
        </w:rPr>
        <w:t>and</w:t>
      </w:r>
      <w:r w:rsidRPr="00654299">
        <w:rPr>
          <w:noProof/>
        </w:rPr>
        <w:t xml:space="preserve"> Jovanovic </w:t>
      </w:r>
      <w:r>
        <w:rPr>
          <w:noProof/>
        </w:rPr>
        <w:t>(</w:t>
      </w:r>
      <w:r w:rsidRPr="00654299">
        <w:rPr>
          <w:noProof/>
        </w:rPr>
        <w:t>1990)</w:t>
      </w:r>
      <w:r w:rsidRPr="00654299">
        <w:fldChar w:fldCharType="end"/>
      </w:r>
      <w:r>
        <w:t xml:space="preserve">, </w:t>
      </w:r>
      <w:r w:rsidRPr="00654299">
        <w:t>suggest</w:t>
      </w:r>
      <w:r>
        <w:t>s that</w:t>
      </w:r>
      <w:r w:rsidRPr="00654299">
        <w:t xml:space="preserve"> </w:t>
      </w:r>
      <w:r>
        <w:t>a</w:t>
      </w:r>
      <w:r w:rsidRPr="00654299">
        <w:t xml:space="preserve">t </w:t>
      </w:r>
      <w:r>
        <w:t xml:space="preserve">the </w:t>
      </w:r>
      <w:r w:rsidRPr="00654299">
        <w:t>early stages of economic development, access to financial services is costly</w:t>
      </w:r>
      <w:r>
        <w:t>,</w:t>
      </w:r>
      <w:r w:rsidRPr="00654299">
        <w:t xml:space="preserve"> and only high-income individuals can join financial intermediaries and profit from better financial market</w:t>
      </w:r>
      <w:r>
        <w:t>s</w:t>
      </w:r>
      <w:r w:rsidRPr="00654299">
        <w:t xml:space="preserve">. However, at </w:t>
      </w:r>
      <w:r>
        <w:t xml:space="preserve">a </w:t>
      </w:r>
      <w:r w:rsidRPr="00654299">
        <w:t xml:space="preserve">higher level of economic development and after a certain level of </w:t>
      </w:r>
      <w:r>
        <w:t>FD</w:t>
      </w:r>
      <w:r w:rsidRPr="00654299">
        <w:t xml:space="preserve">, a </w:t>
      </w:r>
      <w:r>
        <w:t>more significant</w:t>
      </w:r>
      <w:r w:rsidRPr="00654299">
        <w:t xml:space="preserve"> proportion of society </w:t>
      </w:r>
      <w:r>
        <w:t xml:space="preserve">has </w:t>
      </w:r>
      <w:r w:rsidRPr="00654299">
        <w:t>access to financial services</w:t>
      </w:r>
      <w:r>
        <w:t>,</w:t>
      </w:r>
      <w:r w:rsidRPr="00654299">
        <w:t xml:space="preserve"> which leads to a decrease in income inequality. By using a large sample of countries, some empirical studies (e.g., </w:t>
      </w:r>
      <w:r w:rsidRPr="00654299">
        <w:fldChar w:fldCharType="begin" w:fldLock="1"/>
      </w:r>
      <w:r w:rsidR="002E36DB">
        <w:instrText>ADDIN CSL_CITATION {"citationItems":[{"id":"ITEM-1","itemData":{"DOI":"10.1016/J.JCE.2011.07.002","ISSN":"0147-5967","abstract":"The majority of theoretical studies on the relationship between income inequality and financial development argue that financial deepening might be a feasible instrument for improving income distribution. This paper finds that the prediction crucially depends on the stages of financial development that the country is undergoing. The benefits of financial depth only occur if the country has reached a threshold level of financial development. Below this critical value, financial development counteracts income inequality. Our policy implication is that a minimum level of financial development is a necessary precondition for achieving reduction in income inequality through financial development. © 2011 Association for Comparative Economic Studies.","author":[{"dropping-particle":"","family":"Kim","given":"Dong Hyeon","non-dropping-particle":"","parse-names":false,"suffix":""},{"dropping-particle":"","family":"Lin","given":"Shu Chin","non-dropping-particle":"","parse-names":false,"suffix":""}],"container-title":"Journal of Comparative Economics","id":"ITEM-1","issue":"3","issued":{"date-parts":[["2011","9","1"]]},"page":"310-325","publisher":"Academic Press","title":"Nonlinearity in the financial development–income inequality nexus","type":"article-journal","volume":"39"},"uris":["http://www.mendeley.com/documents/?uuid=788f8101-c637-36d2-8950-2beadf6fe104"]},{"id":"ITEM-2","itemData":{"DOI":"10.1002/JID.2843","ISSN":"1099-1328","abstract":"The existing empirical knowledge in the area of financial sector development and income inequality finds evidence for the theoretical work which posits a simple, linear relationship between the two variables. In this article, we subject the extant empirical knowledge to close scrutiny and point out to a potential dynamic and endogenous relationship between financial sector development and inequality. By using dynamic multivariate panel data analysis on a carefully selected data set of income inequality data for developed and developing countries spanning the period 1962-2006, we find robust empirical evidence for the existence of an inverted U-curve relationship between financial sector development and income inequality. In that token, we confirm the theoretical stipulations of Greenwood and Jovanovic (1990) for an inverted U-curve relationship between the financial sector and income inequality. © 2012 John Wiley &amp; Sons, Ltd.","author":[{"dropping-particle":"","family":"Nikoloski","given":"Zlatko","non-dropping-particle":"","parse-names":false,"suffix":""}],"container-title":"Journal of International Development","id":"ITEM-2","issue":"7","issued":{"date-parts":[["2013","10","1"]]},"page":"897-911","publisher":"John Wiley &amp; Sons, Ltd","title":"FINANCIAL SECTOR DEVELOPMENT AND INEQUALITY: IS THERE A FINANCIAL KUZNETS CURVE?","type":"article-journal","volume":"25"},"uris":["http://www.mendeley.com/documents/?uuid=fe23a4c4-c2f9-3e4b-bdb6-465e42d4605c"]}],"mendeley":{"formattedCitation":"(Kim &amp; Lin, 2011; Nikoloski, 2013)","manualFormatting":"Kim &amp; Lin, 2011; Nikoloski, 2013)","plainTextFormattedCitation":"(Kim &amp; Lin, 2011; Nikoloski, 2013)","previouslyFormattedCitation":"(Kim &amp; Lin, 2011; Nikoloski, 2013)"},"properties":{"noteIndex":0},"schema":"https://github.com/citation-style-language/schema/raw/master/csl-citation.json"}</w:instrText>
      </w:r>
      <w:r w:rsidRPr="00654299">
        <w:fldChar w:fldCharType="separate"/>
      </w:r>
      <w:r w:rsidRPr="00654299">
        <w:rPr>
          <w:noProof/>
        </w:rPr>
        <w:t xml:space="preserve">Kim </w:t>
      </w:r>
      <w:r w:rsidR="00C62879">
        <w:rPr>
          <w:noProof/>
        </w:rPr>
        <w:t>and</w:t>
      </w:r>
      <w:r w:rsidRPr="00654299">
        <w:rPr>
          <w:noProof/>
        </w:rPr>
        <w:t xml:space="preserve"> Lin</w:t>
      </w:r>
      <w:r>
        <w:rPr>
          <w:noProof/>
        </w:rPr>
        <w:t xml:space="preserve">, </w:t>
      </w:r>
      <w:r w:rsidRPr="00654299">
        <w:rPr>
          <w:noProof/>
        </w:rPr>
        <w:t>2011</w:t>
      </w:r>
      <w:r>
        <w:rPr>
          <w:noProof/>
        </w:rPr>
        <w:t>;</w:t>
      </w:r>
      <w:r w:rsidRPr="00654299">
        <w:rPr>
          <w:noProof/>
        </w:rPr>
        <w:t xml:space="preserve"> Nikoloski</w:t>
      </w:r>
      <w:r>
        <w:rPr>
          <w:noProof/>
        </w:rPr>
        <w:t xml:space="preserve">, </w:t>
      </w:r>
      <w:r w:rsidRPr="00654299">
        <w:rPr>
          <w:noProof/>
        </w:rPr>
        <w:t>2013)</w:t>
      </w:r>
      <w:r w:rsidRPr="00654299">
        <w:fldChar w:fldCharType="end"/>
      </w:r>
      <w:r w:rsidRPr="00654299">
        <w:t xml:space="preserve"> have supported an inverted U shape relationship hypothesis. Second, the U-shaped relationship between </w:t>
      </w:r>
      <w:r>
        <w:t>FD</w:t>
      </w:r>
      <w:r w:rsidRPr="00654299">
        <w:t xml:space="preserve"> and income inequality has been reported in some research. For example, </w:t>
      </w:r>
      <w:r w:rsidRPr="00654299">
        <w:fldChar w:fldCharType="begin" w:fldLock="1"/>
      </w:r>
      <w:r w:rsidR="002E36DB">
        <w:instrText>ADDIN CSL_CITATION {"citationItems":[{"id":"ITEM-1","itemData":{"DOI":"10.1007/S10888-011-9174-3","ISSN":"15691721","abstract":"This study examines the dynamics of the finance-inequality nexus in 35 developing countries during the past two decades, using two data sets of income inequality: the University of Texas Inequality Project (UTIP) and the Standardized World Income Inequality Database (SWIID). The empirical results of this study, based on the dynamic panel models, provide new evidence that highlights the nonlinear U-shaped relationship between financial deepening and income distribution. It implies the narrowing of the income-inequality gap at the early stage of financial development of the countries. This improvement, however, will only be sustainable dynamically below a certain threshold level. Further deepening above that level will lead to a reverse effect, which deteriorates income inequality. This reflects the inefficiency of financial markets in improving economic inequality when the threshold level is overshot. © 2011 Springer Science+Business Media, LLC.","author":[{"dropping-particle":"","family":"Tan","given":"Hui Boon","non-dropping-particle":"","parse-names":false,"suffix":""},{"dropping-particle":"","family":"Law","given":"Siong Hook","non-dropping-particle":"","parse-names":false,"suffix":""}],"container-title":"Journal of Economic Inequality","id":"ITEM-1","issue":"4","issued":{"date-parts":[["2012","12"]]},"page":"551-563","title":"Nonlinear dynamics of the finance-inequality nexus in developing countries","type":"article-journal","volume":"10"},"uris":["http://www.mendeley.com/documents/?uuid=03b99fed-e962-31fb-b4f3-e0bae4d119f9"]}],"mendeley":{"formattedCitation":"(Tan &amp; Law, 2012)","manualFormatting":"Tan and Law (2012)","plainTextFormattedCitation":"(Tan &amp; Law, 2012)","previouslyFormattedCitation":"(Tan &amp; Law, 2012)"},"properties":{"noteIndex":0},"schema":"https://github.com/citation-style-language/schema/raw/master/csl-citation.json"}</w:instrText>
      </w:r>
      <w:r w:rsidRPr="00654299">
        <w:fldChar w:fldCharType="separate"/>
      </w:r>
      <w:r w:rsidRPr="00654299">
        <w:rPr>
          <w:noProof/>
        </w:rPr>
        <w:t xml:space="preserve">Tan </w:t>
      </w:r>
      <w:r>
        <w:rPr>
          <w:noProof/>
        </w:rPr>
        <w:t>and</w:t>
      </w:r>
      <w:r w:rsidRPr="00654299">
        <w:rPr>
          <w:noProof/>
        </w:rPr>
        <w:t xml:space="preserve"> Law</w:t>
      </w:r>
      <w:r>
        <w:rPr>
          <w:noProof/>
        </w:rPr>
        <w:t xml:space="preserve"> (</w:t>
      </w:r>
      <w:r w:rsidRPr="00654299">
        <w:rPr>
          <w:noProof/>
        </w:rPr>
        <w:t>2012)</w:t>
      </w:r>
      <w:r w:rsidRPr="00654299">
        <w:fldChar w:fldCharType="end"/>
      </w:r>
      <w:r w:rsidRPr="00654299">
        <w:t xml:space="preserve"> and </w:t>
      </w:r>
      <w:r w:rsidRPr="00654299">
        <w:fldChar w:fldCharType="begin" w:fldLock="1"/>
      </w:r>
      <w:r w:rsidR="002E36DB">
        <w:instrText>ADDIN CSL_CITATION {"citationItems":[{"id":"ITEM-1","itemData":{"DOI":"10.1080/1540496X.2017.1333958","ISSN":"15580938","abstract":"The central objective of our article is to empirically examine the relationship between financial development and income inequality. Theoretically, there are grounds for both a positive and negativ...","author":[{"dropping-particle":"","family":"Park","given":"Donghyun","non-dropping-particle":"","parse-names":false,"suffix":""},{"dropping-particle":"","family":"Shin","given":"Kwanho","non-dropping-particle":"","parse-names":false,"suffix":""}],"container-title":"https://doi.org/10.1080/1540496X.2017.1333958","id":"ITEM-1","issue":"12","issued":{"date-parts":[["2017","12","2"]]},"page":"2794-2825","publisher":"Routledge","title":"Economic Growth, Financial Development, and Income Inequality","type":"article-journal","volume":"53"},"uris":["http://www.mendeley.com/documents/?uuid=1d964aec-d8a4-30e0-9320-41bacfd7852b"]}],"mendeley":{"formattedCitation":"(Park &amp; Shin, 2017)","manualFormatting":"Park and Shin (2017)","plainTextFormattedCitation":"(Park &amp; Shin, 2017)","previouslyFormattedCitation":"(Park &amp; Shin, 2017)"},"properties":{"noteIndex":0},"schema":"https://github.com/citation-style-language/schema/raw/master/csl-citation.json"}</w:instrText>
      </w:r>
      <w:r w:rsidRPr="00654299">
        <w:fldChar w:fldCharType="separate"/>
      </w:r>
      <w:r w:rsidRPr="002A1517">
        <w:rPr>
          <w:noProof/>
        </w:rPr>
        <w:t xml:space="preserve">Park </w:t>
      </w:r>
      <w:r>
        <w:rPr>
          <w:noProof/>
        </w:rPr>
        <w:t>and</w:t>
      </w:r>
      <w:r w:rsidRPr="002A1517">
        <w:rPr>
          <w:noProof/>
        </w:rPr>
        <w:t xml:space="preserve"> Shin</w:t>
      </w:r>
      <w:r>
        <w:rPr>
          <w:noProof/>
        </w:rPr>
        <w:t xml:space="preserve"> (</w:t>
      </w:r>
      <w:r w:rsidRPr="002A1517">
        <w:rPr>
          <w:noProof/>
        </w:rPr>
        <w:t>2017)</w:t>
      </w:r>
      <w:r w:rsidRPr="00654299">
        <w:fldChar w:fldCharType="end"/>
      </w:r>
      <w:r w:rsidRPr="00654299">
        <w:t xml:space="preserve"> show that </w:t>
      </w:r>
      <w:r>
        <w:t>FD</w:t>
      </w:r>
      <w:r w:rsidRPr="00654299">
        <w:t xml:space="preserve"> reduces income inequality </w:t>
      </w:r>
      <w:r>
        <w:t>in</w:t>
      </w:r>
      <w:r w:rsidRPr="00654299">
        <w:t xml:space="preserve"> the early stage</w:t>
      </w:r>
      <w:r>
        <w:t>s</w:t>
      </w:r>
      <w:r w:rsidRPr="00654299">
        <w:t xml:space="preserve"> of </w:t>
      </w:r>
      <w:r>
        <w:t>FD</w:t>
      </w:r>
      <w:r w:rsidRPr="00654299">
        <w:t xml:space="preserve">.  </w:t>
      </w:r>
      <w:r>
        <w:t>However,</w:t>
      </w:r>
      <w:r w:rsidRPr="00654299">
        <w:t xml:space="preserve"> if </w:t>
      </w:r>
      <w:r>
        <w:t>FD</w:t>
      </w:r>
      <w:r w:rsidRPr="00654299">
        <w:t xml:space="preserve"> reaches a certain threshold, it will increase income inequality. </w:t>
      </w:r>
    </w:p>
    <w:p w14:paraId="6D49BA08" w14:textId="7E22E099" w:rsidR="0012305F" w:rsidRPr="008D255F" w:rsidRDefault="0012305F" w:rsidP="0012305F">
      <w:r w:rsidRPr="00654299">
        <w:t xml:space="preserve">Some studies </w:t>
      </w:r>
      <w:r>
        <w:t xml:space="preserve">go </w:t>
      </w:r>
      <w:r w:rsidRPr="00654299">
        <w:t xml:space="preserve">a step further </w:t>
      </w:r>
      <w:r w:rsidRPr="008D255F">
        <w:t xml:space="preserve">and argue that institutional quality is the </w:t>
      </w:r>
      <w:r>
        <w:t>main</w:t>
      </w:r>
      <w:r w:rsidRPr="008D255F">
        <w:t xml:space="preserve"> factor responsible for the nonlinear relationship. </w:t>
      </w:r>
      <w:r w:rsidRPr="008D255F">
        <w:fldChar w:fldCharType="begin" w:fldLock="1"/>
      </w:r>
      <w:r w:rsidR="002E36DB">
        <w:instrText>ADDIN CSL_CITATION {"citationItems":[{"id":"ITEM-1","itemData":{"DOI":"10.1016/S0304-405X(03)00125-9","ISSN":"0304-405X","abstract":"The state of development of the financial sector does not change monotonically over time. In particular, by most measures, countries were more financially developed in 1913 than in 1980 and only recently have they surpassed their 1913 levels. To explain these changes, we propose an interest group theory of financial development where incumbents oppose financial development because it breeds competition. The theory predicts that incumbents' opposition will be weaker when an economy allows both cross-border trade and capital flows. This theory can go some way in accounting for the cross-country differences in, and the time-series variation of, financial development. © 2003 Elsevier Science B.V. All rights reserved.","author":[{"dropping-particle":"","family":"Rajan","given":"Raghuram","non-dropping-particle":"","parse-names":false,"suffix":""},{"dropping-particle":"","family":"Zingales","given":"Luigi","non-dropping-particle":"","parse-names":false,"suffix":""}],"container-title":"Journal of Financial Economics","id":"ITEM-1","issue":"1","issued":{"date-parts":[["2003","7","1"]]},"page":"5-50","publisher":"North-Holland","title":"The great reversals: the politics of financial development in the twentieth century","type":"article-journal","volume":"69"},"uris":["http://www.mendeley.com/documents/?uuid=9da0c7c1-1555-396a-aa4d-441b5afd7a92"]}],"mendeley":{"formattedCitation":"(Rajan &amp; Zingales, 2003b)","manualFormatting":"Rajan and Zingales (2003b)","plainTextFormattedCitation":"(Rajan &amp; Zingales, 2003b)","previouslyFormattedCitation":"(Rajan &amp; Zingales, 2003b)"},"properties":{"noteIndex":0},"schema":"https://github.com/citation-style-language/schema/raw/master/csl-citation.json"}</w:instrText>
      </w:r>
      <w:r w:rsidRPr="008D255F">
        <w:fldChar w:fldCharType="separate"/>
      </w:r>
      <w:r w:rsidRPr="008D255F">
        <w:rPr>
          <w:noProof/>
        </w:rPr>
        <w:t xml:space="preserve">Rajan </w:t>
      </w:r>
      <w:r>
        <w:rPr>
          <w:noProof/>
        </w:rPr>
        <w:t>and</w:t>
      </w:r>
      <w:r w:rsidRPr="008D255F">
        <w:rPr>
          <w:noProof/>
        </w:rPr>
        <w:t xml:space="preserve"> Zingales (2003b)</w:t>
      </w:r>
      <w:r w:rsidRPr="008D255F">
        <w:fldChar w:fldCharType="end"/>
      </w:r>
      <w:r w:rsidRPr="008D255F">
        <w:t xml:space="preserve"> argue that de jure political representation is dominated by de facto political influence in the presence of weak institutional environments, which allows established interests (incumbent industrial and ﬁnancial interest groups) </w:t>
      </w:r>
      <w:r>
        <w:t xml:space="preserve">to </w:t>
      </w:r>
      <w:r w:rsidRPr="008D255F">
        <w:t xml:space="preserve">have privileged access to finance so that FD induced by captured direct controls is likely to hurt the poor. </w:t>
      </w:r>
      <w:r>
        <w:t>In contrast, i</w:t>
      </w:r>
      <w:r w:rsidRPr="008D255F">
        <w:t xml:space="preserve">n the presence of strong institutions, FD may reduce inequality, allowing the poor to invest in building their human and physical capitals </w:t>
      </w:r>
      <w:r w:rsidRPr="008D255F">
        <w:fldChar w:fldCharType="begin" w:fldLock="1"/>
      </w:r>
      <w:r w:rsidRPr="008D255F">
        <w:instrText>ADDIN CSL_CITATION {"citationItems":[{"id":"ITEM-1","itemData":{"DOI":"10.2753/REE1540-496X5001S102","ISSN":"15580938","abstract":"We examine whether the relationship between financial development and income inequality varies with levels of institutional quality. The empirical evidence based on the threshold regression approach shows that there indeed exists an institutional quality threshold effect in the relationship between financial development and income inequality. Financial development tends to reduce income inequality only after a certain threshold level of institutional quality has been achieved. Until then, the effect of financial development on income inequality is nonexistent. This finding suggests that institutional quality affects the link between financial development and income inequality, reflecting the notion that better quality finance results in more equal income distribution.","author":[{"dropping-particle":"","family":"Law","given":"Siong Hook","non-dropping-particle":"","parse-names":false,"suffix":""},{"dropping-particle":"","family":"Tan","given":"Hui Boon","non-dropping-particle":"","parse-names":false,"suffix":""},{"dropping-particle":"","family":"Azman-Saini","given":"W. N.W.","non-dropping-particle":"","parse-names":false,"suffix":""}],"container-title":"Emerging Markets Finance and Trade","id":"ITEM-1","issued":{"date-parts":[["2014"]]},"page":"21-33","publisher":"Routledge","title":"Financial development and income inequality at different levels of institutional quality","type":"article-journal","volume":"50"},"uris":["http://www.mendeley.com/documents/?uuid=a5cf98f7-fa14-3e66-b12d-52b940095cc5"]}],"mendeley":{"formattedCitation":"(Law et al., 2014)","plainTextFormattedCitation":"(Law et al., 2014)","previouslyFormattedCitation":"(Law et al., 2014)"},"properties":{"noteIndex":0},"schema":"https://github.com/citation-style-language/schema/raw/master/csl-citation.json"}</w:instrText>
      </w:r>
      <w:r w:rsidRPr="008D255F">
        <w:fldChar w:fldCharType="separate"/>
      </w:r>
      <w:r w:rsidRPr="008D255F">
        <w:rPr>
          <w:noProof/>
        </w:rPr>
        <w:t>(Law et al., 2014)</w:t>
      </w:r>
      <w:r w:rsidRPr="008D255F">
        <w:fldChar w:fldCharType="end"/>
      </w:r>
      <w:r w:rsidRPr="008D255F">
        <w:t xml:space="preserve">. Several studies have attempted to provide direct empirical evidence for the idea that the quality of institutions conditions the link between FD and inequality. Using the aggregate institutional quality measurement, </w:t>
      </w:r>
      <w:r w:rsidRPr="008D255F">
        <w:fldChar w:fldCharType="begin" w:fldLock="1"/>
      </w:r>
      <w:r w:rsidRPr="008D255F">
        <w:instrText>ADDIN CSL_CITATION {"citationItems":[{"id":"ITEM-1","itemData":{"DOI":"10.2753/REE1540-496X5001S102","ISSN":"15580938","abstract":"We examine whether the relationship between financial development and income inequality varies with levels of institutional quality. The empirical evidence based on the threshold regression approach shows that there indeed exists an institutional quality threshold effect in the relationship between financial development and income inequality. Financial development tends to reduce income inequality only after a certain threshold level of institutional quality has been achieved. Until then, the effect of financial development on income inequality is nonexistent. This finding suggests that institutional quality affects the link between financial development and income inequality, reflecting the notion that better quality finance results in more equal income distribution.","author":[{"dropping-particle":"","family":"Law","given":"Siong Hook","non-dropping-particle":"","parse-names":false,"suffix":""},{"dropping-particle":"","family":"Tan","given":"Hui Boon","non-dropping-particle":"","parse-names":false,"suffix":""},{"dropping-particle":"","family":"Azman-Saini","given":"W. N.W.","non-dropping-particle":"","parse-names":false,"suffix":""}],"container-title":"Emerging Markets Finance and Trade","id":"ITEM-1","issued":{"date-parts":[["2014"]]},"page":"21-33","publisher":"Routledge","title":"Financial development and income inequality at different levels of institutional quality","type":"article-journal","volume":"50"},"uris":["http://www.mendeley.com/documents/?uuid=a5cf98f7-fa14-3e66-b12d-52b940095cc5"]}],"mendeley":{"formattedCitation":"(Law et al., 2014)","manualFormatting":"Law et al. (2014)","plainTextFormattedCitation":"(Law et al., 2014)","previouslyFormattedCitation":"(Law et al., 2014)"},"properties":{"noteIndex":0},"schema":"https://github.com/citation-style-language/schema/raw/master/csl-citation.json"}</w:instrText>
      </w:r>
      <w:r w:rsidRPr="008D255F">
        <w:fldChar w:fldCharType="separate"/>
      </w:r>
      <w:r w:rsidRPr="008D255F">
        <w:rPr>
          <w:noProof/>
        </w:rPr>
        <w:t>Law et al. (2014)</w:t>
      </w:r>
      <w:r w:rsidRPr="008D255F">
        <w:fldChar w:fldCharType="end"/>
      </w:r>
      <w:r w:rsidRPr="008D255F">
        <w:t xml:space="preserve"> find that FD reduces income inequality only after achieving a certain threshold level of institutional quality. Until then, the effect of FD on income inequality is non-existent. By focusing on single components of governance indicators, some studies find that the positive link between FD and income inequality can be mitigated by low crisis frequency and good governance in the short run </w:t>
      </w:r>
      <w:r w:rsidRPr="008D255F">
        <w:fldChar w:fldCharType="begin" w:fldLock="1"/>
      </w:r>
      <w:r w:rsidRPr="008D255F">
        <w:instrText>ADDIN CSL_CITATION {"citationItems":[{"id":"ITEM-1","itemData":{"DOI":"10.1080/1540496X.2016.1116281","ISSN":"15580938","abstract":"This article examines the dynamic relationship between financial development and income inequality using the PMG. We find that financial development will reduce inequality in the long run, while it...","author":[{"dropping-particle":"","family":"Chen","given":"Wang","non-dropping-particle":"","parse-names":false,"suffix":""},{"dropping-particle":"","family":"Kinkyo","given":"Takuji","non-dropping-particle":"","parse-names":false,"suffix":""}],"container-title":"Emerging markets finance and trade","id":"ITEM-1","issue":"3","issued":{"date-parts":[["2016","3","3"]]},"page":"733-742","publisher":"Routledge","title":"Financial Development and Income Inequality: Long-Run Relationship and Short-Run Heterogeneity","type":"article-journal","volume":"52"},"uris":["http://www.mendeley.com/documents/?uuid=deb1869b-5585-33c0-98de-d0afdefb8d0b"]}],"mendeley":{"formattedCitation":"(Chen &amp; Kinkyo, 2016)","plainTextFormattedCitation":"(Chen &amp; Kinkyo, 2016)","previouslyFormattedCitation":"(Chen &amp; Kinkyo, 2016)"},"properties":{"noteIndex":0},"schema":"https://github.com/citation-style-language/schema/raw/master/csl-citation.json"}</w:instrText>
      </w:r>
      <w:r w:rsidRPr="008D255F">
        <w:fldChar w:fldCharType="separate"/>
      </w:r>
      <w:r w:rsidRPr="008D255F">
        <w:rPr>
          <w:noProof/>
        </w:rPr>
        <w:t xml:space="preserve">(Chen </w:t>
      </w:r>
      <w:r w:rsidR="00C62879">
        <w:rPr>
          <w:noProof/>
        </w:rPr>
        <w:t>and</w:t>
      </w:r>
      <w:r w:rsidRPr="008D255F">
        <w:rPr>
          <w:noProof/>
        </w:rPr>
        <w:t xml:space="preserve"> Kinkyo, 2016)</w:t>
      </w:r>
      <w:r w:rsidRPr="008D255F">
        <w:fldChar w:fldCharType="end"/>
      </w:r>
      <w:r w:rsidRPr="008D255F">
        <w:t xml:space="preserve">, stricter control of corruption </w:t>
      </w:r>
      <w:r w:rsidRPr="008D255F">
        <w:fldChar w:fldCharType="begin" w:fldLock="1"/>
      </w:r>
      <w:r w:rsidRPr="008D255F">
        <w:instrText>ADDIN CSL_CITATION {"citationItems":[{"id":"ITEM-1","itemData":{"DOI":"10.1080/02692171.2016.1208740","ISSN":"14653486","abstract":"This paper examines the effect of financial development and control of corruption on income inequality in 21 Sub-Saharan African (SSA) countries over the period 1985–2011 using the pooled mean grou...","author":[{"dropping-particle":"","family":"Adams","given":"Samuel","non-dropping-particle":"","parse-names":false,"suffix":""},{"dropping-particle":"","family":"Klobodu","given":"Edem Kwame Mensah","non-dropping-particle":"","parse-names":false,"suffix":""}],"container-title":"https://doi.org/10.1080/02692171.2016.1208740","id":"ITEM-1","issue":"6","issued":{"date-parts":[["2016","11","1"]]},"page":"790-808","publisher":"Routledge","title":"Financial development, control of corruption and income inequality","type":"article-journal","volume":"30"},"uris":["http://www.mendeley.com/documents/?uuid=208e8541-00b1-3fe4-b60b-6e75101cdbf7"]}],"mendeley":{"formattedCitation":"(Adams &amp; Klobodu, 2016)","plainTextFormattedCitation":"(Adams &amp; Klobodu, 2016)","previouslyFormattedCitation":"(Adams &amp; Klobodu, 2016)"},"properties":{"noteIndex":0},"schema":"https://github.com/citation-style-language/schema/raw/master/csl-citation.json"}</w:instrText>
      </w:r>
      <w:r w:rsidRPr="008D255F">
        <w:fldChar w:fldCharType="separate"/>
      </w:r>
      <w:r w:rsidRPr="008D255F">
        <w:rPr>
          <w:noProof/>
        </w:rPr>
        <w:t xml:space="preserve">(Adams </w:t>
      </w:r>
      <w:r w:rsidR="00C62879">
        <w:rPr>
          <w:noProof/>
        </w:rPr>
        <w:t>and</w:t>
      </w:r>
      <w:r w:rsidRPr="008D255F">
        <w:rPr>
          <w:noProof/>
        </w:rPr>
        <w:t xml:space="preserve"> Klobodu, 2016)</w:t>
      </w:r>
      <w:r w:rsidRPr="008D255F">
        <w:fldChar w:fldCharType="end"/>
      </w:r>
      <w:r w:rsidRPr="008D255F">
        <w:t xml:space="preserve">, and higher democratization </w:t>
      </w:r>
      <w:r w:rsidRPr="008D255F">
        <w:fldChar w:fldCharType="begin" w:fldLock="1"/>
      </w:r>
      <w:r w:rsidRPr="008D255F">
        <w:instrText>ADDIN CSL_CITATION {"citationItems":[{"id":"ITEM-1","itemData":{"DOI":"10.1007/S00181-019-01808-Z/TABLES/9","ISSN":"14358921","abstract":"Rising income inequality coinciding with financial liberalization has stimulated extensive studies on the possible links between income inequality and different forms of financial liberalization, both inputs and outputs, since the 1990s. Nonetheless, empirical investigations remain inconclusive. To provide new and robust evidence, this study investigates the distributional repercussions of financial liberalization and the role played by democratization in this process. Focusing on the outcome measures of financial liberalization, we find, in a panel of developing and developed countries for 1989–2011, that (1) financial openness alleviates income inequality, particularly for less democratic countries; (2) stock market development mitigates income inequality, whereas its volatility exacerbates it, with both effects decreasing with democratization; (3) banking development strengthens income inequality, whereas its volatility alleviates it, with both effects again moderating with democratization; and (4) these effects are mediated by human capital accumulation and entrepreneurship development.The data thus suggest that financial reforms toward capital account openness and more liquid, stable stock markets are beneficial to income distribution, as such reforms allow more previously excluded households and firms to access financial funds and services, thereby increasing human capital and entrepreneurship, especially in less democratic countries.","author":[{"dropping-particle":"","family":"Kim","given":"Dong Hyeon","non-dropping-particle":"","parse-names":false,"suffix":""},{"dropping-particle":"","family":"Hsieh","given":"Joyce","non-dropping-particle":"","parse-names":false,"suffix":""},{"dropping-particle":"","family":"Lin","given":"Shu Chin","non-dropping-particle":"","parse-names":false,"suffix":""}],"container-title":"Empirical Economics","id":"ITEM-1","issue":"3","issued":{"date-parts":[["2021","3","1"]]},"page":"1245-1281","publisher":"Springer Science and Business Media Deutschland GmbH","title":"Financial liberalization, political institutions, and income inequality","type":"article-journal","volume":"60"},"uris":["http://www.mendeley.com/documents/?uuid=da3ffcc7-9c03-3dc9-bb1d-ce8c8f78b8b3"]}],"mendeley":{"formattedCitation":"(Kim et al., 2021)","plainTextFormattedCitation":"(Kim et al., 2021)","previouslyFormattedCitation":"(Kim et al., 2021)"},"properties":{"noteIndex":0},"schema":"https://github.com/citation-style-language/schema/raw/master/csl-citation.json"}</w:instrText>
      </w:r>
      <w:r w:rsidRPr="008D255F">
        <w:fldChar w:fldCharType="separate"/>
      </w:r>
      <w:r w:rsidRPr="008D255F">
        <w:rPr>
          <w:noProof/>
        </w:rPr>
        <w:t>(Kim et al., 2021)</w:t>
      </w:r>
      <w:r w:rsidRPr="008D255F">
        <w:fldChar w:fldCharType="end"/>
      </w:r>
      <w:r w:rsidRPr="008D255F">
        <w:t>.</w:t>
      </w:r>
    </w:p>
    <w:p w14:paraId="4072C2F0" w14:textId="3FD09C8E" w:rsidR="0012305F" w:rsidRPr="008D255F" w:rsidRDefault="0012305F" w:rsidP="0012305F">
      <w:r w:rsidRPr="008D255F">
        <w:t xml:space="preserve">In addition to institutional quality, the earlier studies provide a </w:t>
      </w:r>
      <w:r>
        <w:t>basis</w:t>
      </w:r>
      <w:r w:rsidRPr="008D255F">
        <w:t xml:space="preserve"> for the possible role of the country’s openness to trade and financial market in capturing the nonlinear relationship between FD and income inequality. First, the literature has emphasized the role of trade and financial openness in promoting FD. The openness theory of FD, </w:t>
      </w:r>
      <w:r>
        <w:t xml:space="preserve">proposed </w:t>
      </w:r>
      <w:r w:rsidRPr="008D255F">
        <w:t xml:space="preserve">by </w:t>
      </w:r>
      <w:r w:rsidRPr="008D255F">
        <w:fldChar w:fldCharType="begin" w:fldLock="1"/>
      </w:r>
      <w:r w:rsidR="002E36DB">
        <w:instrText>ADDIN CSL_CITATION {"citationItems":[{"id":"ITEM-1","itemData":{"DOI":"10.1016/S0304-405X(03)00125-9","ISSN":"0304-405X","abstract":"The state of development of the financial sector does not change monotonically over time. In particular, by most measures, countries were more financially developed in 1913 than in 1980 and only recently have they surpassed their 1913 levels. To explain these changes, we propose an interest group theory of financial development where incumbents oppose financial development because it breeds competition. The theory predicts that incumbents' opposition will be weaker when an economy allows both cross-border trade and capital flows. This theory can go some way in accounting for the cross-country differences in, and the time-series variation of, financial development. © 2003 Elsevier Science B.V. All rights reserved.","author":[{"dropping-particle":"","family":"Rajan","given":"Raghuram","non-dropping-particle":"","parse-names":false,"suffix":""},{"dropping-particle":"","family":"Zingales","given":"Luigi","non-dropping-particle":"","parse-names":false,"suffix":""}],"container-title":"Journal of Financial Economics","id":"ITEM-1","issue":"1","issued":{"date-parts":[["2003","7","1"]]},"page":"5-50","publisher":"North-Holland","title":"The great reversals: the politics of financial development in the twentieth century","type":"article-journal","volume":"69"},"uris":["http://www.mendeley.com/documents/?uuid=9da0c7c1-1555-396a-aa4d-441b5afd7a92"]}],"mendeley":{"formattedCitation":"(Rajan &amp; Zingales, 2003b)","manualFormatting":"Rajan and Zingales (2003b)","plainTextFormattedCitation":"(Rajan &amp; Zingales, 2003b)","previouslyFormattedCitation":"(Rajan &amp; Zingales, 2003b)"},"properties":{"noteIndex":0},"schema":"https://github.com/citation-style-language/schema/raw/master/csl-citation.json"}</w:instrText>
      </w:r>
      <w:r w:rsidRPr="008D255F">
        <w:fldChar w:fldCharType="separate"/>
      </w:r>
      <w:r w:rsidRPr="008D255F">
        <w:rPr>
          <w:noProof/>
        </w:rPr>
        <w:t xml:space="preserve">Rajan </w:t>
      </w:r>
      <w:r>
        <w:rPr>
          <w:noProof/>
        </w:rPr>
        <w:t>and</w:t>
      </w:r>
      <w:r w:rsidRPr="008D255F">
        <w:rPr>
          <w:noProof/>
        </w:rPr>
        <w:t xml:space="preserve"> Zingales (2003b)</w:t>
      </w:r>
      <w:r w:rsidRPr="008D255F">
        <w:fldChar w:fldCharType="end"/>
      </w:r>
      <w:r w:rsidRPr="008D255F">
        <w:t xml:space="preserve">, argues that the degree of openness to both international trade and financial flows can boost FD by reducing the power of interest groups and altering their hostile stance toward FD. To further explain this, </w:t>
      </w:r>
      <w:r w:rsidRPr="008D255F">
        <w:fldChar w:fldCharType="begin" w:fldLock="1"/>
      </w:r>
      <w:r w:rsidR="002E36DB">
        <w:instrText>ADDIN CSL_CITATION {"citationItems":[{"id":"ITEM-1","itemData":{"DOI":"10.1016/S0304-405X(03)00125-9","ISSN":"0304-405X","abstract":"The state of development of the financial sector does not change monotonically over time. In particular, by most measures, countries were more financially developed in 1913 than in 1980 and only recently have they surpassed their 1913 levels. To explain these changes, we propose an interest group theory of financial development where incumbents oppose financial development because it breeds competition. The theory predicts that incumbents' opposition will be weaker when an economy allows both cross-border trade and capital flows. This theory can go some way in accounting for the cross-country differences in, and the time-series variation of, financial development. © 2003 Elsevier Science B.V. All rights reserved.","author":[{"dropping-particle":"","family":"Rajan","given":"Raghuram","non-dropping-particle":"","parse-names":false,"suffix":""},{"dropping-particle":"","family":"Zingales","given":"Luigi","non-dropping-particle":"","parse-names":false,"suffix":""}],"container-title":"Journal of Financial Economics","id":"ITEM-1","issue":"1","issued":{"date-parts":[["2003","7","1"]]},"page":"5-50","publisher":"North-Holland","title":"The great reversals: the politics of financial development in the twentieth century","type":"article-journal","volume":"69"},"uris":["http://www.mendeley.com/documents/?uuid=9da0c7c1-1555-396a-aa4d-441b5afd7a92"]}],"mendeley":{"formattedCitation":"(Rajan &amp; Zingales, 2003b)","manualFormatting":"Rajan and Zingales (2003b)","plainTextFormattedCitation":"(Rajan &amp; Zingales, 2003b)","previouslyFormattedCitation":"(Rajan &amp; Zingales, 2003b)"},"properties":{"noteIndex":0},"schema":"https://github.com/citation-style-language/schema/raw/master/csl-citation.json"}</w:instrText>
      </w:r>
      <w:r w:rsidRPr="008D255F">
        <w:fldChar w:fldCharType="separate"/>
      </w:r>
      <w:r w:rsidRPr="008D255F">
        <w:rPr>
          <w:noProof/>
        </w:rPr>
        <w:t xml:space="preserve">Rajan </w:t>
      </w:r>
      <w:r>
        <w:rPr>
          <w:noProof/>
        </w:rPr>
        <w:t>and</w:t>
      </w:r>
      <w:r w:rsidRPr="008D255F">
        <w:rPr>
          <w:noProof/>
        </w:rPr>
        <w:t xml:space="preserve"> Zingales (2003b)</w:t>
      </w:r>
      <w:r w:rsidRPr="008D255F">
        <w:fldChar w:fldCharType="end"/>
      </w:r>
      <w:r w:rsidRPr="008D255F">
        <w:t xml:space="preserve"> argue that established incumbent industrial and financial interest groups oppose FD because it eases the entry of new firms into the market, increases competition and erodes the monopolistic rents of incumbent groups. However, trade and financial openness can weaken the incumbents’ opposition to FD and limit the power of incumbents who oppose FD by</w:t>
      </w:r>
      <w:r>
        <w:t xml:space="preserve"> introducing</w:t>
      </w:r>
      <w:r w:rsidRPr="008D255F">
        <w:t xml:space="preserve"> foreign competition outside the incumbents’ control. It can also create incentives for them to promote FD, which will help </w:t>
      </w:r>
      <w:r w:rsidRPr="008D255F">
        <w:lastRenderedPageBreak/>
        <w:t xml:space="preserve">them to face competition by providing sufficient finance. A handful of studies have empirically examined the arguments of openness theory </w:t>
      </w:r>
      <w:r w:rsidRPr="008D255F">
        <w:fldChar w:fldCharType="begin" w:fldLock="1"/>
      </w:r>
      <w:r w:rsidRPr="008D255F">
        <w:instrText>ADDIN CSL_CITATION {"citationItems":[{"id":"ITEM-1","itemData":{"DOI":"10.1016/J.JDEVECO.2008.06.006","ISSN":"0304-3878","abstract":"This paper addresses the empirical question of whether trade and financial openness can help explain the recent pace in financial development, as well as its variation across countries in recent years. Utilising annual data from developing and industrialised countries and dynamic panel estimation techniques, we provide evidence which suggests that both types of openness are statistically significant determinants of banking sector development. Our findings reveal that the marginal effects of trade (financial) openness are negatively related to the degree of financial (trade) openness, indicating that relatively closed economies stand to benefit most from opening up their trade and/or capital accounts. Although these economies may be able to accomplish more by taking steps to open both their trade and capital accounts, opening up one without the other could still generate gains in terms of banking sector development. Thus, our findings provide only partial support to the well known Rajan and Zingales hypothesis, which stipulates that both types of openness are necessary for financial development to take place. © 2008 Elsevier B.V. All rights reserved.","author":[{"dropping-particle":"","family":"Baltagi","given":"Badi H.","non-dropping-particle":"","parse-names":false,"suffix":""},{"dropping-particle":"","family":"Demetriades","given":"Panicos O.","non-dropping-particle":"","parse-names":false,"suffix":""},{"dropping-particle":"","family":"Law","given":"Siong Hook","non-dropping-particle":"","parse-names":false,"suffix":""}],"container-title":"Journal of Development Economics","id":"ITEM-1","issue":"2","issued":{"date-parts":[["2009","7","1"]]},"page":"285-296","publisher":"North-Holland","title":"Financial development and openness: Evidence from panel data","type":"article-journal","volume":"89"},"uris":["http://www.mendeley.com/documents/?uuid=8e40b035-1fa5-3704-b467-937a4aa5f74a"]},{"id":"ITEM-2","itemData":{"DOI":"10.1080/10168730903268398","ISSN":"10168737","abstract":"This paper examines the impact of trade openness and capital flows on financial development in developing countries using a dynamic panel GMM estimation technique. The empirical results reveal that...","author":[{"dropping-particle":"","family":"Law","given":"Siong Hook","non-dropping-particle":"","parse-names":false,"suffix":""}],"container-title":"http://dx.doi.org/10.1080/10168730903268398","id":"ITEM-2","issue":"3","issued":{"date-parts":[["2009","9"]]},"page":"409-426","publisher":" Routledge ","title":"Trade Openness, Capital Flows and Financial Development in Developing Economies","type":"article-journal","volume":"23"},"uris":["http://www.mendeley.com/documents/?uuid=db2dc1e0-996a-3204-8a78-374f887cc289"]}],"mendeley":{"formattedCitation":"(Baltagi et al., 2009; Law, 2009)","plainTextFormattedCitation":"(Baltagi et al., 2009; Law, 2009)","previouslyFormattedCitation":"(Baltagi et al., 2009; Law, 2009)"},"properties":{"noteIndex":0},"schema":"https://github.com/citation-style-language/schema/raw/master/csl-citation.json"}</w:instrText>
      </w:r>
      <w:r w:rsidRPr="008D255F">
        <w:fldChar w:fldCharType="separate"/>
      </w:r>
      <w:r w:rsidRPr="008D255F">
        <w:rPr>
          <w:noProof/>
        </w:rPr>
        <w:t>(Baltagi et al., 2009; Law, 2009)</w:t>
      </w:r>
      <w:r w:rsidRPr="008D255F">
        <w:fldChar w:fldCharType="end"/>
      </w:r>
      <w:r w:rsidRPr="008D255F">
        <w:t xml:space="preserve">. For example, </w:t>
      </w:r>
      <w:r w:rsidRPr="008D255F">
        <w:fldChar w:fldCharType="begin" w:fldLock="1"/>
      </w:r>
      <w:r w:rsidRPr="008D255F">
        <w:instrText>ADDIN CSL_CITATION {"citationItems":[{"id":"ITEM-1","itemData":{"DOI":"10.1016/J.JDEVECO.2008.06.006","ISSN":"0304-3878","abstract":"This paper addresses the empirical question of whether trade and financial openness can help explain the recent pace in financial development, as well as its variation across countries in recent years. Utilising annual data from developing and industrialised countries and dynamic panel estimation techniques, we provide evidence which suggests that both types of openness are statistically significant determinants of banking sector development. Our findings reveal that the marginal effects of trade (financial) openness are negatively related to the degree of financial (trade) openness, indicating that relatively closed economies stand to benefit most from opening up their trade and/or capital accounts. Although these economies may be able to accomplish more by taking steps to open both their trade and capital accounts, opening up one without the other could still generate gains in terms of banking sector development. Thus, our findings provide only partial support to the well known Rajan and Zingales hypothesis, which stipulates that both types of openness are necessary for financial development to take place. © 2008 Elsevier B.V. All rights reserved.","author":[{"dropping-particle":"","family":"Baltagi","given":"Badi H.","non-dropping-particle":"","parse-names":false,"suffix":""},{"dropping-particle":"","family":"Demetriades","given":"Panicos O.","non-dropping-particle":"","parse-names":false,"suffix":""},{"dropping-particle":"","family":"Law","given":"Siong Hook","non-dropping-particle":"","parse-names":false,"suffix":""}],"container-title":"Journal of Development Economics","id":"ITEM-1","issue":"2","issued":{"date-parts":[["2009","7","1"]]},"page":"285-296","publisher":"North-Holland","title":"Financial development and openness: Evidence from panel data","type":"article-journal","volume":"89"},"uris":["http://www.mendeley.com/documents/?uuid=8e40b035-1fa5-3704-b467-937a4aa5f74a"]}],"mendeley":{"formattedCitation":"(Baltagi et al., 2009)","manualFormatting":"Baltagi et al. (2009)","plainTextFormattedCitation":"(Baltagi et al., 2009)","previouslyFormattedCitation":"(Baltagi et al., 2009)"},"properties":{"noteIndex":0},"schema":"https://github.com/citation-style-language/schema/raw/master/csl-citation.json"}</w:instrText>
      </w:r>
      <w:r w:rsidRPr="008D255F">
        <w:fldChar w:fldCharType="separate"/>
      </w:r>
      <w:r w:rsidRPr="008D255F">
        <w:rPr>
          <w:noProof/>
        </w:rPr>
        <w:t>Baltagi et al. (2009)</w:t>
      </w:r>
      <w:r w:rsidRPr="008D255F">
        <w:fldChar w:fldCharType="end"/>
      </w:r>
      <w:r w:rsidRPr="008D255F">
        <w:t xml:space="preserve"> ﬁnd that trade and ﬁnancial openness individually have a signiﬁcant eﬀect on banking sector development.</w:t>
      </w:r>
    </w:p>
    <w:p w14:paraId="0DAD4423" w14:textId="1B21555D" w:rsidR="0012305F" w:rsidRPr="008D255F" w:rsidRDefault="0012305F" w:rsidP="0012305F">
      <w:r w:rsidRPr="008D255F">
        <w:t xml:space="preserve">Second, many scholars have </w:t>
      </w:r>
      <w:r>
        <w:t xml:space="preserve">reached </w:t>
      </w:r>
      <w:r w:rsidRPr="008D255F">
        <w:t xml:space="preserve">a consensus that there is a relationship between a country’s openness and income inequality </w:t>
      </w:r>
      <w:r w:rsidRPr="008D255F">
        <w:fldChar w:fldCharType="begin" w:fldLock="1"/>
      </w:r>
      <w:r w:rsidRPr="008D255F">
        <w:instrText>ADDIN CSL_CITATION {"citationItems":[{"id":"ITEM-1","itemData":{"DOI":"10.1111/TWEC.13007","ISSN":"1467-9701","abstract":"A large volume of econometric literature has studied the impact of economic globalisation on income inequality around the world. However, reported econometric estimates vary substantially, which makes it difficult to draw valid conclusions. This paper presents a quantitative summary and analysis of existing estimates regarding the globalisation–inequality relationship. We use a new data set consisting of 1,254 observations from 123 primary studies. By applying meta-analysis and meta-regression methods, we obtain several main findings. First, globalisation has a (small-to-moderate) inequality-increasing effect. Second, while the effect of trade globalisation is small, financial globalisation shows a more sizeable and significantly stronger inequality-increasing impact. Third, we find an average inequality-increasing impact of globalisation in both advanced and developing countries. Fourth, education and technology moderate the impact of globalisation on income inequality.","author":[{"dropping-particle":"","family":"Heimberger","given":"Philipp","non-dropping-particle":"","parse-names":false,"suffix":""}],"container-title":"The World Economy","id":"ITEM-1","issue":"11","issued":{"date-parts":[["2020","11","1"]]},"page":"2960-2982","publisher":"John Wiley &amp; Sons, Ltd","title":"Does economic globalisation affect income inequality? A meta-analysis","type":"article-journal","volume":"43"},"uris":["http://www.mendeley.com/documents/?uuid=1f9e32da-9fe2-3c7a-a76b-a9ee6d51fe30"]}],"mendeley":{"formattedCitation":"(Heimberger, 2020)","manualFormatting":"(Heimberger (2020)","plainTextFormattedCitation":"(Heimberger, 2020)","previouslyFormattedCitation":"(Heimberger, 2020)"},"properties":{"noteIndex":0},"schema":"https://github.com/citation-style-language/schema/raw/master/csl-citation.json"}</w:instrText>
      </w:r>
      <w:r w:rsidRPr="008D255F">
        <w:fldChar w:fldCharType="separate"/>
      </w:r>
      <w:r w:rsidRPr="008D255F">
        <w:rPr>
          <w:noProof/>
        </w:rPr>
        <w:t>(Heimberger (2020)</w:t>
      </w:r>
      <w:r w:rsidRPr="008D255F">
        <w:fldChar w:fldCharType="end"/>
      </w:r>
      <w:r w:rsidRPr="008D255F">
        <w:t xml:space="preserve">, and references cited therein). However, despite a wave of research, the sign of the relationship remains ambiguous. Regarding trade openness, the well-known </w:t>
      </w:r>
      <w:proofErr w:type="spellStart"/>
      <w:r w:rsidRPr="008D255F">
        <w:t>Stolper</w:t>
      </w:r>
      <w:proofErr w:type="spellEnd"/>
      <w:r w:rsidRPr="008D255F">
        <w:t xml:space="preserve">–Samuelson theorem predicts that the inequality effect of trade openness varies depending on the relative factor abundance. This means that in advanced industrial countries, with an abundance of skilled labour, trade openness increases income inequality by raising the real return to abundant skilled labour and lowering the real rate of return to relatively scarce unskilled labour. The opposite is expected to happen in developing countries, with abundant unskilled labour. International trade will increase demand for unskilled workers, which will push up their real wages and lead to a decrease in income inequality.  On an empirical level, the literature has not provided a general conclusion regarding the effect of trade globalisation: while several papers </w:t>
      </w:r>
      <w:r w:rsidRPr="008D255F">
        <w:fldChar w:fldCharType="begin" w:fldLock="1"/>
      </w:r>
      <w:r w:rsidRPr="008D255F">
        <w:instrText>ADDIN CSL_CITATION {"citationItems":[{"id":"ITEM-1","itemData":{"DOI":"10.1257/JEL.45.1.39","ISSN":"0022-0515","abstract":"The authors discuss recent empirical research on how globalization has affected income inequality in developing countries. They begin with a discussion of conceptual issues regarding the measurement of globalization and inequality. Next, they present empirical evidence on the evolution of globalization and inequality in several developing countries during the 1980s and 1990s. The authors then examine the channels through which globalization may have affected inequality, discussing theory and evidence in parallel. They conclude with directions for future research.","author":[{"dropping-particle":"","family":"Goldberg","given":"Pinelopi Koujianou","non-dropping-particle":"","parse-names":false,"suffix":""},{"dropping-particle":"","family":"Pavcnik","given":"Nina","non-dropping-particle":"","parse-names":false,"suffix":""}],"container-title":"Journal of Economic Literature","id":"ITEM-1","issue":"1","issued":{"date-parts":[["2007","3"]]},"page":"39-82","title":"Distributional Effects of Globalization in Developing Countries","type":"article-journal","volume":"45"},"uris":["http://www.mendeley.com/documents/?uuid=cf415cf2-a819-3cc5-a4a6-8ed940cbe721"]},{"id":"ITEM-2","itemData":{"DOI":"10.1016/J.WORLDDEV.2008.06.002","ISSN":"0305-750X","abstract":"We use a dynamic specification to estimate the impact of trade on within-country income inequality in a sample of 65 developing countries (DCs) over the 1980-99 period. Our results suggest that trade with high income countries worsen income distribution in DCs, through both imports and exports. These findings provide support to the hypothesis that technological differentials and the skill biased nature of new technologies may be important factors in shaping the distributive effects of trade. Moreover, we observe that the previous results only hold for middle-income countries (MICs); we interpret this evidence by considering the greater potential for technological upgrading in MICs. © 2008 Elsevier Ltd. All rights reserved.","author":[{"dropping-particle":"","family":"Meschi","given":"Elena","non-dropping-particle":"","parse-names":false,"suffix":""},{"dropping-particle":"","family":"Vivarelli","given":"Marco","non-dropping-particle":"","parse-names":false,"suffix":""}],"container-title":"World Development","id":"ITEM-2","issue":"2","issued":{"date-parts":[["2009","2","1"]]},"page":"287-302","publisher":"Pergamon","title":"Trade and Income Inequality in Developing Countries","type":"article-journal","volume":"37"},"uris":["http://www.mendeley.com/documents/?uuid=e1066d8d-a64e-35ab-a279-ef5d38228bb4"]}],"mendeley":{"formattedCitation":"(Goldberg &amp; Pavcnik, 2007; Meschi &amp; Vivarelli, 2009)","plainTextFormattedCitation":"(Goldberg &amp; Pavcnik, 2007; Meschi &amp; Vivarelli, 2009)","previouslyFormattedCitation":"(Goldberg &amp; Pavcnik, 2007; Meschi &amp; Vivarelli, 2009)"},"properties":{"noteIndex":0},"schema":"https://github.com/citation-style-language/schema/raw/master/csl-citation.json"}</w:instrText>
      </w:r>
      <w:r w:rsidRPr="008D255F">
        <w:fldChar w:fldCharType="separate"/>
      </w:r>
      <w:r w:rsidRPr="008D255F">
        <w:rPr>
          <w:noProof/>
        </w:rPr>
        <w:t xml:space="preserve">(Goldberg </w:t>
      </w:r>
      <w:r w:rsidR="00C62879">
        <w:rPr>
          <w:noProof/>
        </w:rPr>
        <w:t>and</w:t>
      </w:r>
      <w:r w:rsidRPr="008D255F">
        <w:rPr>
          <w:noProof/>
        </w:rPr>
        <w:t xml:space="preserve"> Pavcnik, 2007; Meschi </w:t>
      </w:r>
      <w:r w:rsidR="00C62879">
        <w:rPr>
          <w:noProof/>
        </w:rPr>
        <w:t>and</w:t>
      </w:r>
      <w:r w:rsidRPr="008D255F">
        <w:rPr>
          <w:noProof/>
        </w:rPr>
        <w:t xml:space="preserve"> Vivarelli, 2009)</w:t>
      </w:r>
      <w:r w:rsidRPr="008D255F">
        <w:fldChar w:fldCharType="end"/>
      </w:r>
      <w:r w:rsidRPr="008D255F">
        <w:t xml:space="preserve"> find a positive impact on income inequality, others </w:t>
      </w:r>
      <w:r w:rsidRPr="008D255F">
        <w:fldChar w:fldCharType="begin" w:fldLock="1"/>
      </w:r>
      <w:r w:rsidRPr="008D255F">
        <w:instrText>ADDIN CSL_CITATION {"citationItems":[{"id":"ITEM-1","itemData":{"DOI":"10.1016/J.JBANKFIN.2010.11.011","ISSN":"0378-4266","abstract":"This paper analyzes the under-investigated relationship uniting financial development and income distribution. We use a novel approach taking into account for the first time the specific channels linking banks, capital markets and income inequality, the time-varying nature of the relationship, and reciprocal causality. We construct a set of annual indicators of banking and capital market size, robustness, efficiency and international integration. We then estimate the determinants of income distribution using a panel Bayesian structural vector autoregressive (SVAR) model, for a set of 49 countries over the 1994-2002 period. We uncover a significant causality running from financial sector development to income distribution. In addition, the banking sector seems to exert a stronger impact on inequality. Finally, the relationship appears to depend on the characteristics of the financial sector, rather than on its size. © 2010 Elsevier B.V.","author":[{"dropping-particle":"","family":"Gimet","given":"Céline","non-dropping-particle":"","parse-names":false,"suffix":""},{"dropping-particle":"","family":"Lagoarde-Segot","given":"Thomas","non-dropping-particle":"","parse-names":false,"suffix":""}],"container-title":"Journal of Banking &amp; Finance","id":"ITEM-1","issue":"7","issued":{"date-parts":[["2011","7","1"]]},"page":"1698-1713","publisher":"North-Holland","title":"A closer look at financial development and income distribution","type":"article-journal","volume":"35"},"uris":["http://www.mendeley.com/documents/?uuid=48358bb2-3cdc-3780-ae8e-80b4d5bd259d"]},{"id":"ITEM-2","itemData":{"DOI":"10.1007/S00181-019-01808-Z/TABLES/9","ISSN":"14358921","abstract":"Rising income inequality coinciding with financial liberalization has stimulated extensive studies on the possible links between income inequality and different forms of financial liberalization, both inputs and outputs, since the 1990s. Nonetheless, empirical investigations remain inconclusive. To provide new and robust evidence, this study investigates the distributional repercussions of financial liberalization and the role played by democratization in this process. Focusing on the outcome measures of financial liberalization, we find, in a panel of developing and developed countries for 1989–2011, that (1) financial openness alleviates income inequality, particularly for less democratic countries; (2) stock market development mitigates income inequality, whereas its volatility exacerbates it, with both effects decreasing with democratization; (3) banking development strengthens income inequality, whereas its volatility alleviates it, with both effects again moderating with democratization; and (4) these effects are mediated by human capital accumulation and entrepreneurship development.The data thus suggest that financial reforms toward capital account openness and more liquid, stable stock markets are beneficial to income distribution, as such reforms allow more previously excluded households and firms to access financial funds and services, thereby increasing human capital and entrepreneurship, especially in less democratic countries.","author":[{"dropping-particle":"","family":"Kim","given":"Dong Hyeon","non-dropping-particle":"","parse-names":false,"suffix":""},{"dropping-particle":"","family":"Hsieh","given":"Joyce","non-dropping-particle":"","parse-names":false,"suffix":""},{"dropping-particle":"","family":"Lin","given":"Shu Chin","non-dropping-particle":"","parse-names":false,"suffix":""}],"container-title":"Empirical Economics","id":"ITEM-2","issue":"3","issued":{"date-parts":[["2021","3","1"]]},"page":"1245-1281","publisher":"Springer Science and Business Media Deutschland GmbH","title":"Financial liberalization, political institutions, and income inequality","type":"article-journal","volume":"60"},"uris":["http://www.mendeley.com/documents/?uuid=da3ffcc7-9c03-3dc9-bb1d-ce8c8f78b8b3"]},{"id":"ITEM-3","itemData":{"DOI":"10.1057/IMFER.2013.7/FIGURES/7","ISSN":"2041417X","abstract":"The paper examines the relationship between the rapid pace of trade andfinancial globalization and the rise in income inequality observed in most countries overthe past two decades. Using a newly compiled panel of 51 countries over a23-year period from 1981 to 2003, the paper reports estimates that supporta greater impact of technological progress than globalization on inequality.The limited overall impact of globalization reflects two offsetting tendencies:whereas trade globalization is associated with a reduction in inequality, financialglobalization—and foreign direct investment in particular—is associated with anincrease in inequality. © 2013 International Monetary Fund.","author":[{"dropping-particle":"","family":"Jaumotte","given":"Florence","non-dropping-particle":"","parse-names":false,"suffix":""},{"dropping-particle":"","family":"Lall","given":"Subir","non-dropping-particle":"","parse-names":false,"suffix":""},{"dropping-particle":"","family":"Papageorgiou","given":"Chris","non-dropping-particle":"","parse-names":false,"suffix":""}],"container-title":"IMF Economic Review","id":"ITEM-3","issue":"2","issued":{"date-parts":[["2013","4","30"]]},"page":"271-309","publisher":"Palgrave","title":"Rising income inequality: Technology, or trade and financial globalization?","type":"article-journal","volume":"61"},"uris":["http://www.mendeley.com/documents/?uuid=78f2c0be-f85d-36ea-b32d-8a138b95412d"]},{"id":"ITEM-4","itemData":{"DOI":"10.1093/OXREP/GRZ014","ISSN":"0266-903X","abstract":"While economic theory suggests a wide range of potential determinants of income inequality, there is little consensus regarding the most relevant ones. Such a lack of consensus reflects, to an important extent, the impact of model uncertainty. Using model-averaging techniques - specifically WALS (weighted-average least squares) - to get at a robust set of determinants, our results underscore the multiplicity of factors behind rising national-level inequalities. In the cross-section, the level of development and demographics, as well as unemployment and globalization, seem to be key drivers. Trade and financial globalization have asymmetric effects, with trade integration associated with lower inequality, and financial globalization with higher inequality. Financial deregulation and technological change seem to be important drivers of inequality, particularly in advanced economies.","author":[{"dropping-particle":"","family":"Furceri","given":"Davide","non-dropping-particle":"","parse-names":false,"suffix":""},{"dropping-particle":"","family":"Ostry","given":"Jonathan D.","non-dropping-particle":"","parse-names":false,"suffix":""}],"container-title":"Oxford Review of Economic Policy","id":"ITEM-4","issue":"3","issued":{"date-parts":[["2019","7","11"]]},"page":"490-517","publisher":"Oxford Academic","title":"Robust determinants of income inequality","type":"article-journal","volume":"35"},"uris":["http://www.mendeley.com/documents/?uuid=3d00cf19-db47-3492-9e22-1b38f36da9db"]},{"id":"ITEM-5","itemData":{"DOI":"10.1016/J.ECONMOD.2013.09.051","ISSN":"0264-9993","abstract":"This paper investigates the relationship between income inequality and globalization, measured with both trade and financial variables. We estimate an econometric model using appropriate panel data techniques for the EU-27 countries over the period 1995-2009. The analysis is also performed at subgroups of countries within the EU27, such as the Core, Periphery, High Technology, and the New EU Member countries. Overall, the results suggest that trade openness exerts an equalizing effect, while financial globalization through FDI, capital account openness and stock market capitalization has been the driving force of inequality in the EU-27 since 1995. The highest contribution to inequality stems from FDI. Although the trade impact remained robust, disparities were observed in the financial globalization effects within a certain group or among country groups. The recent financial crisis led to a significant rise in inequality only in the EU-periphery and the New Member states. The impact from the other control variables was either minor or insignificant. © 2013 Elsevier B.V.","author":[{"dropping-particle":"","family":"Asteriou","given":"Dimitrios","non-dropping-particle":"","parse-names":false,"suffix":""},{"dropping-particle":"","family":"Dimelis","given":"Sophia","non-dropping-particle":"","parse-names":false,"suffix":""},{"dropping-particle":"","family":"Moudatsou","given":"Argiro","non-dropping-particle":"","parse-names":false,"suffix":""}],"container-title":"Economic Modelling","id":"ITEM-5","issued":{"date-parts":[["2014","1","1"]]},"page":"592-599","publisher":"North-Holland","title":"Globalization and income inequality: A panel data econometric approach for the EU27 countries","type":"article-journal","volume":"36"},"uris":["http://www.mendeley.com/documents/?uuid=8fa9dd5e-7c58-386d-b5fe-c39756bef003"]}],"mendeley":{"formattedCitation":"(Asteriou et al., 2014; Furceri &amp; Ostry, 2019; Gimet &amp; Lagoarde-Segot, 2011; Jaumotte et al., 2013; Kim et al., 2021)","plainTextFormattedCitation":"(Asteriou et al., 2014; Furceri &amp; Ostry, 2019; Gimet &amp; Lagoarde-Segot, 2011; Jaumotte et al., 2013; Kim et al., 2021)","previouslyFormattedCitation":"(Asteriou et al., 2014; Furceri &amp; Ostry, 2019; Gimet &amp; Lagoarde-Segot, 2011; Jaumotte et al., 2013; Kim et al., 2021)"},"properties":{"noteIndex":0},"schema":"https://github.com/citation-style-language/schema/raw/master/csl-citation.json"}</w:instrText>
      </w:r>
      <w:r w:rsidRPr="008D255F">
        <w:fldChar w:fldCharType="separate"/>
      </w:r>
      <w:r w:rsidRPr="008D255F">
        <w:rPr>
          <w:noProof/>
        </w:rPr>
        <w:t xml:space="preserve">(Asteriou et al., 2014; Furceri </w:t>
      </w:r>
      <w:r w:rsidR="00C62879">
        <w:rPr>
          <w:noProof/>
        </w:rPr>
        <w:t>and</w:t>
      </w:r>
      <w:r w:rsidRPr="008D255F">
        <w:rPr>
          <w:noProof/>
        </w:rPr>
        <w:t xml:space="preserve"> Ostry, 2019; Gimet </w:t>
      </w:r>
      <w:r w:rsidR="00C62879">
        <w:rPr>
          <w:noProof/>
        </w:rPr>
        <w:t>and</w:t>
      </w:r>
      <w:r w:rsidRPr="008D255F">
        <w:rPr>
          <w:noProof/>
        </w:rPr>
        <w:t xml:space="preserve"> Lagoarde-Segot, 2011; Jaumotte et al., 2013; Kim et al., 2021)</w:t>
      </w:r>
      <w:r w:rsidRPr="008D255F">
        <w:fldChar w:fldCharType="end"/>
      </w:r>
      <w:r w:rsidRPr="008D255F">
        <w:t xml:space="preserve"> conclude </w:t>
      </w:r>
      <w:r>
        <w:t>a</w:t>
      </w:r>
      <w:r w:rsidRPr="008D255F">
        <w:t xml:space="preserve"> negative relationship. Regarding financial openness, capital account openness may positively or negatively affect income inequality by fostering international risk-sharing and domestic-consumption smoothing </w:t>
      </w:r>
      <w:r w:rsidRPr="008D255F">
        <w:fldChar w:fldCharType="begin" w:fldLock="1"/>
      </w:r>
      <w:r w:rsidRPr="008D255F">
        <w:instrText>ADDIN CSL_CITATION {"citationItems":[{"id":"ITEM-1","itemData":{"DOI":"10.1016/J.JDEVECO.2008.09.001","ISSN":"0304-3878","abstract":"In theory, one of the main benefits of financial globalization is that it should allow for more efficient international risk sharing. In this paper, we provide an empirical evaluation of the patterns of risk sharing among different groups of countries and examine how international financial integration has affected the evolution of these patterns. Using a variety of empirical techniques, we conclude that there is at best a modest degree of international risk sharing, and certainly nowhere near the levels predicted by theory. In addition, only industrial countries have attained better risk sharing outcomes during the recent period of globalization. Developing countries have, by and large, been shut out of this benefit. Even emerging market economies, many of which have reduced capital controls and all of which have witnessed large increases in cross-border capital flows, have seen little change in their ability to share risk. We find that the composition of flows may help explain why emerging markets have not been able to realize this presumed benefit of financial globalization. In particular, our results suggest that portfolio debt, which had dominated the external liability stocks of most emerging markets until recently, is not conducive to risk sharing. © 2008 Elsevier B.V. All rights reserved.","author":[{"dropping-particle":"","family":"Kose","given":"M. Ayhan","non-dropping-particle":"","parse-names":false,"suffix":""},{"dropping-particle":"","family":"Prasad","given":"Eswar S.","non-dropping-particle":"","parse-names":false,"suffix":""},{"dropping-particle":"","family":"Terrones","given":"Marco E.","non-dropping-particle":"","parse-names":false,"suffix":""}],"container-title":"Journal of Development Economics","id":"ITEM-1","issue":"2","issued":{"date-parts":[["2009","7","1"]]},"page":"258-270","publisher":"North-Holland","title":"Does financial globalization promote risk sharing?","type":"article-journal","volume":"89"},"uris":["http://www.mendeley.com/documents/?uuid=0b40fded-d729-382b-94a6-08cbff395dff"]}],"mendeley":{"formattedCitation":"(Kose et al., 2009)","plainTextFormattedCitation":"(Kose et al., 2009)","previouslyFormattedCitation":"(Kose et al., 2009)"},"properties":{"noteIndex":0},"schema":"https://github.com/citation-style-language/schema/raw/master/csl-citation.json"}</w:instrText>
      </w:r>
      <w:r w:rsidRPr="008D255F">
        <w:fldChar w:fldCharType="separate"/>
      </w:r>
      <w:r w:rsidRPr="008D255F">
        <w:rPr>
          <w:noProof/>
        </w:rPr>
        <w:t>(Kose et al., 2009)</w:t>
      </w:r>
      <w:r w:rsidRPr="008D255F">
        <w:fldChar w:fldCharType="end"/>
      </w:r>
      <w:r w:rsidRPr="008D255F">
        <w:t xml:space="preserve">, increasing the likelihood of financial crises </w:t>
      </w:r>
      <w:r w:rsidRPr="008D255F">
        <w:fldChar w:fldCharType="begin" w:fldLock="1"/>
      </w:r>
      <w:r w:rsidRPr="008D255F">
        <w:instrText>ADDIN CSL_CITATION {"citationItems":[{"id":"ITEM-1","itemData":{"DOI":"10.1016/J.JDEVECO.2017.09.007","ISSN":"0304-3878","abstract":"Episodes of account liberalization increase the Gini measure of inequality, based on panel data estimates for 149 countries from 1970 to 2010. These episodes are also associated with a persistent increase in the share of income going to the top. We investigate three channels through which these impacts could occur. First, the impact of liberalization on inequality is stronger where credit markets lack depth and financial inclusion is low; positive impacts of liberalization on poverty rates also vanish when financial inclusion is low. Second, the impact on inequality is also stronger when liberalization is followed by a financial crisis. Third, liberalization seems to alter the relative bargaining power of firms and workers: the labor share of income falls in the aftermath of capital account liberalization.","author":[{"dropping-particle":"","family":"Furceri","given":"Davide","non-dropping-particle":"","parse-names":false,"suffix":""},{"dropping-particle":"","family":"Loungani","given":"Prakash","non-dropping-particle":"","parse-names":false,"suffix":""}],"container-title":"Journal of Development Economics","id":"ITEM-1","issued":{"date-parts":[["2018","1","1"]]},"page":"127-144","publisher":"North-Holland","title":"The distributional effects of capital account liberalization","type":"article-journal","volume":"130"},"uris":["http://www.mendeley.com/documents/?uuid=8de80a10-e931-33ef-beb5-862e8a1ccd17"]},{"id":"ITEM-2","itemData":{"DOI":"10.1257/AER.P20161015","ISSN":"0002-8282","author":[{"dropping-particle":"","family":"Ghosh","given":"Atish R.","non-dropping-particle":"","parse-names":false,"suffix":""},{"dropping-particle":"","family":"Ostry","given":"Jonathan D.","non-dropping-particle":"","parse-names":false,"suffix":""},{"dropping-particle":"","family":"Qureshi","given":"Mahvash S.","non-dropping-particle":"","parse-names":false,"suffix":""}],"container-title":"American Economic Review","id":"ITEM-2","issue":"5","issued":{"date-parts":[["2016","5","1"]]},"page":"581-85","publisher":"American Economic Association","title":"When Do Capital Inflow Surges End in Tears?","type":"article-journal","volume":"106"},"uris":["http://www.mendeley.com/documents/?uuid=d26e69d1-e86d-3f91-ab90-198c17b8866b"]}],"mendeley":{"formattedCitation":"(Furceri &amp; Loungani, 2018; Ghosh et al., 2016)","plainTextFormattedCitation":"(Furceri &amp; Loungani, 2018; Ghosh et al., 2016)","previouslyFormattedCitation":"(Furceri &amp; Loungani, 2018; Ghosh et al., 2016)"},"properties":{"noteIndex":0},"schema":"https://github.com/citation-style-language/schema/raw/master/csl-citation.json"}</w:instrText>
      </w:r>
      <w:r w:rsidRPr="008D255F">
        <w:fldChar w:fldCharType="separate"/>
      </w:r>
      <w:r w:rsidRPr="008D255F">
        <w:rPr>
          <w:noProof/>
        </w:rPr>
        <w:t xml:space="preserve">(Furceri </w:t>
      </w:r>
      <w:r w:rsidR="00C62879">
        <w:rPr>
          <w:noProof/>
        </w:rPr>
        <w:t>and</w:t>
      </w:r>
      <w:r w:rsidRPr="008D255F">
        <w:rPr>
          <w:noProof/>
        </w:rPr>
        <w:t xml:space="preserve"> Loungani, 2018; Ghosh et al., 2016)</w:t>
      </w:r>
      <w:r w:rsidRPr="008D255F">
        <w:fldChar w:fldCharType="end"/>
      </w:r>
      <w:r w:rsidRPr="008D255F">
        <w:t xml:space="preserve"> and affecting the bargaining power of labour </w:t>
      </w:r>
      <w:r w:rsidRPr="008D255F">
        <w:fldChar w:fldCharType="begin" w:fldLock="1"/>
      </w:r>
      <w:r w:rsidRPr="008D255F">
        <w:instrText>ADDIN CSL_CITATION {"citationItems":[{"id":"ITEM-1","itemData":{"author":[{"dropping-particle":"","family":"Harrison","given":"A.E.","non-dropping-particle":"","parse-names":false,"suffix":""}],"id":"ITEM-1","issued":{"date-parts":[["2002"]]},"title":"Has Globalization Eroded Labour's Share? Some Cross-Country Evidence","type":"report"},"uris":["http://www.mendeley.com/documents/?uuid=1631b2dd-fb54-3b5b-a8d7-163bee37b20b"]}],"mendeley":{"formattedCitation":"(Harrison, 2002)","plainTextFormattedCitation":"(Harrison, 2002)","previouslyFormattedCitation":"(Harrison, 2002)"},"properties":{"noteIndex":0},"schema":"https://github.com/citation-style-language/schema/raw/master/csl-citation.json"}</w:instrText>
      </w:r>
      <w:r w:rsidRPr="008D255F">
        <w:fldChar w:fldCharType="separate"/>
      </w:r>
      <w:r w:rsidRPr="008D255F">
        <w:rPr>
          <w:noProof/>
        </w:rPr>
        <w:t>(Harrison, 2002)</w:t>
      </w:r>
      <w:r w:rsidRPr="008D255F">
        <w:fldChar w:fldCharType="end"/>
      </w:r>
      <w:r w:rsidRPr="008D255F">
        <w:t>.</w:t>
      </w:r>
      <w:r w:rsidRPr="008D255F">
        <w:rPr>
          <w:rStyle w:val="FootnoteReference"/>
        </w:rPr>
        <w:footnoteReference w:id="1"/>
      </w:r>
      <w:r w:rsidRPr="008D255F">
        <w:t xml:space="preserve"> A robust positive link between financial openness and income inequality can be found </w:t>
      </w:r>
      <w:r>
        <w:t>(</w:t>
      </w:r>
      <w:r w:rsidRPr="008D255F">
        <w:fldChar w:fldCharType="begin" w:fldLock="1"/>
      </w:r>
      <w:r w:rsidR="002E36DB">
        <w:instrText>ADDIN CSL_CITATION {"citationItems":[{"id":"ITEM-1","itemData":{"DOI":"10.1016/J.JDEVECO.2017.09.007","ISSN":"0304-3878","abstract":"Episodes of account liberalization increase the Gini measure of inequality, based on panel data estimates for 149 countries from 1970 to 2010. These episodes are also associated with a persistent increase in the share of income going to the top. We investigate three channels through which these impacts could occur. First, the impact of liberalization on inequality is stronger where credit markets lack depth and financial inclusion is low; positive impacts of liberalization on poverty rates also vanish when financial inclusion is low. Second, the impact on inequality is also stronger when liberalization is followed by a financial crisis. Third, liberalization seems to alter the relative bargaining power of firms and workers: the labor share of income falls in the aftermath of capital account liberalization.","author":[{"dropping-particle":"","family":"Furceri","given":"Davide","non-dropping-particle":"","parse-names":false,"suffix":""},{"dropping-particle":"","family":"Loungani","given":"Prakash","non-dropping-particle":"","parse-names":false,"suffix":""}],"container-title":"Journal of Development Economics","id":"ITEM-1","issued":{"date-parts":[["2018","1","1"]]},"page":"127-144","publisher":"North-Holland","title":"The distributional effects of capital account liberalization","type":"article-journal","volume":"130"},"uris":["http://www.mendeley.com/documents/?uuid=8de80a10-e931-33ef-beb5-862e8a1ccd17"]},{"id":"ITEM-2","itemData":{"DOI":"10.1057/IMFER.2013.7/FIGURES/7","ISSN":"2041417X","abstract":"The paper examines the relationship between the rapid pace of trade andfinancial globalization and the rise in income inequality observed in most countries overthe past two decades. Using a newly compiled panel of 51 countries over a23-year period from 1981 to 2003, the paper reports estimates that supporta greater impact of technological progress than globalization on inequality.The limited overall impact of globalization reflects two offsetting tendencies:whereas trade globalization is associated with a reduction in inequality, financialglobalization—and foreign direct investment in particular—is associated with anincrease in inequality. © 2013 International Monetary Fund.","author":[{"dropping-particle":"","family":"Jaumotte","given":"Florence","non-dropping-particle":"","parse-names":false,"suffix":""},{"dropping-particle":"","family":"Lall","given":"Subir","non-dropping-particle":"","parse-names":false,"suffix":""},{"dropping-particle":"","family":"Papageorgiou","given":"Chris","non-dropping-particle":"","parse-names":false,"suffix":""}],"container-title":"IMF Economic Review","id":"ITEM-2","issue":"2","issued":{"date-parts":[["2013","4","30"]]},"page":"271-309","publisher":"Palgrave","title":"Rising income inequality: Technology, or trade and financial globalization?","type":"article-journal","volume":"61"},"uris":["http://www.mendeley.com/documents/?uuid=78f2c0be-f85d-36ea-b32d-8a138b95412d"]},{"id":"ITEM-3","itemData":{"DOI":"10.1093/OXREP/GRZ014","ISSN":"0266-903X","abstract":"While economic theory suggests a wide range of potential determinants of income inequality, there is little consensus regarding the most relevant ones. Such a lack of consensus reflects, to an important extent, the impact of model uncertainty. Using model-averaging techniques - specifically WALS (weighted-average least squares) - to get at a robust set of determinants, our results underscore the multiplicity of factors behind rising national-level inequalities. In the cross-section, the level of development and demographics, as well as unemployment and globalization, seem to be key drivers. Trade and financial globalization have asymmetric effects, with trade integration associated with lower inequality, and financial globalization with higher inequality. Financial deregulation and technological change seem to be important drivers of inequality, particularly in advanced economies.","author":[{"dropping-particle":"","family":"Furceri","given":"Davide","non-dropping-particle":"","parse-names":false,"suffix":""},{"dropping-particle":"","family":"Ostry","given":"Jonathan D.","non-dropping-particle":"","parse-names":false,"suffix":""}],"container-title":"Oxford Review of Economic Policy","id":"ITEM-3","issue":"3","issued":{"date-parts":[["2019","7","11"]]},"page":"490-517","publisher":"Oxford Academic","title":"Robust determinants of income inequality","type":"article-journal","volume":"35"},"uris":["http://www.mendeley.com/documents/?uuid=3d00cf19-db47-3492-9e22-1b38f36da9db"]},{"id":"ITEM-4","itemData":{"DOI":"10.1016/J.EJPOLECO.2017.04.007","ISSN":"0176-2680","abstract":"Using a panel fixed effects model for a sample of 121 countries covering 1975–2005, we examine how financial development, financial liberalization and banking crises are related to income inequality. In contrast with most previous work, our results suggest that all finance variables increase income inequality. The level of financial development conditions the impact of financial liberalization on inequality. Also the quality of political institutions conditions the impact of financial liberalization on income inequality, in contrast to the quality of economic institutions. Our main findings are robust for using random effects, cross-country regressions and legal origin as instrument for financial development.","author":[{"dropping-particle":"","family":"Haan","given":"Jakob","non-dropping-particle":"de","parse-names":false,"suffix":""},{"dropping-particle":"","family":"Sturm","given":"Jan Egbert","non-dropping-particle":"","parse-names":false,"suffix":""}],"container-title":"European Journal of Political Economy","id":"ITEM-4","issued":{"date-parts":[["2017","12","1"]]},"page":"171-195","publisher":"North-Holland","title":"Finance and income inequality: A review and new evidence","type":"article-journal","volume":"50"},"uris":["http://www.mendeley.com/documents/?uuid=c08bef1f-c18c-3d3e-bc0c-0f1e177c7c87"]},{"id":"ITEM-5","itemData":{"DOI":"10.1016/J.ECONMOD.2013.09.051","ISSN":"0264-9993","abstract":"This paper investigates the relationship between income inequality and globalization, measured with both trade and financial variables. We estimate an econometric model using appropriate panel data techniques for the EU-27 countries over the period 1995-2009. The analysis is also performed at subgroups of countries within the EU27, such as the Core, Periphery, High Technology, and the New EU Member countries. Overall, the results suggest that trade openness exerts an equalizing effect, while financial globalization through FDI, capital account openness and stock market capitalization has been the driving force of inequality in the EU-27 since 1995. The highest contribution to inequality stems from FDI. Although the trade impact remained robust, disparities were observed in the financial globalization effects within a certain group or among country groups. The recent financial crisis led to a significant rise in inequality only in the EU-periphery and the New Member states. The impact from the other control variables was either minor or insignificant. © 2013 Elsevier B.V.","author":[{"dropping-particle":"","family":"Asteriou","given":"Dimitrios","non-dropping-particle":"","parse-names":false,"suffix":""},{"dropping-particle":"","family":"Dimelis","given":"Sophia","non-dropping-particle":"","parse-names":false,"suffix":""},{"dropping-particle":"","family":"Moudatsou","given":"Argiro","non-dropping-particle":"","parse-names":false,"suffix":""}],"container-title":"Economic Modelling","id":"ITEM-5","issued":{"date-parts":[["2014","1","1"]]},"page":"592-599","publisher":"North-Holland","title":"Globalization and income inequality: A panel data econometric approach for the EU27 countries","type":"article-journal","volume":"36"},"uris":["http://www.mendeley.com/documents/?uuid=8fa9dd5e-7c58-386d-b5fe-c39756bef003"]}],"mendeley":{"formattedCitation":"(Asteriou et al., 2014; de Haan &amp; Sturm, 2017; Furceri &amp; Loungani, 2018; Furceri &amp; Ostry, 2019; Jaumotte et al., 2013)","manualFormatting":"Asteriou et al., 2014; de Haan &amp; Sturm, 2017; Furceri &amp; Loungani, 2018; Furceri &amp; Ostry, 2019; Jaumotte et al, 2013)","plainTextFormattedCitation":"(Asteriou et al., 2014; de Haan &amp; Sturm, 2017; Furceri &amp; Loungani, 2018; Furceri &amp; Ostry, 2019; Jaumotte et al., 2013)","previouslyFormattedCitation":"(Asteriou et al., 2014; de Haan &amp; Sturm, 2017; Furceri &amp; Loungani, 2018; Furceri &amp; Ostry, 2019; Jaumotte et al., 2013)"},"properties":{"noteIndex":0},"schema":"https://github.com/citation-style-language/schema/raw/master/csl-citation.json"}</w:instrText>
      </w:r>
      <w:r w:rsidRPr="008D255F">
        <w:fldChar w:fldCharType="separate"/>
      </w:r>
      <w:r w:rsidRPr="008D255F">
        <w:rPr>
          <w:noProof/>
          <w:lang w:val="it-IT"/>
        </w:rPr>
        <w:t>Asteriou et al.</w:t>
      </w:r>
      <w:r>
        <w:rPr>
          <w:noProof/>
          <w:lang w:val="it-IT"/>
        </w:rPr>
        <w:t xml:space="preserve">, </w:t>
      </w:r>
      <w:r w:rsidRPr="008D255F">
        <w:rPr>
          <w:noProof/>
          <w:lang w:val="it-IT"/>
        </w:rPr>
        <w:t>2014</w:t>
      </w:r>
      <w:r>
        <w:rPr>
          <w:noProof/>
          <w:lang w:val="it-IT"/>
        </w:rPr>
        <w:t>;</w:t>
      </w:r>
      <w:r w:rsidRPr="008D255F">
        <w:rPr>
          <w:noProof/>
          <w:lang w:val="it-IT"/>
        </w:rPr>
        <w:t xml:space="preserve"> de Haan </w:t>
      </w:r>
      <w:r w:rsidR="00C62879">
        <w:rPr>
          <w:noProof/>
          <w:lang w:val="it-IT"/>
        </w:rPr>
        <w:t>and</w:t>
      </w:r>
      <w:r w:rsidRPr="008D255F">
        <w:rPr>
          <w:noProof/>
          <w:lang w:val="it-IT"/>
        </w:rPr>
        <w:t xml:space="preserve"> Sturm</w:t>
      </w:r>
      <w:r>
        <w:rPr>
          <w:noProof/>
          <w:lang w:val="it-IT"/>
        </w:rPr>
        <w:t>,</w:t>
      </w:r>
      <w:r w:rsidRPr="008D255F">
        <w:rPr>
          <w:noProof/>
          <w:lang w:val="it-IT"/>
        </w:rPr>
        <w:t xml:space="preserve"> 2017</w:t>
      </w:r>
      <w:r>
        <w:rPr>
          <w:noProof/>
          <w:lang w:val="it-IT"/>
        </w:rPr>
        <w:t>;</w:t>
      </w:r>
      <w:r w:rsidRPr="008D255F">
        <w:rPr>
          <w:noProof/>
          <w:lang w:val="it-IT"/>
        </w:rPr>
        <w:t xml:space="preserve"> Furceri </w:t>
      </w:r>
      <w:r w:rsidR="00C62879">
        <w:rPr>
          <w:noProof/>
          <w:lang w:val="it-IT"/>
        </w:rPr>
        <w:t>and</w:t>
      </w:r>
      <w:r w:rsidRPr="008D255F">
        <w:rPr>
          <w:noProof/>
          <w:lang w:val="it-IT"/>
        </w:rPr>
        <w:t xml:space="preserve"> Loungani</w:t>
      </w:r>
      <w:r>
        <w:rPr>
          <w:noProof/>
          <w:lang w:val="it-IT"/>
        </w:rPr>
        <w:t xml:space="preserve">, </w:t>
      </w:r>
      <w:r w:rsidRPr="008D255F">
        <w:rPr>
          <w:noProof/>
          <w:lang w:val="it-IT"/>
        </w:rPr>
        <w:t>2018</w:t>
      </w:r>
      <w:r>
        <w:rPr>
          <w:noProof/>
          <w:lang w:val="it-IT"/>
        </w:rPr>
        <w:t>;</w:t>
      </w:r>
      <w:r w:rsidRPr="008D255F">
        <w:rPr>
          <w:noProof/>
          <w:lang w:val="it-IT"/>
        </w:rPr>
        <w:t xml:space="preserve"> Furceri </w:t>
      </w:r>
      <w:r w:rsidR="00C62879">
        <w:rPr>
          <w:noProof/>
          <w:lang w:val="it-IT"/>
        </w:rPr>
        <w:t>and</w:t>
      </w:r>
      <w:r w:rsidRPr="008D255F">
        <w:rPr>
          <w:noProof/>
          <w:lang w:val="it-IT"/>
        </w:rPr>
        <w:t xml:space="preserve"> Ostry</w:t>
      </w:r>
      <w:r>
        <w:rPr>
          <w:noProof/>
          <w:lang w:val="it-IT"/>
        </w:rPr>
        <w:t xml:space="preserve">, </w:t>
      </w:r>
      <w:r w:rsidRPr="008D255F">
        <w:rPr>
          <w:noProof/>
          <w:lang w:val="it-IT"/>
        </w:rPr>
        <w:t>2019</w:t>
      </w:r>
      <w:r>
        <w:rPr>
          <w:noProof/>
          <w:lang w:val="it-IT"/>
        </w:rPr>
        <w:t>;</w:t>
      </w:r>
      <w:r w:rsidRPr="008D255F">
        <w:rPr>
          <w:noProof/>
          <w:lang w:val="it-IT"/>
        </w:rPr>
        <w:t xml:space="preserve"> Jaumotte et al</w:t>
      </w:r>
      <w:r>
        <w:rPr>
          <w:noProof/>
          <w:lang w:val="it-IT"/>
        </w:rPr>
        <w:t xml:space="preserve">, </w:t>
      </w:r>
      <w:r w:rsidRPr="008D255F">
        <w:rPr>
          <w:noProof/>
        </w:rPr>
        <w:t>2013)</w:t>
      </w:r>
      <w:r w:rsidRPr="008D255F">
        <w:fldChar w:fldCharType="end"/>
      </w:r>
      <w:r w:rsidRPr="008D255F">
        <w:t xml:space="preserve">. </w:t>
      </w:r>
      <w:r>
        <w:t>In contrast</w:t>
      </w:r>
      <w:r w:rsidRPr="008D255F">
        <w:t xml:space="preserve">, </w:t>
      </w:r>
      <w:r w:rsidRPr="008D255F">
        <w:fldChar w:fldCharType="begin" w:fldLock="1"/>
      </w:r>
      <w:r w:rsidRPr="008D255F">
        <w:instrText>ADDIN CSL_CITATION {"citationItems":[{"id":"ITEM-1","itemData":{"DOI":"10.1007/S00181-019-01808-Z/TABLES/9","ISSN":"14358921","abstract":"Rising income inequality coinciding with financial liberalization has stimulated extensive studies on the possible links between income inequality and different forms of financial liberalization, both inputs and outputs, since the 1990s. Nonetheless, empirical investigations remain inconclusive. To provide new and robust evidence, this study investigates the distributional repercussions of financial liberalization and the role played by democratization in this process. Focusing on the outcome measures of financial liberalization, we find, in a panel of developing and developed countries for 1989–2011, that (1) financial openness alleviates income inequality, particularly for less democratic countries; (2) stock market development mitigates income inequality, whereas its volatility exacerbates it, with both effects decreasing with democratization; (3) banking development strengthens income inequality, whereas its volatility alleviates it, with both effects again moderating with democratization; and (4) these effects are mediated by human capital accumulation and entrepreneurship development.The data thus suggest that financial reforms toward capital account openness and more liquid, stable stock markets are beneficial to income distribution, as such reforms allow more previously excluded households and firms to access financial funds and services, thereby increasing human capital and entrepreneurship, especially in less democratic countries.","author":[{"dropping-particle":"","family":"Kim","given":"Dong Hyeon","non-dropping-particle":"","parse-names":false,"suffix":""},{"dropping-particle":"","family":"Hsieh","given":"Joyce","non-dropping-particle":"","parse-names":false,"suffix":""},{"dropping-particle":"","family":"Lin","given":"Shu Chin","non-dropping-particle":"","parse-names":false,"suffix":""}],"container-title":"Empirical Economics","id":"ITEM-1","issue":"3","issued":{"date-parts":[["2021","3","1"]]},"page":"1245-1281","publisher":"Springer Science and Business Media Deutschland GmbH","title":"Financial liberalization, political institutions, and income inequality","type":"article-journal","volume":"60"},"uris":["http://www.mendeley.com/documents/?uuid=da3ffcc7-9c03-3dc9-bb1d-ce8c8f78b8b3"]},{"id":"ITEM-2","itemData":{"DOI":"10.1017/S1365100512000843","ISSN":"1365-1005","abstract":"This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Dynamics","id":"ITEM-2","issue":"5","issued":{"date-parts":[["2014"]]},"page":"1091-1128","publisher":"Cambridge University Press","title":"FINANCE AND INEQUALITY: HOW DOES GLOBALIZATION CHANGE THEIR RELATIONSHIP?","type":"article-journal","volume":"18"},"uris":["http://www.mendeley.com/documents/?uuid=8098cfdc-f149-3010-b8b3-1439aebcb663"]}],"mendeley":{"formattedCitation":"(Kim et al., 2021; Kunieda et al., 2014)","manualFormatting":"Kim et al. (2021) and Kunieda et al. (2014)","plainTextFormattedCitation":"(Kim et al., 2021; Kunieda et al., 2014)","previouslyFormattedCitation":"(Kim et al., 2021; Kunieda et al., 2014)"},"properties":{"noteIndex":0},"schema":"https://github.com/citation-style-language/schema/raw/master/csl-citation.json"}</w:instrText>
      </w:r>
      <w:r w:rsidRPr="008D255F">
        <w:fldChar w:fldCharType="separate"/>
      </w:r>
      <w:r w:rsidRPr="008D255F">
        <w:rPr>
          <w:noProof/>
        </w:rPr>
        <w:t>Kim et al. (2021) and Kunieda et al. (2014)</w:t>
      </w:r>
      <w:r w:rsidRPr="008D255F">
        <w:fldChar w:fldCharType="end"/>
      </w:r>
      <w:r w:rsidRPr="008D255F">
        <w:t xml:space="preserve"> show that financial openness is associated with a reduction in income inequality. All these imply that openness may matter for the nexus between FD and income inequality. </w:t>
      </w:r>
    </w:p>
    <w:p w14:paraId="4B1BA91D" w14:textId="6F9E16AC" w:rsidR="0012305F" w:rsidRPr="008D255F" w:rsidRDefault="0012305F" w:rsidP="0012305F">
      <w:r w:rsidRPr="008D255F">
        <w:t xml:space="preserve">Existing research offers little clear guidance about the role of openness </w:t>
      </w:r>
      <w:r>
        <w:t>i</w:t>
      </w:r>
      <w:r w:rsidRPr="008D255F">
        <w:t xml:space="preserve">n FD-income inequality. There are two relevant studies in this area of research. Focusing on financial openness, </w:t>
      </w:r>
      <w:r w:rsidRPr="008D255F">
        <w:fldChar w:fldCharType="begin" w:fldLock="1"/>
      </w:r>
      <w:r w:rsidRPr="008D255F">
        <w:instrText>ADDIN CSL_CITATION {"citationItems":[{"id":"ITEM-1","itemData":{"DOI":"10.1017/S1365100512000843","ISSN":"1365-1005","abstract":"This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Dynamics","id":"ITEM-1","issue":"5","issued":{"date-parts":[["2014"]]},"page":"1091-1128","publisher":"Cambridge University Press","title":"FINANCE AND INEQUALITY: HOW DOES GLOBALIZATION CHANGE THEIR RELATIONSHIP?","type":"article-journal","volume":"18"},"uris":["http://www.mendeley.com/documents/?uuid=8098cfdc-f149-3010-b8b3-1439aebcb663"]}],"mendeley":{"formattedCitation":"(Kunieda et al., 2014)","manualFormatting":"Kunieda et al. (2014)","plainTextFormattedCitation":"(Kunieda et al., 2014)","previouslyFormattedCitation":"(Kunieda et al., 2014)"},"properties":{"noteIndex":0},"schema":"https://github.com/citation-style-language/schema/raw/master/csl-citation.json"}</w:instrText>
      </w:r>
      <w:r w:rsidRPr="008D255F">
        <w:fldChar w:fldCharType="separate"/>
      </w:r>
      <w:r w:rsidRPr="008D255F">
        <w:rPr>
          <w:noProof/>
        </w:rPr>
        <w:t>Kunieda et al. (2014)</w:t>
      </w:r>
      <w:r w:rsidRPr="008D255F">
        <w:fldChar w:fldCharType="end"/>
      </w:r>
      <w:r w:rsidRPr="008D255F">
        <w:t xml:space="preserve"> investigate whether financial openness changes the income inequality effect of FD within an economy. Their theoretical model shows that in a financially closed economy, talented agents can borrow financial capital from less talented agents so that less talented agents can utilise the abilities of the talented agents and receive a higher interest rate as credit constraints relax. As a result, FD can narrow income inequality. In contrast, in a financially open economy, talented agents can borrow ﬁnancial capital in the world market at a low</w:t>
      </w:r>
      <w:r>
        <w:t xml:space="preserve"> </w:t>
      </w:r>
      <w:r w:rsidRPr="008D255F">
        <w:t xml:space="preserve">interest rate relative to their abilities. Therefore, the less talented agents cannot utilise the abilities of the talented agents even though credit constraints relax. Thus, inequality increases as the financial market matures. Their empirical results show that ﬁnancial </w:t>
      </w:r>
      <w:r w:rsidRPr="008D255F">
        <w:lastRenderedPageBreak/>
        <w:t xml:space="preserve">development </w:t>
      </w:r>
      <w:r>
        <w:t>increases</w:t>
      </w:r>
      <w:r w:rsidRPr="008D255F">
        <w:t xml:space="preserve"> income inequality under higher ﬁnancial openness, whereas it reduces income inequality under lower ﬁnancial openness. Focusing on trade openness,</w:t>
      </w:r>
      <w:r w:rsidRPr="008D255F">
        <w:fldChar w:fldCharType="begin" w:fldLock="1"/>
      </w:r>
      <w:r w:rsidR="002E36DB">
        <w:instrText>ADDIN CSL_CITATION {"citationItems":[{"id":"ITEM-1","itemData":{"DOI":"10.1111/SJOE.12312","ISSN":"1467-9442","author":[{"dropping-particle":"v.","family":"Ehrlich","given":"Maximilian","non-dropping-particle":"","parse-names":false,"suffix":""},{"dropping-particle":"","family":"Seidel","given":"Tobias","non-dropping-particle":"","parse-names":false,"suffix":""}],"container-title":"The Scandinavian Journal of Economics","id":"ITEM-1","issue":"4","issued":{"date-parts":[["2019","10","1"]]},"page":"1533-1560","publisher":"John Wiley &amp; Sons, Ltd","title":"Financial Development and Inequality in the Global Economy","type":"article-journal","volume":"121"},"uris":["http://www.mendeley.com/documents/?uuid=e7fe01de-541f-32e2-bef1-61193b8b3502"]}],"mendeley":{"formattedCitation":"(Ehrlich &amp; Seidel, 2019)","manualFormatting":" Ehrlich and Seidel (2019)","plainTextFormattedCitation":"(Ehrlich &amp; Seidel, 2019)","previouslyFormattedCitation":"(Ehrlich &amp; Seidel, 2019)"},"properties":{"noteIndex":0},"schema":"https://github.com/citation-style-language/schema/raw/master/csl-citation.json"}</w:instrText>
      </w:r>
      <w:r w:rsidRPr="008D255F">
        <w:fldChar w:fldCharType="separate"/>
      </w:r>
      <w:r w:rsidRPr="008D255F">
        <w:rPr>
          <w:noProof/>
        </w:rPr>
        <w:t xml:space="preserve"> Ehrlich </w:t>
      </w:r>
      <w:r>
        <w:rPr>
          <w:noProof/>
        </w:rPr>
        <w:t>and</w:t>
      </w:r>
      <w:r w:rsidRPr="008D255F">
        <w:rPr>
          <w:noProof/>
        </w:rPr>
        <w:t xml:space="preserve"> Seidel (2019)</w:t>
      </w:r>
      <w:r w:rsidRPr="008D255F">
        <w:fldChar w:fldCharType="end"/>
      </w:r>
      <w:r w:rsidRPr="008D255F">
        <w:t xml:space="preserve"> theoretically show that the impact of FD on income inequality depends on the size distribution of ﬁrms by building a heterogeneous firms model. They argue that FD reduces wage inequality when there are many non-exporting firms and increases wage inequality when there are many large exporting firms. However, their study does not include any empirical investigation. The result of these two studies emphasises the importance of openness in the income inequality impact of FD. </w:t>
      </w:r>
    </w:p>
    <w:p w14:paraId="7F33926D" w14:textId="42C6B115" w:rsidR="0012305F" w:rsidRPr="008D255F" w:rsidRDefault="0012305F" w:rsidP="0012305F">
      <w:r w:rsidRPr="008D255F">
        <w:t>This paper extends the limited literature on FD, openness, and income inequality in three ways.  First, this study extend</w:t>
      </w:r>
      <w:r>
        <w:t>s</w:t>
      </w:r>
      <w:r w:rsidRPr="008D255F">
        <w:t xml:space="preserve"> </w:t>
      </w:r>
      <w:r w:rsidRPr="008D255F">
        <w:fldChar w:fldCharType="begin" w:fldLock="1"/>
      </w:r>
      <w:r w:rsidR="002E36DB">
        <w:instrText>ADDIN CSL_CITATION {"citationItems":[{"id":"ITEM-1","itemData":{"DOI":"10.1017/S1365100512000843","ISSN":"1365-1005","abstract":"This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Dynamics","id":"ITEM-1","issue":"5","issued":{"date-parts":[["2014"]]},"page":"1091-1128","publisher":"Cambridge University Press","title":"FINANCE AND INEQUALITY: HOW DOES GLOBALIZATION CHANGE THEIR RELATIONSHIP?","type":"article-journal","volume":"18"},"uris":["http://www.mendeley.com/documents/?uuid=8098cfdc-f149-3010-b8b3-1439aebcb663"]}],"mendeley":{"formattedCitation":"(Kunieda et al., 2014)","manualFormatting":"Kunieda et al.'s (2014)","plainTextFormattedCitation":"(Kunieda et al., 2014)","previouslyFormattedCitation":"(Kunieda et al., 2014)"},"properties":{"noteIndex":0},"schema":"https://github.com/citation-style-language/schema/raw/master/csl-citation.json"}</w:instrText>
      </w:r>
      <w:r w:rsidRPr="008D255F">
        <w:fldChar w:fldCharType="separate"/>
      </w:r>
      <w:r w:rsidRPr="008D255F">
        <w:rPr>
          <w:noProof/>
        </w:rPr>
        <w:t>Kunieda et al.</w:t>
      </w:r>
      <w:r>
        <w:rPr>
          <w:noProof/>
        </w:rPr>
        <w:t>'s</w:t>
      </w:r>
      <w:r w:rsidRPr="008D255F">
        <w:rPr>
          <w:noProof/>
        </w:rPr>
        <w:t xml:space="preserve"> (2014)</w:t>
      </w:r>
      <w:r w:rsidRPr="008D255F">
        <w:fldChar w:fldCharType="end"/>
      </w:r>
      <w:r w:rsidRPr="008D255F">
        <w:t xml:space="preserve"> work by focusing on the moderation impact of both dimensions of openness, trade integration and financial integration, in the FD-income inequality relationship using a large country-level dataset. Second, this study broadly examines theoretical models developed by </w:t>
      </w:r>
      <w:r w:rsidRPr="008D255F">
        <w:rPr>
          <w:noProof/>
        </w:rPr>
        <w:t xml:space="preserve">Ehrlich </w:t>
      </w:r>
      <w:r>
        <w:rPr>
          <w:noProof/>
        </w:rPr>
        <w:t>and</w:t>
      </w:r>
      <w:r w:rsidRPr="008D255F">
        <w:rPr>
          <w:noProof/>
        </w:rPr>
        <w:t xml:space="preserve"> Seidel (2019) at the macro-level by considering trade openness.</w:t>
      </w:r>
      <w:r w:rsidRPr="008D255F">
        <w:t xml:space="preserve"> Third, this study for the first time investigates</w:t>
      </w:r>
      <w:r>
        <w:t xml:space="preserve"> the</w:t>
      </w:r>
      <w:r w:rsidRPr="008D255F">
        <w:t xml:space="preserve"> threshold effect of openness at which the relation</w:t>
      </w:r>
      <w:r>
        <w:t>ship</w:t>
      </w:r>
      <w:r w:rsidRPr="008D255F">
        <w:t xml:space="preserve"> between FD and income inequality changes. </w:t>
      </w:r>
    </w:p>
    <w:p w14:paraId="78855814" w14:textId="1BE85CD9" w:rsidR="0012305F" w:rsidRPr="00A17788" w:rsidRDefault="0012305F" w:rsidP="007D5DFF">
      <w:pPr>
        <w:pStyle w:val="Heading1"/>
        <w:numPr>
          <w:ilvl w:val="0"/>
          <w:numId w:val="1"/>
        </w:numPr>
      </w:pPr>
      <w:r w:rsidRPr="00A17788">
        <w:t>Data</w:t>
      </w:r>
      <w:r>
        <w:t xml:space="preserve"> and preliminary analysis</w:t>
      </w:r>
    </w:p>
    <w:p w14:paraId="2E90FA77" w14:textId="215CD1B3" w:rsidR="0012305F" w:rsidRPr="002A1517" w:rsidRDefault="0012305F" w:rsidP="007D5DFF">
      <w:pPr>
        <w:ind w:firstLine="0"/>
      </w:pPr>
      <w:r>
        <w:t>The d</w:t>
      </w:r>
      <w:r w:rsidRPr="002771EC">
        <w:t>ata</w:t>
      </w:r>
      <w:r>
        <w:t xml:space="preserve">set consists of a balanced </w:t>
      </w:r>
      <w:r w:rsidRPr="002A1517">
        <w:t xml:space="preserve">panel of 71 countries </w:t>
      </w:r>
      <w:r w:rsidR="00B15F46" w:rsidRPr="002A1517">
        <w:t>(49</w:t>
      </w:r>
      <w:r w:rsidRPr="002A1517">
        <w:t xml:space="preserve"> high and upper-middle</w:t>
      </w:r>
      <w:r>
        <w:t>-</w:t>
      </w:r>
      <w:r w:rsidRPr="002A1517">
        <w:t>income and 22 low and lower-middle</w:t>
      </w:r>
      <w:r>
        <w:t>-</w:t>
      </w:r>
      <w:r w:rsidRPr="002A1517">
        <w:t>income countries)</w:t>
      </w:r>
      <w:r w:rsidRPr="002A1517">
        <w:rPr>
          <w:rStyle w:val="FootnoteReference"/>
          <w:rFonts w:cstheme="majorBidi"/>
          <w:szCs w:val="24"/>
        </w:rPr>
        <w:t xml:space="preserve"> </w:t>
      </w:r>
      <w:r w:rsidRPr="002A1517">
        <w:rPr>
          <w:rStyle w:val="FootnoteReference"/>
          <w:rFonts w:cstheme="majorBidi"/>
          <w:szCs w:val="24"/>
        </w:rPr>
        <w:footnoteReference w:id="2"/>
      </w:r>
      <w:r w:rsidRPr="002A1517">
        <w:t xml:space="preserve"> for which data is available from 1994 to 2017. Our primary dependent variable is income inequality measured using the Gini coefficient from </w:t>
      </w:r>
      <w:r w:rsidRPr="002A1517">
        <w:fldChar w:fldCharType="begin" w:fldLock="1"/>
      </w:r>
      <w:r>
        <w:instrText>ADDIN CSL_CITATION {"citationItems":[{"id":"ITEM-1","itemData":{"DOI":"10.1111/SSQU.12795","ISSN":"1540-6237","abstract":"Objective: This article documents wide-ranging revisions to the Standardized World Income Inequality Database (SWIID), which seeks to maximize the comparability of income inequality estimates for the broadest possible coverage of countries and years. Methods: Two k-fold cross-validations, by observation and by country, are used to evaluate the SWIID's success in predicting the Luxembourg Income Study (LIS), recognized in the field as setting the standard for comparability. Results: The cross-validations indicate that the new SWIID's estimates and their uncertainty are even more accurate than previous versions, extending its advantage in comparability over alternate income inequality data sets. Conclusion: Given its superior coverage and comparability, the SWIID remains the optimum source of data for broadly cross-national research on income inequality.","author":[{"dropping-particle":"","family":"Solt","given":"Frederick","non-dropping-particle":"","parse-names":false,"suffix":""}],"container-title":"Social Science Quarterly","id":"ITEM-1","issue":"3","issued":{"date-parts":[["2020","5","1"]]},"page":"1183-1199","publisher":"John Wiley &amp; Sons, Ltd","title":"Measuring Income Inequality Across Countries and Over Time: The Standardized World Income Inequality Database","type":"article-journal","volume":"101"},"uris":["http://www.mendeley.com/documents/?uuid=298916ee-c6eb-3a53-af97-bd6b0fcf48a2"]}],"mendeley":{"formattedCitation":"(Solt, 2020)","manualFormatting":"Solt’s (2020)","plainTextFormattedCitation":"(Solt, 2020)","previouslyFormattedCitation":"(Solt, 2020)"},"properties":{"noteIndex":0},"schema":"https://github.com/citation-style-language/schema/raw/master/csl-citation.json"}</w:instrText>
      </w:r>
      <w:r w:rsidRPr="002A1517">
        <w:fldChar w:fldCharType="separate"/>
      </w:r>
      <w:r w:rsidRPr="002A1517">
        <w:rPr>
          <w:noProof/>
        </w:rPr>
        <w:t>Solt</w:t>
      </w:r>
      <w:r>
        <w:rPr>
          <w:noProof/>
        </w:rPr>
        <w:t>’s</w:t>
      </w:r>
      <w:r w:rsidRPr="002A1517">
        <w:rPr>
          <w:noProof/>
        </w:rPr>
        <w:t xml:space="preserve"> (2020)</w:t>
      </w:r>
      <w:r w:rsidRPr="002A1517">
        <w:fldChar w:fldCharType="end"/>
      </w:r>
      <w:r>
        <w:t xml:space="preserve"> </w:t>
      </w:r>
      <w:r w:rsidRPr="002A1517">
        <w:t>Standardized World Income Inequality Database (</w:t>
      </w:r>
      <w:r w:rsidRPr="002A1517">
        <w:rPr>
          <w:i/>
          <w:iCs/>
        </w:rPr>
        <w:t>SWIID</w:t>
      </w:r>
      <w:r w:rsidRPr="002A1517">
        <w:t xml:space="preserve">). The Gini index is derived from the Lorenz curve and ranges between 0 (perfect equality) and 100 (perfect inequality). This index is the most widely used measure of inequality in the literature </w:t>
      </w:r>
      <w:r w:rsidRPr="002A1517">
        <w:fldChar w:fldCharType="begin" w:fldLock="1"/>
      </w:r>
      <w:r w:rsidRPr="002A1517">
        <w:instrText>ADDIN CSL_CITATION {"citationItems":[{"id":"ITEM-1","itemData":{"DOI":"10.1093/ROF/RFT039","ISSN":"1572-3097","abstract":"This article provides cross-country evidence that variations in bank regulatory policies result in differences in income distribution. In particular, the overall liberalization of banking systems decreases income inequality significantly. However, this effect becomes insignificant for countries with low levels of economic and institutional development and for market-based economies. Among liberalization policies, credit and interest rate controls have the most significant negative effect on inequality. Privatizations and liberalization of international capital flows also decrease income inequality; the latter also increases the income share of the relatively poor. In contrast, liberalization of securities markets increases income inequality substantially. © 2013 The Authors 2013.","author":[{"dropping-particle":"","family":"Delis","given":"Manthos D.","non-dropping-particle":"","parse-names":false,"suffix":""},{"dropping-particle":"","family":"Hasan","given":"Iftekhar","non-dropping-particle":"","parse-names":false,"suffix":""},{"dropping-particle":"","family":"Kazakis","given":"Pantelis","non-dropping-particle":"","parse-names":false,"suffix":""}],"container-title":"Review of Finance","id":"ITEM-1","issue":"5","issued":{"date-parts":[["2014","8","1"]]},"page":"1811-1846","publisher":"Oxford Academic","title":"Bank Regulations and Income Inequality: Empirical Evidence","type":"article-journal","volume":"18"},"uris":["http://www.mendeley.com/documents/?uuid=9e2d398c-627b-379c-b7be-f23d9d5390dd"]},{"id":"ITEM-2","itemData":{"DOI":"10.1016/J.ECONMOD.2021.01.003","ISSN":"0264-9993","abstract":"This paper investigates the impact of international bank flows from G10 lender countries on income inequality in 74 borrower countries over 1999–2013. Specifically, we examine the role of international bank flows contingent upon the Basel 2 capital regulation and the level of financial market development in the borrower countries. First, we find that improvements in the borrower country risk weights due to rating upgrades under the Basel 2 framework significantly increase bank flows, leading to improvements in income inequality. Second, we find that the level of financial market development is also important. We report that a well-functioning financial market helps the poor access credit and thereby reduces inequality. Moreover, we employ threshold estimations to identify the thresholds for each of the financial development measures that borrower countries need to reach before realizing the potential reductions in income inequality from international bank financing.","author":[{"dropping-particle":"","family":"Hasan","given":"Iftekhar","non-dropping-particle":"","parse-names":false,"suffix":""},{"dropping-particle":"","family":"Hassan","given":"Gazi","non-dropping-particle":"","parse-names":false,"suffix":""},{"dropping-particle":"","family":"Kim","given":"Suk Joong","non-dropping-particle":"","parse-names":false,"suffix":""},{"dropping-particle":"","family":"Wu","given":"Eliza","non-dropping-particle":"","parse-names":false,"suffix":""}],"container-title":"Economic Modelling","id":"ITEM-2","issued":{"date-parts":[["2021","5","1"]]},"page":"136-153","publisher":"North-Holland","title":"The impact of risk-based capital rules for international lending on income inequality: Global evidence","type":"article-journal","volume":"98"},"uris":["http://www.mendeley.com/documents/?uuid=eec88d2f-263c-314c-b377-91eae192ba40"]},{"id":"ITEM-3","itemData":{"DOI":"10.1007/S00181-019-01808-Z/TABLES/9","ISSN":"14358921","abstract":"Rising income inequality coinciding with financial liberalization has stimulated extensive studies on the possible links between income inequality and different forms of financial liberalization, both inputs and outputs, since the 1990s. Nonetheless, empirical investigations remain inconclusive. To provide new and robust evidence, this study investigates the distributional repercussions of financial liberalization and the role played by democratization in this process. Focusing on the outcome measures of financial liberalization, we find, in a panel of developing and developed countries for 1989–2011, that (1) financial openness alleviates income inequality, particularly for less democratic countries; (2) stock market development mitigates income inequality, whereas its volatility exacerbates it, with both effects decreasing with democratization; (3) banking development strengthens income inequality, whereas its volatility alleviates it, with both effects again moderating with democratization; and (4) these effects are mediated by human capital accumulation and entrepreneurship development.The data thus suggest that financial reforms toward capital account openness and more liquid, stable stock markets are beneficial to income distribution, as such reforms allow more previously excluded households and firms to access financial funds and services, thereby increasing human capital and entrepreneurship, especially in less democratic countries.","author":[{"dropping-particle":"","family":"Kim","given":"Dong Hyeon","non-dropping-particle":"","parse-names":false,"suffix":""},{"dropping-particle":"","family":"Hsieh","given":"Joyce","non-dropping-particle":"","parse-names":false,"suffix":""},{"dropping-particle":"","family":"Lin","given":"Shu Chin","non-dropping-particle":"","parse-names":false,"suffix":""}],"container-title":"Empirical Economics","id":"ITEM-3","issue":"3","issued":{"date-parts":[["2021","3","1"]]},"page":"1245-1281","publisher":"Springer Science and Business Media Deutschland GmbH","title":"Financial liberalization, political institutions, and income inequality","type":"article-journal","volume":"60"},"uris":["http://www.mendeley.com/documents/?uuid=da3ffcc7-9c03-3dc9-bb1d-ce8c8f78b8b3"]}],"mendeley":{"formattedCitation":"(Delis et al., 2014; Hasan et al., 2021; Kim et al., 2021)","plainTextFormattedCitation":"(Delis et al., 2014; Hasan et al., 2021; Kim et al., 2021)","previouslyFormattedCitation":"(Delis et al., 2014; Hasan et al., 2021; Kim et al., 2021)"},"properties":{"noteIndex":0},"schema":"https://github.com/citation-style-language/schema/raw/master/csl-citation.json"}</w:instrText>
      </w:r>
      <w:r w:rsidRPr="002A1517">
        <w:fldChar w:fldCharType="separate"/>
      </w:r>
      <w:r w:rsidRPr="002A1517">
        <w:rPr>
          <w:noProof/>
        </w:rPr>
        <w:t>(Delis et al., 2014; Hasan et al., 2021; Kim et al., 2021)</w:t>
      </w:r>
      <w:r w:rsidRPr="002A1517">
        <w:fldChar w:fldCharType="end"/>
      </w:r>
      <w:r w:rsidRPr="002A1517">
        <w:t>. Our preferred</w:t>
      </w:r>
      <w:r>
        <w:t xml:space="preserve"> income inequality measure is the log of the Gross Gini index (</w:t>
      </w:r>
      <w:proofErr w:type="spellStart"/>
      <w:r w:rsidRPr="002A1517">
        <w:rPr>
          <w:i/>
          <w:iCs/>
        </w:rPr>
        <w:t>GrossGini</w:t>
      </w:r>
      <w:proofErr w:type="spellEnd"/>
      <w:r w:rsidRPr="002A1517">
        <w:t>)</w:t>
      </w:r>
      <w:r>
        <w:t>, which</w:t>
      </w:r>
      <w:r w:rsidRPr="002A1517">
        <w:t xml:space="preserve"> represents household income before taxes since it shows inequality exclusive</w:t>
      </w:r>
      <w:r>
        <w:t xml:space="preserve"> of</w:t>
      </w:r>
      <w:r w:rsidRPr="002A1517">
        <w:t xml:space="preserve"> the impact of redistribution via taxes and transfers </w:t>
      </w:r>
      <w:r w:rsidRPr="002A1517">
        <w:fldChar w:fldCharType="begin" w:fldLock="1"/>
      </w:r>
      <w:r w:rsidRPr="002A1517">
        <w:instrText>ADDIN CSL_CITATION {"citationItems":[{"id":"ITEM-1","itemData":{"DOI":"10.1016/J.EJPOLECO.2017.04.007","ISSN":"0176-2680","abstract":"Using a panel fixed effects model for a sample of 121 countries covering 1975–2005, we examine how financial development, financial liberalization and banking crises are related to income inequality. In contrast with most previous work, our results suggest that all finance variables increase income inequality. The level of financial development conditions the impact of financial liberalization on inequality. Also the quality of political institutions conditions the impact of financial liberalization on income inequality, in contrast to the quality of economic institutions. Our main findings are robust for using random effects, cross-country regressions and legal origin as instrument for financial development.","author":[{"dropping-particle":"","family":"Haan","given":"Jakob","non-dropping-particle":"de","parse-names":false,"suffix":""},{"dropping-particle":"","family":"Sturm","given":"Jan Egbert","non-dropping-particle":"","parse-names":false,"suffix":""}],"container-title":"European Journal of Political Economy","id":"ITEM-1","issued":{"date-parts":[["2017","12","1"]]},"page":"171-195","publisher":"North-Holland","title":"Finance and income inequality: A review and new evidence","type":"article-journal","volume":"50"},"uris":["http://www.mendeley.com/documents/?uuid=20cb9c97-609f-344b-ba97-cb9566261d29"]},{"id":"ITEM-2","itemData":{"DOI":"10.1016/J.ECONMOD.2021.01.003","ISSN":"0264-9993","abstract":"This paper investigates the impact of international bank flows from G10 lender countries on income inequality in 74 borrower countries over 1999–2013. Specifically, we examine the role of international bank flows contingent upon the Basel 2 capital regulation and the level of financial market development in the borrower countries. First, we find that improvements in the borrower country risk weights due to rating upgrades under the Basel 2 framework significantly increase bank flows, leading to improvements in income inequality. Second, we find that the level of financial market development is also important. We report that a well-functioning financial market helps the poor access credit and thereby reduces inequality. Moreover, we employ threshold estimations to identify the thresholds for each of the financial development measures that borrower countries need to reach before realizing the potential reductions in income inequality from international bank financing.","author":[{"dropping-particle":"","family":"Hasan","given":"Iftekhar","non-dropping-particle":"","parse-names":false,"suffix":""},{"dropping-particle":"","family":"Hassan","given":"Gazi","non-dropping-particle":"","parse-names":false,"suffix":""},{"dropping-particle":"","family":"Kim","given":"Suk Joong","non-dropping-particle":"","parse-names":false,"suffix":""},{"dropping-particle":"","family":"Wu","given":"Eliza","non-dropping-particle":"","parse-names":false,"suffix":""}],"container-title":"Economic Modelling","id":"ITEM-2","issued":{"date-parts":[["2021","5","1"]]},"page":"136-153","publisher":"North-Holland","title":"The impact of risk-based capital rules for international lending on income inequality: Global evidence","type":"article-journal","volume":"98"},"uris":["http://www.mendeley.com/documents/?uuid=eec88d2f-263c-314c-b377-91eae192ba40"]}],"mendeley":{"formattedCitation":"(de Haan &amp; Sturm, 2017; Hasan et al., 2021)","plainTextFormattedCitation":"(de Haan &amp; Sturm, 2017; Hasan et al., 2021)","previouslyFormattedCitation":"(de Haan &amp; Sturm, 2017; Hasan et al., 2021)"},"properties":{"noteIndex":0},"schema":"https://github.com/citation-style-language/schema/raw/master/csl-citation.json"}</w:instrText>
      </w:r>
      <w:r w:rsidRPr="002A1517">
        <w:fldChar w:fldCharType="separate"/>
      </w:r>
      <w:r w:rsidRPr="002A1517">
        <w:rPr>
          <w:noProof/>
        </w:rPr>
        <w:t xml:space="preserve">(de Haan </w:t>
      </w:r>
      <w:r w:rsidR="00C62879">
        <w:rPr>
          <w:noProof/>
        </w:rPr>
        <w:t>and</w:t>
      </w:r>
      <w:r w:rsidRPr="002A1517">
        <w:rPr>
          <w:noProof/>
        </w:rPr>
        <w:t xml:space="preserve"> Sturm, 2017; Hasan et al., 2021)</w:t>
      </w:r>
      <w:r w:rsidRPr="002A1517">
        <w:fldChar w:fldCharType="end"/>
      </w:r>
      <w:r w:rsidRPr="002A1517">
        <w:t xml:space="preserve">. </w:t>
      </w:r>
    </w:p>
    <w:p w14:paraId="0AE5832C" w14:textId="29A25A2D" w:rsidR="0012305F" w:rsidRPr="002A1517" w:rsidRDefault="0012305F" w:rsidP="0012305F">
      <w:r w:rsidRPr="002A1517">
        <w:t xml:space="preserve">Regarding </w:t>
      </w:r>
      <w:r>
        <w:t>FD</w:t>
      </w:r>
      <w:r w:rsidRPr="002A1517">
        <w:t xml:space="preserve">, our main focus is on banking development due to three main reasons explained by </w:t>
      </w:r>
      <w:r>
        <w:fldChar w:fldCharType="begin" w:fldLock="1"/>
      </w:r>
      <w:r w:rsidR="002E36DB">
        <w:instrText>ADDIN CSL_CITATION {"citationItems":[{"id":"ITEM-1","itemData":{"DOI":"10.2753/REE1540-496X5001S102","ISSN":"15580938","abstract":"We examine whether the relationship between financial development and income inequality varies with levels of institutional quality. The empirical evidence based on the threshold regression approach shows that there indeed exists an institutional quality threshold effect in the relationship between financial development and income inequality. Financial development tends to reduce income inequality only after a certain threshold level of institutional quality has been achieved. Until then, the effect of financial development on income inequality is nonexistent. This finding suggests that institutional quality affects the link between financial development and income inequality, reflecting the notion that better quality finance results in more equal income distribution.","author":[{"dropping-particle":"","family":"Law","given":"Siong Hook","non-dropping-particle":"","parse-names":false,"suffix":""},{"dropping-particle":"","family":"Tan","given":"Hui Boon","non-dropping-particle":"","parse-names":false,"suffix":""},{"dropping-particle":"","family":"Azman-Saini","given":"W. N.W.","non-dropping-particle":"","parse-names":false,"suffix":""}],"container-title":"Emerging Markets Finance and Trade","id":"ITEM-1","issued":{"date-parts":[["2014"]]},"page":"21-33","publisher":"Routledge","title":"Financial development and income inequality at different levels of institutional quality","type":"article-journal","volume":"50"},"uris":["http://www.mendeley.com/documents/?uuid=a5cf98f7-fa14-3e66-b12d-52b940095cc5"]}],"mendeley":{"formattedCitation":"(Law et al., 2014)","manualFormatting":"Law et al. (2014)","plainTextFormattedCitation":"(Law et al., 2014)","previouslyFormattedCitation":"(Law et al., 2014)"},"properties":{"noteIndex":0},"schema":"https://github.com/citation-style-language/schema/raw/master/csl-citation.json"}</w:instrText>
      </w:r>
      <w:r>
        <w:fldChar w:fldCharType="separate"/>
      </w:r>
      <w:r w:rsidRPr="007E25BE">
        <w:rPr>
          <w:noProof/>
        </w:rPr>
        <w:t>Law et al.</w:t>
      </w:r>
      <w:r>
        <w:rPr>
          <w:noProof/>
        </w:rPr>
        <w:t xml:space="preserve"> (</w:t>
      </w:r>
      <w:r w:rsidRPr="007E25BE">
        <w:rPr>
          <w:noProof/>
        </w:rPr>
        <w:t>2014)</w:t>
      </w:r>
      <w:r>
        <w:fldChar w:fldCharType="end"/>
      </w:r>
      <w:r w:rsidRPr="002A1517">
        <w:t>. First</w:t>
      </w:r>
      <w:r>
        <w:t>,</w:t>
      </w:r>
      <w:r w:rsidRPr="009D2164">
        <w:t xml:space="preserve"> </w:t>
      </w:r>
      <w:r>
        <w:t>b</w:t>
      </w:r>
      <w:r w:rsidRPr="009D2164">
        <w:t xml:space="preserve">ank credits are the only </w:t>
      </w:r>
      <w:r>
        <w:t>pos</w:t>
      </w:r>
      <w:r w:rsidRPr="009D2164">
        <w:t xml:space="preserve">sible </w:t>
      </w:r>
      <w:r>
        <w:t>financing source for most</w:t>
      </w:r>
      <w:r w:rsidRPr="009D2164">
        <w:t xml:space="preserve"> developing countries in our sample. </w:t>
      </w:r>
      <w:r>
        <w:t>Second,</w:t>
      </w:r>
      <w:r w:rsidRPr="009D2164">
        <w:t xml:space="preserve"> </w:t>
      </w:r>
      <w:r>
        <w:t>t</w:t>
      </w:r>
      <w:r w:rsidRPr="009D2164">
        <w:t xml:space="preserve">he number of available observations for stock market indicators is insufficient to conduct sample-splitting regression. </w:t>
      </w:r>
      <w:r w:rsidRPr="002A1517">
        <w:t xml:space="preserve">Third, some empirical studies (e.g., </w:t>
      </w:r>
      <w:r w:rsidRPr="002A1517">
        <w:fldChar w:fldCharType="begin" w:fldLock="1"/>
      </w:r>
      <w:r w:rsidR="002E36DB">
        <w:instrText>ADDIN CSL_CITATION {"citationItems":[{"id":"ITEM-1","itemData":{"DOI":"10.1016/J.JBANKFIN.2010.11.011","ISSN":"0378-4266","abstract":"This paper analyzes the under-investigated relationship uniting financial development and income distribution. We use a novel approach taking into account for the first time the specific channels linking banks, capital markets and income inequality, the time-varying nature of the relationship, and reciprocal causality. We construct a set of annual indicators of banking and capital market size, robustness, efficiency and international integration. We then estimate the determinants of income distribution using a panel Bayesian structural vector autoregressive (SVAR) model, for a set of 49 countries over the 1994-2002 period. We uncover a significant causality running from financial sector development to income distribution. In addition, the banking sector seems to exert a stronger impact on inequality. Finally, the relationship appears to depend on the characteristics of the financial sector, rather than on its size. © 2010 Elsevier B.V.","author":[{"dropping-particle":"","family":"Gimet","given":"Céline","non-dropping-particle":"","parse-names":false,"suffix":""},{"dropping-particle":"","family":"Lagoarde-Segot","given":"Thomas","non-dropping-particle":"","parse-names":false,"suffix":""}],"container-title":"Journal of Banking &amp; Finance","id":"ITEM-1","issue":"7","issued":{"date-parts":[["2011","7","1"]]},"page":"1698-1713","publisher":"North-Holland","title":"A closer look at financial development and income distribution","type":"article-journal","volume":"35"},"uris":["http://www.mendeley.com/documents/?uuid=48358bb2-3cdc-3780-ae8e-80b4d5bd259d"]},{"id":"ITEM-2","itemData":{"author":[{"dropping-particle":"","family":"Naceur","given":"MSB","non-dropping-particle":"","parse-names":false,"suffix":""},{"dropping-particle":"","family":"Zhang","given":"RX","non-dropping-particle":"","parse-names":false,"suffix":""}],"id":"ITEM-2","issued":{"date-parts":[["2016"]]},"title":"Financial development, inequality and poverty: some international evidence","type":"book"},"uris":["http://www.mendeley.com/documents/?uuid=f6489b1b-25c4-300b-abe2-09ce9885e4ea"]}],"mendeley":{"formattedCitation":"(Gimet &amp; Lagoarde-Segot, 2011; Naceur &amp; Zhang, 2016)","manualFormatting":"Gimet &amp; Lagoarde-Segot, 2011; Naceur &amp; Zhang, 2016","plainTextFormattedCitation":"(Gimet &amp; Lagoarde-Segot, 2011; Naceur &amp; Zhang, 2016)","previouslyFormattedCitation":"(Gimet &amp; Lagoarde-Segot, 2011; Naceur &amp; Zhang, 2016)"},"properties":{"noteIndex":0},"schema":"https://github.com/citation-style-language/schema/raw/master/csl-citation.json"}</w:instrText>
      </w:r>
      <w:r w:rsidRPr="002A1517">
        <w:fldChar w:fldCharType="separate"/>
      </w:r>
      <w:r w:rsidRPr="002A1517">
        <w:rPr>
          <w:noProof/>
        </w:rPr>
        <w:t xml:space="preserve">Gimet </w:t>
      </w:r>
      <w:r w:rsidR="00C62879">
        <w:rPr>
          <w:noProof/>
        </w:rPr>
        <w:t>and</w:t>
      </w:r>
      <w:r w:rsidRPr="002A1517">
        <w:rPr>
          <w:noProof/>
        </w:rPr>
        <w:t xml:space="preserve"> Lagoarde-Segot</w:t>
      </w:r>
      <w:r>
        <w:rPr>
          <w:noProof/>
        </w:rPr>
        <w:t xml:space="preserve">, </w:t>
      </w:r>
      <w:r w:rsidRPr="002A1517">
        <w:rPr>
          <w:noProof/>
        </w:rPr>
        <w:t>2011</w:t>
      </w:r>
      <w:r>
        <w:rPr>
          <w:noProof/>
        </w:rPr>
        <w:t>;</w:t>
      </w:r>
      <w:r w:rsidRPr="002A1517">
        <w:rPr>
          <w:noProof/>
        </w:rPr>
        <w:t xml:space="preserve"> Naceur </w:t>
      </w:r>
      <w:r w:rsidR="00C62879">
        <w:rPr>
          <w:noProof/>
        </w:rPr>
        <w:t>and</w:t>
      </w:r>
      <w:r w:rsidRPr="002A1517">
        <w:rPr>
          <w:noProof/>
        </w:rPr>
        <w:t xml:space="preserve"> Zhang</w:t>
      </w:r>
      <w:r>
        <w:rPr>
          <w:noProof/>
        </w:rPr>
        <w:t xml:space="preserve">, </w:t>
      </w:r>
      <w:r w:rsidRPr="002A1517">
        <w:rPr>
          <w:noProof/>
        </w:rPr>
        <w:t>2016</w:t>
      </w:r>
      <w:r w:rsidRPr="002A1517">
        <w:fldChar w:fldCharType="end"/>
      </w:r>
      <w:r w:rsidRPr="002A1517">
        <w:t xml:space="preserve">) show that </w:t>
      </w:r>
      <w:r w:rsidRPr="002A1517">
        <w:lastRenderedPageBreak/>
        <w:t xml:space="preserve">the banking sector exerts </w:t>
      </w:r>
      <w:r>
        <w:t xml:space="preserve">a </w:t>
      </w:r>
      <w:r w:rsidRPr="002A1517">
        <w:t>more substantial influence on income inequality than the stock market.</w:t>
      </w:r>
      <w:r>
        <w:t xml:space="preserve"> This may be </w:t>
      </w:r>
      <w:r w:rsidRPr="002A1517">
        <w:t xml:space="preserve">because the poor have easier access to financial intermediaries (such as banks) than </w:t>
      </w:r>
      <w:r>
        <w:t xml:space="preserve">to </w:t>
      </w:r>
      <w:r w:rsidRPr="002A1517">
        <w:t>stock markets</w:t>
      </w:r>
      <w:r>
        <w:t>,</w:t>
      </w:r>
      <w:r w:rsidRPr="002A1517">
        <w:t xml:space="preserve"> </w:t>
      </w:r>
      <w:r>
        <w:t>which</w:t>
      </w:r>
      <w:r w:rsidRPr="002A1517">
        <w:t xml:space="preserve"> mostly have stringent participation requirements</w:t>
      </w:r>
      <w:r>
        <w:t xml:space="preserve"> </w:t>
      </w:r>
      <w:r>
        <w:fldChar w:fldCharType="begin" w:fldLock="1"/>
      </w:r>
      <w:r>
        <w:instrText>ADDIN CSL_CITATION {"citationItems":[{"id":"ITEM-1","itemData":{"author":[{"dropping-particle":"","family":"Isah","given":"Abdulrasheed","non-dropping-particle":"","parse-names":false,"suffix":""}],"container-title":"2nd International Conference on Social Science and Law","id":"ITEM-1","issued":{"date-parts":[["2016"]]},"title":"Financial Development and Income Inequality: A Review of Literature","type":"paper-conference"},"uris":["http://www.mendeley.com/documents/?uuid=3616e4cc-75b1-37f5-af78-998a700f69cb"]}],"mendeley":{"formattedCitation":"(Isah, 2016)","plainTextFormattedCitation":"(Isah, 2016)","previouslyFormattedCitation":"(Isah, 2016)"},"properties":{"noteIndex":0},"schema":"https://github.com/citation-style-language/schema/raw/master/csl-citation.json"}</w:instrText>
      </w:r>
      <w:r>
        <w:fldChar w:fldCharType="separate"/>
      </w:r>
      <w:r w:rsidRPr="002A1517">
        <w:rPr>
          <w:noProof/>
        </w:rPr>
        <w:t>(Isah, 2016)</w:t>
      </w:r>
      <w:r>
        <w:fldChar w:fldCharType="end"/>
      </w:r>
      <w:r>
        <w:t xml:space="preserve">. </w:t>
      </w:r>
      <w:r w:rsidRPr="00976AE2">
        <w:t xml:space="preserve">Following common practice, </w:t>
      </w:r>
      <w:r>
        <w:t>we used two proxies to measure banking development. O</w:t>
      </w:r>
      <w:r w:rsidRPr="00976AE2">
        <w:t xml:space="preserve">ur first and preferred set is </w:t>
      </w:r>
      <w:r>
        <w:t xml:space="preserve">the log of </w:t>
      </w:r>
      <w:r w:rsidRPr="00976AE2">
        <w:t>private credit</w:t>
      </w:r>
      <w:r>
        <w:t xml:space="preserve"> by deposit</w:t>
      </w:r>
      <w:r w:rsidRPr="00976AE2">
        <w:t xml:space="preserve"> </w:t>
      </w:r>
      <w:r>
        <w:t xml:space="preserve">money </w:t>
      </w:r>
      <w:r w:rsidRPr="00976AE2">
        <w:t>banks</w:t>
      </w:r>
      <w:r>
        <w:t xml:space="preserve"> and other financial institutions</w:t>
      </w:r>
      <w:r w:rsidRPr="00976AE2">
        <w:t xml:space="preserve"> as a share of GDP</w:t>
      </w:r>
      <w:r>
        <w:t xml:space="preserve"> (</w:t>
      </w:r>
      <w:proofErr w:type="spellStart"/>
      <w:r w:rsidRPr="00352BA1">
        <w:rPr>
          <w:i/>
          <w:iCs/>
        </w:rPr>
        <w:t>PrivateCredit</w:t>
      </w:r>
      <w:proofErr w:type="spellEnd"/>
      <w:r>
        <w:t>)</w:t>
      </w:r>
      <w:r w:rsidRPr="00976AE2">
        <w:t xml:space="preserve">. </w:t>
      </w:r>
      <w:r>
        <w:t>A</w:t>
      </w:r>
      <w:r w:rsidRPr="00976AE2">
        <w:t>s robustness checks</w:t>
      </w:r>
      <w:r>
        <w:t xml:space="preserve">, </w:t>
      </w:r>
      <w:r w:rsidRPr="00976AE2">
        <w:t>we</w:t>
      </w:r>
      <w:r>
        <w:t xml:space="preserve"> also</w:t>
      </w:r>
      <w:r w:rsidRPr="00976AE2">
        <w:t xml:space="preserve"> </w:t>
      </w:r>
      <w:r>
        <w:t>use the log of</w:t>
      </w:r>
      <w:r w:rsidRPr="00976AE2">
        <w:t xml:space="preserve"> liquid liabilities</w:t>
      </w:r>
      <w:r>
        <w:t xml:space="preserve">, also known as broad </w:t>
      </w:r>
      <w:r w:rsidRPr="002A1517">
        <w:t>money, over GDP (</w:t>
      </w:r>
      <w:proofErr w:type="spellStart"/>
      <w:r w:rsidRPr="002A1517">
        <w:rPr>
          <w:i/>
          <w:iCs/>
        </w:rPr>
        <w:t>LiquidLiabilities</w:t>
      </w:r>
      <w:proofErr w:type="spellEnd"/>
      <w:r w:rsidRPr="002A1517">
        <w:t>) to measure the respective size of the banking sector. All these data are sourced from the World Bank’s Global Financial Development Database (</w:t>
      </w:r>
      <w:r w:rsidRPr="002A1517">
        <w:rPr>
          <w:i/>
          <w:iCs/>
        </w:rPr>
        <w:t>GFDD</w:t>
      </w:r>
      <w:r w:rsidRPr="002A1517">
        <w:t xml:space="preserve">). </w:t>
      </w:r>
    </w:p>
    <w:p w14:paraId="21E5DD98" w14:textId="09D2C5F6" w:rsidR="0012305F" w:rsidRDefault="0012305F" w:rsidP="0012305F">
      <w:r w:rsidRPr="002A1517">
        <w:t>Two main variables to measure economic openness (</w:t>
      </w:r>
      <w:r w:rsidRPr="002A1517">
        <w:rPr>
          <w:i/>
          <w:iCs/>
        </w:rPr>
        <w:t>Openness</w:t>
      </w:r>
      <w:r w:rsidRPr="002A1517">
        <w:t>) are trade openness and financial openness. Trade openness is measured as the total volume of imports and exports over the annual GDP of a country (</w:t>
      </w:r>
      <w:r w:rsidRPr="002A1517">
        <w:rPr>
          <w:i/>
          <w:iCs/>
        </w:rPr>
        <w:t>TO</w:t>
      </w:r>
      <w:r w:rsidRPr="002A1517">
        <w:t>) from World Bank’s</w:t>
      </w:r>
      <w:r w:rsidRPr="001673BF">
        <w:t xml:space="preserve"> World Development Indicators</w:t>
      </w:r>
      <w:r>
        <w:t xml:space="preserve"> (</w:t>
      </w:r>
      <w:r w:rsidRPr="008934B1">
        <w:rPr>
          <w:i/>
          <w:iCs/>
        </w:rPr>
        <w:t>WDI</w:t>
      </w:r>
      <w:r>
        <w:t>) database</w:t>
      </w:r>
      <w:r w:rsidRPr="0060324C">
        <w:t xml:space="preserve">. </w:t>
      </w:r>
      <w:r w:rsidRPr="0060324C">
        <w:fldChar w:fldCharType="begin" w:fldLock="1"/>
      </w:r>
      <w:r w:rsidRPr="0060324C">
        <w:instrText>ADDIN CSL_CITATION {"citationItems":[{"id":"ITEM-1","itemData":{"DOI":"10.1016/J.ECONMOD.2009.09.005","ISSN":"0264-9993","abstract":"This paper employs the Pooled Mean Group (PMG) approach of Pesaran et al. (1999) to study the dynamic effects of trade openness on financial development. The advantage of the PMG estimator over other dynamic panel econometric techniques is that it allows short-run coefficients, speeds of adjustment and error variances to vary across countries, with cross-country homogeneity restrictions only on long-run parameters. Our results spanning 88 countries over 1960-2005 show that a positive long-run relationship between trade openness and financial development coexists with a negative short-run relationship. But when splitting the data into different income or inflation groups, this finding is observed only in relatively low-income countries or high-inflation economies. © 2009 Elsevier B.V. All rights reserved.","author":[{"dropping-particle":"","family":"Kim","given":"Dong Hyeon","non-dropping-particle":"","parse-names":false,"suffix":""},{"dropping-particle":"","family":"Lin","given":"Shu Chin","non-dropping-particle":"","parse-names":false,"suffix":""},{"dropping-particle":"","family":"Suen","given":"Yu Bo","non-dropping-particle":"","parse-names":false,"suffix":""}],"container-title":"Economic Modelling","id":"ITEM-1","issue":"1","issued":{"date-parts":[["2010","1","1"]]},"page":"254-261","publisher":"North-Holland","title":"Dynamic effects of trade openness on financial development","type":"article-journal","volume":"27"},"uris":["http://www.mendeley.com/documents/?uuid=b451d9f1-52ae-3b09-9dea-a66e4201b466"]}],"mendeley":{"formattedCitation":"(Kim et al., 2010)","manualFormatting":"Kim et al. (2010)","plainTextFormattedCitation":"(Kim et al., 2010)","previouslyFormattedCitation":"(Kim et al., 2010)"},"properties":{"noteIndex":0},"schema":"https://github.com/citation-style-language/schema/raw/master/csl-citation.json"}</w:instrText>
      </w:r>
      <w:r w:rsidRPr="0060324C">
        <w:fldChar w:fldCharType="separate"/>
      </w:r>
      <w:r w:rsidRPr="0060324C">
        <w:rPr>
          <w:noProof/>
        </w:rPr>
        <w:t>Kim et al. (2010)</w:t>
      </w:r>
      <w:r w:rsidRPr="0060324C">
        <w:fldChar w:fldCharType="end"/>
      </w:r>
      <w:r w:rsidRPr="0060324C">
        <w:t xml:space="preserve"> argue that this measure can provide an unambiguous quantiﬁcation of trade openness.  Financial</w:t>
      </w:r>
      <w:r w:rsidRPr="00717672">
        <w:t xml:space="preserve"> openness is measured based on a de facto index developed by </w:t>
      </w:r>
      <w:r w:rsidRPr="00717672">
        <w:fldChar w:fldCharType="begin" w:fldLock="1"/>
      </w:r>
      <w:r w:rsidR="002E36DB">
        <w:instrText>ADDIN CSL_CITATION {"citationItems":[{"id":"ITEM-1","itemData":{"DOI":"10.1016/J.JINTECO.2007.02.003","ISSN":"0022-1996","abstract":"We construct estimates of external assets and liabilities for 145 countries for 1970-2004. We describe our estimation methods and key features of the data at the country and global level. We focus on trends in net and gross external positions, and the composition of international portfolios. We document the increasing importance of equity financing and the improvement in the external position for emerging markets, and the differing pace of financial integration between advanced and developing economies. We also show the existence of a global discrepancy between estimated foreign assets and liabilities, and identify the asset categories accounting for this discrepancy. © 2007 Elsevier B.V. All rights reserved.","author":[{"dropping-particle":"","family":"Lane","given":"Philip R.","non-dropping-particle":"","parse-names":false,"suffix":""},{"dropping-particle":"","family":"Milesi-Ferretti","given":"Gian Maria","non-dropping-particle":"","parse-names":false,"suffix":""}],"container-title":"Journal of International Economics","id":"ITEM-1","issue":"2","issued":{"date-parts":[["2007","11","1"]]},"page":"223-250","publisher":"North-Holland","title":"The external wealth of nations mark II: Revised and extended estimates of foreign assets and liabilities, 1970–2004","type":"article-journal","volume":"73"},"uris":["http://www.mendeley.com/documents/?uuid=4c9f65a1-6dce-385b-9ee7-ce847e313c05"]}],"mendeley":{"formattedCitation":"(Lane &amp; Milesi-Ferretti, 2007)","manualFormatting":"Lane and Milesi-Ferretti (2007)","plainTextFormattedCitation":"(Lane &amp; Milesi-Ferretti, 2007)","previouslyFormattedCitation":"(Lane &amp; Milesi-Ferretti, 2007)"},"properties":{"noteIndex":0},"schema":"https://github.com/citation-style-language/schema/raw/master/csl-citation.json"}</w:instrText>
      </w:r>
      <w:r w:rsidRPr="00717672">
        <w:fldChar w:fldCharType="separate"/>
      </w:r>
      <w:r w:rsidRPr="00717672">
        <w:rPr>
          <w:noProof/>
        </w:rPr>
        <w:t xml:space="preserve">Lane </w:t>
      </w:r>
      <w:r>
        <w:rPr>
          <w:noProof/>
        </w:rPr>
        <w:t>and</w:t>
      </w:r>
      <w:r w:rsidRPr="00717672">
        <w:rPr>
          <w:noProof/>
        </w:rPr>
        <w:t xml:space="preserve"> Milesi-Ferretti </w:t>
      </w:r>
      <w:r>
        <w:rPr>
          <w:noProof/>
        </w:rPr>
        <w:t>(</w:t>
      </w:r>
      <w:r w:rsidRPr="00717672">
        <w:rPr>
          <w:noProof/>
        </w:rPr>
        <w:t>2007)</w:t>
      </w:r>
      <w:r w:rsidRPr="00717672">
        <w:fldChar w:fldCharType="end"/>
      </w:r>
      <w:r w:rsidRPr="00242BAA">
        <w:t>. This variable is deﬁned</w:t>
      </w:r>
      <w:r w:rsidRPr="00717672">
        <w:t xml:space="preserve"> as</w:t>
      </w:r>
      <w:r w:rsidRPr="00583E0E">
        <w:t xml:space="preserve"> the volume of a country</w:t>
      </w:r>
      <w:r>
        <w:t>’</w:t>
      </w:r>
      <w:r w:rsidRPr="00583E0E">
        <w:t>s foreign assets and liabilities</w:t>
      </w:r>
      <w:r w:rsidRPr="00242BAA">
        <w:t xml:space="preserve"> </w:t>
      </w:r>
      <w:r>
        <w:t>as a percentage of</w:t>
      </w:r>
      <w:r w:rsidRPr="00242BAA">
        <w:t xml:space="preserve"> GDP (</w:t>
      </w:r>
      <w:r w:rsidRPr="0034625B">
        <w:rPr>
          <w:i/>
          <w:iCs/>
        </w:rPr>
        <w:t>FO</w:t>
      </w:r>
      <w:r w:rsidRPr="00242BAA">
        <w:t>).</w:t>
      </w:r>
      <w:r>
        <w:t xml:space="preserve"> </w:t>
      </w:r>
      <w:r w:rsidRPr="00921002">
        <w:t xml:space="preserve">These foreign assets and liabilities include </w:t>
      </w:r>
      <w:r>
        <w:t xml:space="preserve">portfolio </w:t>
      </w:r>
      <w:r w:rsidRPr="00921002">
        <w:t xml:space="preserve">debt, foreign direct investment, and foreign indirect investment (portfolio investment). </w:t>
      </w:r>
      <w:r w:rsidRPr="007D33A2">
        <w:t xml:space="preserve">There are also other measurements of ﬁnancial openness, such as the </w:t>
      </w:r>
      <w:r>
        <w:t>“</w:t>
      </w:r>
      <w:r w:rsidRPr="007D33A2">
        <w:t>de jure</w:t>
      </w:r>
      <w:r>
        <w:t>”</w:t>
      </w:r>
      <w:r w:rsidRPr="007D33A2">
        <w:t xml:space="preserve"> index of </w:t>
      </w:r>
      <w:r>
        <w:fldChar w:fldCharType="begin" w:fldLock="1"/>
      </w:r>
      <w:r w:rsidR="002E36DB">
        <w:instrText>ADDIN CSL_CITATION {"citationItems":[{"id":"ITEM-1","itemData":{"DOI":"10.1016/J.JDEVECO.2005.05.010","ISSN":"0304-3878","abstract":"We investigate whether financial openness leads to financial development after controlling for the level of legal development using a panel encompassing 108 countries over the period 1980 to 2000. We also examine the issue of the optimal sequence of liberalization in both goods and financial markets. Our findings suggest that a higher level of financial openness spurs equity market development only if a threshold level of legal development has been attained. On the issue of sequencing, we find that trade openness is a prerequisite for capital account liberalization while banking system development is a precondition for equity market development. © 2005 Elsevier B.V. All rights reserved.","author":[{"dropping-particle":"","family":"Chinn","given":"Menzie D.","non-dropping-particle":"","parse-names":false,"suffix":""},{"dropping-particle":"","family":"Ito","given":"Hiro","non-dropping-particle":"","parse-names":false,"suffix":""}],"container-title":"Journal of Development Economics","id":"ITEM-1","issue":"1","issued":{"date-parts":[["2006","10","1"]]},"page":"163-192","publisher":"North-Holland","title":"What matters for financial development? Capital controls, institutions, and interactions","type":"article-journal","volume":"81"},"uris":["http://www.mendeley.com/documents/?uuid=75b11f7c-d8e2-33cf-8ee6-332c1ef0cdd2"]}],"mendeley":{"formattedCitation":"(Chinn &amp; Ito, 2006)","manualFormatting":"Chinn and Ito (2006)","plainTextFormattedCitation":"(Chinn &amp; Ito, 2006)","previouslyFormattedCitation":"(Chinn &amp; Ito, 2006)"},"properties":{"noteIndex":0},"schema":"https://github.com/citation-style-language/schema/raw/master/csl-citation.json"}</w:instrText>
      </w:r>
      <w:r>
        <w:fldChar w:fldCharType="separate"/>
      </w:r>
      <w:r w:rsidRPr="009B1677">
        <w:rPr>
          <w:noProof/>
        </w:rPr>
        <w:t xml:space="preserve">Chinn </w:t>
      </w:r>
      <w:r>
        <w:rPr>
          <w:noProof/>
        </w:rPr>
        <w:t>and</w:t>
      </w:r>
      <w:r w:rsidRPr="009B1677">
        <w:rPr>
          <w:noProof/>
        </w:rPr>
        <w:t xml:space="preserve"> Ito </w:t>
      </w:r>
      <w:r>
        <w:rPr>
          <w:noProof/>
        </w:rPr>
        <w:t>(</w:t>
      </w:r>
      <w:r w:rsidRPr="009B1677">
        <w:rPr>
          <w:noProof/>
        </w:rPr>
        <w:t>2006)</w:t>
      </w:r>
      <w:r>
        <w:fldChar w:fldCharType="end"/>
      </w:r>
      <w:r>
        <w:t>.</w:t>
      </w:r>
      <w:r w:rsidRPr="007D33A2">
        <w:t xml:space="preserve"> </w:t>
      </w:r>
      <w:r>
        <w:t>However,</w:t>
      </w:r>
      <w:r w:rsidRPr="007D33A2">
        <w:t xml:space="preserve"> they are not used in this study </w:t>
      </w:r>
      <w:r>
        <w:t xml:space="preserve">because they are noisy indicators of capital account openness </w:t>
      </w:r>
      <w:r>
        <w:fldChar w:fldCharType="begin" w:fldLock="1"/>
      </w:r>
      <w:r>
        <w:instrText>ADDIN CSL_CITATION {"citationItems":[{"id":"ITEM-1","itemData":{"DOI":"10.1016/J.ECONMOD.2019.11.013","ISSN":"0264-9993","abstract":"This paper investigates the non-linear effects of two aspects of economic openness, namely, trade openness and financial openness, on banking system stability. We use a panel of 42 emerging markets from 2000 to 2014 to test whether bank risk-taking behaviour varies with the level of openness. We find that a higher degree of trade openness promotes bank stability linearly. Conversely, the non-linear effect of financial openness on bank risk-taking is evident. When the financial system is not sufficiently open, the impact of financial openness on bank stability is insignificant. However, as the domestic financial market becomes more open, financial openness can help discipline the behaviour of banks, making them more stable. We also find evidence that these effects are transmitted through the market discipline channel. Our findings highlight the importance of strengthening the domestic regulatory framework and transparency as the economy becomes more integrated.","author":[{"dropping-particle":"","family":"Bui","given":"Tung Duy","non-dropping-particle":"","parse-names":false,"suffix":""},{"dropping-particle":"","family":"Bui","given":"Hoai Thi Mai","non-dropping-particle":"","parse-names":false,"suffix":""}],"container-title":"Economic Modelling","id":"ITEM-1","issued":{"date-parts":[["2020","9","1"]]},"page":"790-803","publisher":"North-Holland","title":"Threshold effect of economic openness on bank risk-taking: Evidence from emerging markets","type":"article-journal","volume":"91"},"uris":["http://www.mendeley.com/documents/?uuid=65f551cd-f8df-3c51-ab3f-90d7342972c5"]}],"mendeley":{"formattedCitation":"(Bui &amp; Bui, 2020)","plainTextFormattedCitation":"(Bui &amp; Bui, 2020)","previouslyFormattedCitation":"(Bui &amp; Bui, 2020)"},"properties":{"noteIndex":0},"schema":"https://github.com/citation-style-language/schema/raw/master/csl-citation.json"}</w:instrText>
      </w:r>
      <w:r>
        <w:fldChar w:fldCharType="separate"/>
      </w:r>
      <w:r w:rsidRPr="009B1677">
        <w:rPr>
          <w:noProof/>
        </w:rPr>
        <w:t xml:space="preserve">(Bui </w:t>
      </w:r>
      <w:r w:rsidR="00C62879">
        <w:rPr>
          <w:noProof/>
        </w:rPr>
        <w:t>and</w:t>
      </w:r>
      <w:r w:rsidRPr="009B1677">
        <w:rPr>
          <w:noProof/>
        </w:rPr>
        <w:t xml:space="preserve"> Bui, 2020)</w:t>
      </w:r>
      <w:r>
        <w:fldChar w:fldCharType="end"/>
      </w:r>
      <w:r w:rsidRPr="007D33A2">
        <w:t xml:space="preserve">. </w:t>
      </w:r>
    </w:p>
    <w:p w14:paraId="0A72C2F3" w14:textId="25D0E6E5" w:rsidR="0012305F" w:rsidRDefault="0012305F" w:rsidP="0012305F">
      <w:r w:rsidRPr="002A1517">
        <w:t xml:space="preserve">Finally, we consider </w:t>
      </w:r>
      <w:r>
        <w:t xml:space="preserve">the </w:t>
      </w:r>
      <w:r w:rsidRPr="002A1517">
        <w:t>various control variables used to explain income inequality</w:t>
      </w:r>
      <w:r w:rsidRPr="004718C2">
        <w:t xml:space="preserve"> by following </w:t>
      </w:r>
      <w:r>
        <w:t xml:space="preserve">the </w:t>
      </w:r>
      <w:r w:rsidRPr="004718C2">
        <w:t>extensive literature on the determinants of income inequality</w:t>
      </w:r>
      <w:r>
        <w:t xml:space="preserve"> </w:t>
      </w:r>
      <w:r>
        <w:fldChar w:fldCharType="begin" w:fldLock="1"/>
      </w:r>
      <w:r>
        <w:instrText>ADDIN CSL_CITATION {"citationItems":[{"id":"ITEM-1","itemData":{"DOI":"10.1007/S10887-007-9010-6","ISSN":"1573-7020","abstract":"Financial development disproportionately boosts incomes of the poorest quintile and reduces income inequality. About 40% of the long-run impact of financial development on the income growth of the poorest quintile is the result of reductions in income inequality, while 60% is due to the impact of financial development on aggregate economic growth. Furthermore, financial development is associated with a drop in the fraction of the population living on less than $ 1 a day, a result which holds when conditioning on average growth. These findings emphasize the importance of the financial system for the poor.","author":[{"dropping-particle":"","family":"Beck","given":"Thorsten","non-dropping-particle":"","parse-names":false,"suffix":""},{"dropping-particle":"","family":"Demirgüç-Kunt","given":"Asli","non-dropping-particle":"","parse-names":false,"suffix":""},{"dropping-particle":"","family":"Levine","given":"Ross","non-dropping-particle":"","parse-names":false,"suffix":""}],"container-title":"Journal of Economic Growth 2007 12:1","id":"ITEM-1","issue":"1","issued":{"date-parts":[["2007","3","6"]]},"page":"27-49","publisher":"Springer","title":"Finance, inequality and the poor","type":"article-journal","volume":"12"},"uris":["http://www.mendeley.com/documents/?uuid=ef69fbab-06d2-3848-95c2-1b7688171225"]},{"id":"ITEM-2","itemData":{"DOI":"10.1093/ROF/RFT039","ISSN":"1572-3097","abstract":"This article provides cross-country evidence that variations in bank regulatory policies result in differences in income distribution. In particular, the overall liberalization of banking systems decreases income inequality significantly. However, this effect becomes insignificant for countries with low levels of economic and institutional development and for market-based economies. Among liberalization policies, credit and interest rate controls have the most significant negative effect on inequality. Privatizations and liberalization of international capital flows also decrease income inequality; the latter also increases the income share of the relatively poor. In contrast, liberalization of securities markets increases income inequality substantially. © 2013 The Authors 2013.","author":[{"dropping-particle":"","family":"Delis","given":"Manthos D.","non-dropping-particle":"","parse-names":false,"suffix":""},{"dropping-particle":"","family":"Hasan","given":"Iftekhar","non-dropping-particle":"","parse-names":false,"suffix":""},{"dropping-particle":"","family":"Kazakis","given":"Pantelis","non-dropping-particle":"","parse-names":false,"suffix":""}],"container-title":"Review of Finance","id":"ITEM-2","issue":"5","issued":{"date-parts":[["2014","8","1"]]},"page":"1811-1846","publisher":"Oxford Academic","title":"Bank Regulations and Income Inequality: Empirical Evidence","type":"article-journal","volume":"18"},"uris":["http://www.mendeley.com/documents/?uuid=9e2d398c-627b-379c-b7be-f23d9d5390dd"]}],"mendeley":{"formattedCitation":"(Beck et al., 2007; Delis et al., 2014)","plainTextFormattedCitation":"(Beck et al., 2007; Delis et al., 2014)","previouslyFormattedCitation":"(Beck et al., 2007; Delis et al., 2014)"},"properties":{"noteIndex":0},"schema":"https://github.com/citation-style-language/schema/raw/master/csl-citation.json"}</w:instrText>
      </w:r>
      <w:r>
        <w:fldChar w:fldCharType="separate"/>
      </w:r>
      <w:r w:rsidRPr="00F3650D">
        <w:rPr>
          <w:noProof/>
        </w:rPr>
        <w:t>(Beck et al., 2007; Delis et al., 2014)</w:t>
      </w:r>
      <w:r>
        <w:fldChar w:fldCharType="end"/>
      </w:r>
      <w:r>
        <w:t>. We</w:t>
      </w:r>
      <w:r w:rsidRPr="004718C2">
        <w:t xml:space="preserve"> use the </w:t>
      </w:r>
      <w:r>
        <w:t xml:space="preserve">changes in the </w:t>
      </w:r>
      <w:r w:rsidRPr="004718C2">
        <w:t xml:space="preserve">log of GDP per capita </w:t>
      </w:r>
      <w:r>
        <w:t>(</w:t>
      </w:r>
      <w:r w:rsidRPr="008934B1">
        <w:rPr>
          <w:i/>
          <w:iCs/>
        </w:rPr>
        <w:t>Growth</w:t>
      </w:r>
      <w:r>
        <w:t>)</w:t>
      </w:r>
      <w:r w:rsidRPr="004718C2">
        <w:t xml:space="preserve"> to account for the impact of economic growth </w:t>
      </w:r>
      <w:r>
        <w:t>on income distribution, the CPI-based inflation rate (</w:t>
      </w:r>
      <w:r w:rsidRPr="008934B1">
        <w:rPr>
          <w:i/>
          <w:iCs/>
        </w:rPr>
        <w:t>Inf</w:t>
      </w:r>
      <w:r>
        <w:t>) to control for monetary condition, and the log of the population size (</w:t>
      </w:r>
      <w:r w:rsidRPr="008934B1">
        <w:rPr>
          <w:i/>
          <w:iCs/>
        </w:rPr>
        <w:t>Pop</w:t>
      </w:r>
      <w:r>
        <w:t>) to control for the demographics in each country. T</w:t>
      </w:r>
      <w:r w:rsidRPr="004718C2">
        <w:t>o account for the activity and growth of government over the sample period, we include the ratio of central government expenditures as a share of</w:t>
      </w:r>
      <w:r>
        <w:t xml:space="preserve"> </w:t>
      </w:r>
      <w:r w:rsidRPr="004718C2">
        <w:t>GDP</w:t>
      </w:r>
      <w:r>
        <w:t xml:space="preserve"> (</w:t>
      </w:r>
      <w:proofErr w:type="spellStart"/>
      <w:r w:rsidRPr="008934B1">
        <w:rPr>
          <w:i/>
          <w:iCs/>
        </w:rPr>
        <w:t>GovExp</w:t>
      </w:r>
      <w:proofErr w:type="spellEnd"/>
      <w:r>
        <w:t xml:space="preserve">). </w:t>
      </w:r>
      <w:r w:rsidRPr="004718C2">
        <w:t xml:space="preserve">Higher government spending may disproportionately help the poor if used efficiently, but </w:t>
      </w:r>
      <w:r>
        <w:t>it</w:t>
      </w:r>
      <w:r w:rsidRPr="004718C2">
        <w:t xml:space="preserve"> may be wasteful</w:t>
      </w:r>
      <w:r>
        <w:t xml:space="preserve"> when </w:t>
      </w:r>
      <w:r w:rsidRPr="004718C2">
        <w:t xml:space="preserve">institutions are weak </w:t>
      </w:r>
      <w:r>
        <w:fldChar w:fldCharType="begin" w:fldLock="1"/>
      </w:r>
      <w:r>
        <w:instrText>ADDIN CSL_CITATION {"citationItems":[{"id":"ITEM-1","itemData":{"DOI":"10.1093/ROF/RFT039","ISSN":"1572-3097","abstract":"This article provides cross-country evidence that variations in bank regulatory policies result in differences in income distribution. In particular, the overall liberalization of banking systems decreases income inequality significantly. However, this effect becomes insignificant for countries with low levels of economic and institutional development and for market-based economies. Among liberalization policies, credit and interest rate controls have the most significant negative effect on inequality. Privatizations and liberalization of international capital flows also decrease income inequality; the latter also increases the income share of the relatively poor. In contrast, liberalization of securities markets increases income inequality substantially. © 2013 The Authors 2013.","author":[{"dropping-particle":"","family":"Delis","given":"Manthos D.","non-dropping-particle":"","parse-names":false,"suffix":""},{"dropping-particle":"","family":"Hasan","given":"Iftekhar","non-dropping-particle":"","parse-names":false,"suffix":""},{"dropping-particle":"","family":"Kazakis","given":"Pantelis","non-dropping-particle":"","parse-names":false,"suffix":""}],"container-title":"Review of Finance","id":"ITEM-1","issue":"5","issued":{"date-parts":[["2014","8","1"]]},"page":"1811-1846","publisher":"Oxford Academic","title":"Bank Regulations and Income Inequality: Empirical Evidence","type":"article-journal","volume":"18"},"uris":["http://www.mendeley.com/documents/?uuid=9e2d398c-627b-379c-b7be-f23d9d5390dd"]}],"mendeley":{"formattedCitation":"(Delis et al., 2014)","plainTextFormattedCitation":"(Delis et al., 2014)","previouslyFormattedCitation":"(Delis et al., 2014)"},"properties":{"noteIndex":0},"schema":"https://github.com/citation-style-language/schema/raw/master/csl-citation.json"}</w:instrText>
      </w:r>
      <w:r>
        <w:fldChar w:fldCharType="separate"/>
      </w:r>
      <w:r w:rsidRPr="009B1677">
        <w:rPr>
          <w:noProof/>
        </w:rPr>
        <w:t>(Delis et al., 2014)</w:t>
      </w:r>
      <w:r>
        <w:fldChar w:fldCharType="end"/>
      </w:r>
      <w:r w:rsidRPr="004718C2">
        <w:t xml:space="preserve">. </w:t>
      </w:r>
      <w:r>
        <w:t>In addition,</w:t>
      </w:r>
      <w:r w:rsidRPr="006327C0">
        <w:t xml:space="preserve"> </w:t>
      </w:r>
      <w:r>
        <w:t>some measure of human capital is also included as a control variable in most inequality equations</w:t>
      </w:r>
      <w:r w:rsidRPr="006327C0">
        <w:t xml:space="preserve">. Typically, education proxies for human capital. However, because there </w:t>
      </w:r>
      <w:r>
        <w:t>is</w:t>
      </w:r>
      <w:r w:rsidRPr="006327C0">
        <w:t xml:space="preserve"> an ongoing debate on quantity vs quality in education, the standard education data available via</w:t>
      </w:r>
      <w:r>
        <w:t xml:space="preserve"> </w:t>
      </w:r>
      <w:r>
        <w:fldChar w:fldCharType="begin" w:fldLock="1"/>
      </w:r>
      <w:r w:rsidR="002E36DB">
        <w:instrText>ADDIN CSL_CITATION {"citationItems":[{"id":"ITEM-1","itemData":{"DOI":"10.1093/OEP/53.3.541","ISSN":"0030-7653","abstract":"This paper presents a data set that improves the measurement of educational attainment for a broad group of countries. We extend our previous estimates to 1995 for educational attainment for the population over ages 15 and 25. We also provide projections for 2000. We discuss the estimation method for the measures of educational attainment and relate our estimates to alternative international measures of human capital stocks.","author":[{"dropping-particle":"","family":"Barro","given":"Robert J.","non-dropping-particle":"","parse-names":false,"suffix":""},{"dropping-particle":"","family":"Lee","given":"Jong Wha","non-dropping-particle":"","parse-names":false,"suffix":""}],"container-title":"Oxford Economic Papers","id":"ITEM-1","issue":"3","issued":{"date-parts":[["2001","7","1"]]},"page":"541-563","publisher":"Oxford Academic","title":"International data on educational attainment: updates and implications","type":"article-journal","volume":"53"},"uris":["http://www.mendeley.com/documents/?uuid=b084d801-2066-37f6-9c8b-7a01457fb1ec"]}],"mendeley":{"formattedCitation":"(Barro &amp; Lee, 2001)","manualFormatting":"Barro and Lee (2001)","plainTextFormattedCitation":"(Barro &amp; Lee, 2001)","previouslyFormattedCitation":"(Barro &amp; Lee, 2001)"},"properties":{"noteIndex":0},"schema":"https://github.com/citation-style-language/schema/raw/master/csl-citation.json"}</w:instrText>
      </w:r>
      <w:r>
        <w:fldChar w:fldCharType="separate"/>
      </w:r>
      <w:r w:rsidRPr="00CF3973">
        <w:rPr>
          <w:noProof/>
        </w:rPr>
        <w:t xml:space="preserve">Barro </w:t>
      </w:r>
      <w:r>
        <w:rPr>
          <w:noProof/>
        </w:rPr>
        <w:t>and</w:t>
      </w:r>
      <w:r w:rsidRPr="00CF3973">
        <w:rPr>
          <w:noProof/>
        </w:rPr>
        <w:t xml:space="preserve"> Lee </w:t>
      </w:r>
      <w:r>
        <w:rPr>
          <w:noProof/>
        </w:rPr>
        <w:t>(</w:t>
      </w:r>
      <w:r w:rsidRPr="00CF3973">
        <w:rPr>
          <w:noProof/>
        </w:rPr>
        <w:t>2001)</w:t>
      </w:r>
      <w:r>
        <w:fldChar w:fldCharType="end"/>
      </w:r>
      <w:r w:rsidRPr="006327C0">
        <w:t xml:space="preserve"> may not </w:t>
      </w:r>
      <w:r>
        <w:t>be</w:t>
      </w:r>
      <w:r w:rsidRPr="006327C0">
        <w:t xml:space="preserve"> a good control</w:t>
      </w:r>
      <w:r>
        <w:t xml:space="preserve"> </w:t>
      </w:r>
      <w:r>
        <w:fldChar w:fldCharType="begin" w:fldLock="1"/>
      </w:r>
      <w:r>
        <w:instrText>ADDIN CSL_CITATION {"citationItems":[{"id":"ITEM-1","itemData":{"DOI":"10.1016/J.ECONMOD.2021.01.003","ISSN":"0264-9993","abstract":"This paper investigates the impact of international bank flows from G10 lender countries on income inequality in 74 borrower countries over 1999–2013. Specifically, we examine the role of international bank flows contingent upon the Basel 2 capital regulation and the level of financial market development in the borrower countries. First, we find that improvements in the borrower country risk weights due to rating upgrades under the Basel 2 framework significantly increase bank flows, leading to improvements in income inequality. Second, we find that the level of financial market development is also important. We report that a well-functioning financial market helps the poor access credit and thereby reduces inequality. Moreover, we employ threshold estimations to identify the thresholds for each of the financial development measures that borrower countries need to reach before realizing the potential reductions in income inequality from international bank financing.","author":[{"dropping-particle":"","family":"Hasan","given":"Iftekhar","non-dropping-particle":"","parse-names":false,"suffix":""},{"dropping-particle":"","family":"Hassan","given":"Gazi","non-dropping-particle":"","parse-names":false,"suffix":""},{"dropping-particle":"","family":"Kim","given":"Suk Joong","non-dropping-particle":"","parse-names":false,"suffix":""},{"dropping-particle":"","family":"Wu","given":"Eliza","non-dropping-particle":"","parse-names":false,"suffix":""}],"container-title":"Economic Modelling","id":"ITEM-1","issued":{"date-parts":[["2021","5","1"]]},"page":"136-153","publisher":"North-Holland","title":"The impact of risk-based capital rules for international lending on income inequality: Global evidence","type":"article-journal","volume":"98"},"uris":["http://www.mendeley.com/documents/?uuid=eec88d2f-263c-314c-b377-91eae192ba40"]}],"mendeley":{"formattedCitation":"(Hasan et al., 2021)","plainTextFormattedCitation":"(Hasan et al., 2021)","previouslyFormattedCitation":"(Hasan et al., 2021)"},"properties":{"noteIndex":0},"schema":"https://github.com/citation-style-language/schema/raw/master/csl-citation.json"}</w:instrText>
      </w:r>
      <w:r>
        <w:fldChar w:fldCharType="separate"/>
      </w:r>
      <w:r w:rsidRPr="00F3650D">
        <w:rPr>
          <w:noProof/>
        </w:rPr>
        <w:t>(Hasan et al., 2021)</w:t>
      </w:r>
      <w:r>
        <w:fldChar w:fldCharType="end"/>
      </w:r>
      <w:r>
        <w:t>.</w:t>
      </w:r>
      <w:r w:rsidRPr="006327C0">
        <w:t xml:space="preserve"> Since</w:t>
      </w:r>
      <w:r>
        <w:t xml:space="preserve"> </w:t>
      </w:r>
      <w:r>
        <w:fldChar w:fldCharType="begin" w:fldLock="1"/>
      </w:r>
      <w:r w:rsidR="002E36DB">
        <w:instrText>ADDIN CSL_CITATION {"citationItems":[{"id":"ITEM-1","itemData":{"DOI":"10.1111/J.1468-0297.2008.02136.X","ISSN":"0013-0133","abstract":"This article presents a model in which inequality affects per capita income when individuals decide to invest in education taking into account their life expectancy, which depends to a large extent on the human capital of their parents. Our results show the existence of multiple steady states depending on the initial distribution of education. The low steady state is a poverty trap in which children raised in poor families have low life expectancy and work as non-educated workers. The empirical evidence suggests that the life expectancy mechanism explains a major part of the relationship between inequality and human capital accumulation. © Copyright 2008 by the Royal Economic Society (Registered Charity No. 231508).","author":[{"dropping-particle":"","family":"Castelló-Climent","given":"Amparo","non-dropping-particle":"","parse-names":false,"suffix":""},{"dropping-particle":"","family":"Doménech","given":"Rafael","non-dropping-particle":"","parse-names":false,"suffix":""}],"container-title":"The Economic Journal","id":"ITEM-1","issue":"528","issued":{"date-parts":[["2008","4","1"]]},"page":"653-677","publisher":"Oxford Academic","title":"Human Capital Inequality, Life Expectancy and Economic Growth","type":"article-journal","volume":"118"},"uris":["http://www.mendeley.com/documents/?uuid=43b6dbcb-b15e-33c6-ae6f-45c7e25ba3ea"]}],"mendeley":{"formattedCitation":"(Castelló-Climent &amp; Doménech, 2008)","manualFormatting":"Castelló-Climent and Doménech (2008)","plainTextFormattedCitation":"(Castelló-Climent &amp; Doménech, 2008)","previouslyFormattedCitation":"(Castelló-Climent &amp; Doménech, 2008)"},"properties":{"noteIndex":0},"schema":"https://github.com/citation-style-language/schema/raw/master/csl-citation.json"}</w:instrText>
      </w:r>
      <w:r>
        <w:fldChar w:fldCharType="separate"/>
      </w:r>
      <w:r w:rsidRPr="00CF3973">
        <w:rPr>
          <w:noProof/>
        </w:rPr>
        <w:t xml:space="preserve">Castelló-Climent </w:t>
      </w:r>
      <w:r>
        <w:rPr>
          <w:noProof/>
        </w:rPr>
        <w:t>and</w:t>
      </w:r>
      <w:r w:rsidRPr="00CF3973">
        <w:rPr>
          <w:noProof/>
        </w:rPr>
        <w:t xml:space="preserve"> Doménech </w:t>
      </w:r>
      <w:r>
        <w:rPr>
          <w:noProof/>
        </w:rPr>
        <w:t>(</w:t>
      </w:r>
      <w:r w:rsidRPr="00CF3973">
        <w:rPr>
          <w:noProof/>
        </w:rPr>
        <w:t>2008)</w:t>
      </w:r>
      <w:r>
        <w:fldChar w:fldCharType="end"/>
      </w:r>
      <w:r w:rsidRPr="006327C0">
        <w:t xml:space="preserve"> document that life expectancy is strongly linked to </w:t>
      </w:r>
      <w:r>
        <w:t xml:space="preserve">human capital accumulation, </w:t>
      </w:r>
      <w:r w:rsidRPr="006327C0">
        <w:t xml:space="preserve">we use life expectancy </w:t>
      </w:r>
      <w:r>
        <w:t>(</w:t>
      </w:r>
      <w:proofErr w:type="spellStart"/>
      <w:r w:rsidRPr="008934B1">
        <w:rPr>
          <w:i/>
          <w:iCs/>
        </w:rPr>
        <w:t>LifExp</w:t>
      </w:r>
      <w:proofErr w:type="spellEnd"/>
      <w:r>
        <w:t xml:space="preserve">) </w:t>
      </w:r>
      <w:r w:rsidRPr="006327C0">
        <w:t>as</w:t>
      </w:r>
      <w:r>
        <w:t xml:space="preserve"> </w:t>
      </w:r>
      <w:r w:rsidRPr="006327C0">
        <w:t>a proxy for human capital in our estimations.</w:t>
      </w:r>
      <w:r>
        <w:t xml:space="preserve"> </w:t>
      </w:r>
      <w:r w:rsidRPr="004718C2">
        <w:t>Because we use estimators based on fixed effects, we do not control for time-invariant variables.</w:t>
      </w:r>
      <w:r w:rsidRPr="001673BF">
        <w:rPr>
          <w:rFonts w:ascii="CharisSIL" w:hAnsi="CharisSIL" w:cs="CharisSIL"/>
          <w:sz w:val="16"/>
          <w:szCs w:val="16"/>
        </w:rPr>
        <w:t xml:space="preserve"> </w:t>
      </w:r>
      <w:r>
        <w:t>All</w:t>
      </w:r>
      <w:r w:rsidRPr="001673BF">
        <w:t xml:space="preserve"> control variables are obtained from</w:t>
      </w:r>
      <w:r>
        <w:t xml:space="preserve"> the </w:t>
      </w:r>
      <w:r w:rsidRPr="008934B1">
        <w:rPr>
          <w:i/>
          <w:iCs/>
        </w:rPr>
        <w:t>WDI</w:t>
      </w:r>
      <w:r>
        <w:t xml:space="preserve"> </w:t>
      </w:r>
      <w:r w:rsidRPr="001673BF">
        <w:t>database.</w:t>
      </w:r>
      <w:r>
        <w:t xml:space="preserve"> Detailed variable descriptions are provided in Appendix A. </w:t>
      </w:r>
    </w:p>
    <w:p w14:paraId="6FAD96A0" w14:textId="43E94378" w:rsidR="0012305F" w:rsidRDefault="0012305F" w:rsidP="0012305F">
      <w:r>
        <w:t>We use data from 1994 to 2017 for 71 countries because of data availability for important variables such as FD and economic openness.</w:t>
      </w:r>
      <w:r w:rsidRPr="00554C3F">
        <w:t xml:space="preserve"> Then, as is standard in the literature</w:t>
      </w:r>
      <w:r>
        <w:t xml:space="preserve"> </w:t>
      </w:r>
      <w:r>
        <w:fldChar w:fldCharType="begin" w:fldLock="1"/>
      </w:r>
      <w:r>
        <w:instrText>ADDIN CSL_CITATION {"citationItems":[{"id":"ITEM-1","itemData":{"DOI":"10.1016/J.EJPOLECO.2017.04.007","ISSN":"0176-2680","abstract":"Using a panel fixed effects model for a sample of 121 countries covering 1975–2005, we examine how financial development, financial liberalization and banking crises are related to income inequality. In contrast with most previous work, our results suggest that all finance variables increase income inequality. The level of financial development conditions the impact of financial liberalization on inequality. Also the quality of political institutions conditions the impact of financial liberalization on income inequality, in contrast to the quality of economic institutions. Our main findings are robust for using random effects, cross-country regressions and legal origin as instrument for financial development.","author":[{"dropping-particle":"","family":"Haan","given":"Jakob","non-dropping-particle":"de","parse-names":false,"suffix":""},{"dropping-particle":"","family":"Sturm","given":"Jan Egbert","non-dropping-particle":"","parse-names":false,"suffix":""}],"container-title":"European Journal of Political Economy","id":"ITEM-1","issued":{"date-parts":[["2017","12","1"]]},"page":"171-195","publisher":"North-Holland","title":"Finance and income inequality: A review and new evidence","type":"article-journal","volume":"50"},"uris":["http://www.mendeley.com/documents/?uuid=20cb9c97-609f-344b-ba97-cb9566261d29"]},{"id":"ITEM-2","itemData":{"DOI":"10.1093/ROF/RFT039","ISSN":"1572-3097","abstract":"This article provides cross-country evidence that variations in bank regulatory policies result in differences in income distribution. In particular, the overall liberalization of banking systems decreases income inequality significantly. However, this effect becomes insignificant for countries with low levels of economic and institutional development and for market-based economies. Among liberalization policies, credit and interest rate controls have the most significant negative effect on inequality. Privatizations and liberalization of international capital flows also decrease income inequality; the latter also increases the income share of the relatively poor. In contrast, liberalization of securities markets increases income inequality substantially. © 2013 The Authors 2013.","author":[{"dropping-particle":"","family":"Delis","given":"Manthos D.","non-dropping-particle":"","parse-names":false,"suffix":""},{"dropping-particle":"","family":"Hasan","given":"Iftekhar","non-dropping-particle":"","parse-names":false,"suffix":""},{"dropping-particle":"","family":"Kazakis","given":"Pantelis","non-dropping-particle":"","parse-names":false,"suffix":""}],"container-title":"Review of Finance","id":"ITEM-2","issue":"5","issued":{"date-parts":[["2014","8","1"]]},"page":"1811-1846","publisher":"Oxford Academic","title":"Bank Regulations and Income Inequality: Empirical Evidence","type":"article-journal","volume":"18"},"uris":["http://www.mendeley.com/documents/?uuid=9e2d398c-627b-379c-b7be-f23d9d5390dd"]},{"id":"ITEM-3","itemData":{"DOI":"10.1007/S00181-019-01808-Z/TABLES/9","ISSN":"14358921","abstract":"Rising income inequality coinciding with financial liberalization has stimulated extensive studies on the possible links between income inequality and different forms of financial liberalization, both inputs and outputs, since the 1990s. Nonetheless, empirical investigations remain inconclusive. To provide new and robust evidence, this study investigates the distributional repercussions of financial liberalization and the role played by democratization in this process. Focusing on the outcome measures of financial liberalization, we find, in a panel of developing and developed countries for 1989–2011, that (1) financial openness alleviates income inequality, particularly for less democratic countries; (2) stock market development mitigates income inequality, whereas its volatility exacerbates it, with both effects decreasing with democratization; (3) banking development strengthens income inequality, whereas its volatility alleviates it, with both effects again moderating with democratization; and (4) these effects are mediated by human capital accumulation and entrepreneurship development.The data thus suggest that financial reforms toward capital account openness and more liquid, stable stock markets are beneficial to income distribution, as such reforms allow more previously excluded households and firms to access financial funds and services, thereby increasing human capital and entrepreneurship, especially in less democratic countries.","author":[{"dropping-particle":"","family":"Kim","given":"Dong Hyeon","non-dropping-particle":"","parse-names":false,"suffix":""},{"dropping-particle":"","family":"Hsieh","given":"Joyce","non-dropping-particle":"","parse-names":false,"suffix":""},{"dropping-particle":"","family":"Lin","given":"Shu Chin","non-dropping-particle":"","parse-names":false,"suffix":""}],"container-title":"Empirical Economics","id":"ITEM-3","issue":"3","issued":{"date-parts":[["2021","3","1"]]},"page":"1245-1281","publisher":"Springer Science and Business Media Deutschland GmbH","title":"Financial liberalization, political institutions, and income inequality","type":"article-journal","volume":"60"},"uris":["http://www.mendeley.com/documents/?uuid=da3ffcc7-9c03-3dc9-bb1d-ce8c8f78b8b3"]}],"mendeley":{"formattedCitation":"(de Haan &amp; Sturm, 2017; Delis et al., 2014; Kim et al., 2021)","plainTextFormattedCitation":"(de Haan &amp; Sturm, 2017; Delis et al., 2014; Kim et al., 2021)","previouslyFormattedCitation":"(de Haan &amp; Sturm, 2017; Delis et al., 2014; Kim et al., 2021)"},"properties":{"noteIndex":0},"schema":"https://github.com/citation-style-language/schema/raw/master/csl-citation.json"}</w:instrText>
      </w:r>
      <w:r>
        <w:fldChar w:fldCharType="separate"/>
      </w:r>
      <w:r w:rsidRPr="00554C3F">
        <w:rPr>
          <w:noProof/>
        </w:rPr>
        <w:t xml:space="preserve">(de Haan </w:t>
      </w:r>
      <w:r w:rsidR="00C62879">
        <w:rPr>
          <w:noProof/>
        </w:rPr>
        <w:lastRenderedPageBreak/>
        <w:t>and</w:t>
      </w:r>
      <w:r w:rsidRPr="00554C3F">
        <w:rPr>
          <w:noProof/>
        </w:rPr>
        <w:t xml:space="preserve"> Sturm, 2017; Delis et al., 2014; Kim et al., 2021)</w:t>
      </w:r>
      <w:r>
        <w:fldChar w:fldCharType="end"/>
      </w:r>
      <w:r w:rsidRPr="00554C3F">
        <w:t xml:space="preserve">, we create </w:t>
      </w:r>
      <w:r>
        <w:t>3</w:t>
      </w:r>
      <w:r w:rsidRPr="00554C3F">
        <w:t xml:space="preserve">-year averaged data for </w:t>
      </w:r>
      <w:r>
        <w:t>eight</w:t>
      </w:r>
      <w:r w:rsidRPr="00554C3F">
        <w:t xml:space="preserve"> non-overlapping periods: 19</w:t>
      </w:r>
      <w:r>
        <w:t>94</w:t>
      </w:r>
      <w:r w:rsidRPr="00554C3F">
        <w:t>–199</w:t>
      </w:r>
      <w:r>
        <w:t>6</w:t>
      </w:r>
      <w:r w:rsidRPr="00554C3F">
        <w:t>, 199</w:t>
      </w:r>
      <w:r>
        <w:t>7</w:t>
      </w:r>
      <w:r w:rsidRPr="00554C3F">
        <w:t>–199</w:t>
      </w:r>
      <w:r>
        <w:t>9</w:t>
      </w:r>
      <w:r w:rsidRPr="00554C3F">
        <w:t>, 200</w:t>
      </w:r>
      <w:r>
        <w:t>0</w:t>
      </w:r>
      <w:r w:rsidRPr="00554C3F">
        <w:t>–200</w:t>
      </w:r>
      <w:r>
        <w:t>2</w:t>
      </w:r>
      <w:r w:rsidRPr="00554C3F">
        <w:t>, 200</w:t>
      </w:r>
      <w:r>
        <w:t>3</w:t>
      </w:r>
      <w:r w:rsidRPr="00554C3F">
        <w:t>–200</w:t>
      </w:r>
      <w:r>
        <w:t xml:space="preserve">5, 2006-2008, 2009-2011, 2012-2014, and 2015-2017, </w:t>
      </w:r>
      <w:r w:rsidRPr="00554C3F">
        <w:t xml:space="preserve">to mitigate any </w:t>
      </w:r>
      <w:r w:rsidRPr="008D255F">
        <w:t>noise associated with short-run economic fluctuations. To maintain a balance</w:t>
      </w:r>
      <w:r>
        <w:t>d</w:t>
      </w:r>
      <w:r w:rsidRPr="008D255F">
        <w:t xml:space="preserve"> dataset, variables with missing values are imputed. Table 1 provides descriptive statistics for all variables in the sample of 568 observations. Our dependent variable is the </w:t>
      </w:r>
      <w:proofErr w:type="spellStart"/>
      <w:r w:rsidRPr="008D255F">
        <w:t>GrossGini</w:t>
      </w:r>
      <w:proofErr w:type="spellEnd"/>
      <w:r w:rsidRPr="008D255F">
        <w:t xml:space="preserve"> which has an average of 46.68 and range</w:t>
      </w:r>
      <w:r>
        <w:t>d</w:t>
      </w:r>
      <w:r w:rsidRPr="008D255F">
        <w:t xml:space="preserve"> from a minimum of 24.23 (Ukraine for the period of 2000-2002) to 69.03 (South Africa for the period of 2000-2002). Turning to our main independent variable, private credit by deposit money banks and other financial institutions (</w:t>
      </w:r>
      <w:proofErr w:type="spellStart"/>
      <w:r w:rsidRPr="008D255F">
        <w:rPr>
          <w:i/>
          <w:iCs/>
        </w:rPr>
        <w:t>PrivateCredit</w:t>
      </w:r>
      <w:proofErr w:type="spellEnd"/>
      <w:r w:rsidRPr="008D255F">
        <w:t>) and broad money (</w:t>
      </w:r>
      <w:proofErr w:type="spellStart"/>
      <w:r w:rsidRPr="008D255F">
        <w:rPr>
          <w:i/>
          <w:iCs/>
        </w:rPr>
        <w:t>LiquidLiabilities</w:t>
      </w:r>
      <w:proofErr w:type="spellEnd"/>
      <w:r w:rsidRPr="008D255F">
        <w:t>) are, on average, 41.26 (3.7201) and 50.51 (3.9222) per cent of GDP, respectively. In addition, Table 2 reports the correlation coefficients among all dependent, independent, and control variables.</w:t>
      </w:r>
      <w:r w:rsidRPr="008D255F">
        <w:rPr>
          <w:rFonts w:ascii="AdvGulliv-R" w:hAnsi="AdvGulliv-R" w:cs="AdvGulliv-R"/>
          <w:color w:val="000000"/>
          <w:sz w:val="16"/>
          <w:szCs w:val="16"/>
        </w:rPr>
        <w:t xml:space="preserve"> </w:t>
      </w:r>
      <w:r w:rsidRPr="008D255F">
        <w:t xml:space="preserve">Table 2 shows that none of the variables are highly correlated, with the largest correlation coefficient being 0.7065 between </w:t>
      </w:r>
      <w:proofErr w:type="spellStart"/>
      <w:r w:rsidRPr="008D255F">
        <w:rPr>
          <w:i/>
          <w:iCs/>
        </w:rPr>
        <w:t>LifeExp</w:t>
      </w:r>
      <w:proofErr w:type="spellEnd"/>
      <w:r w:rsidRPr="008D255F">
        <w:t xml:space="preserve"> </w:t>
      </w:r>
      <w:r w:rsidR="00B15F46" w:rsidRPr="008D255F">
        <w:t xml:space="preserve">and </w:t>
      </w:r>
      <w:proofErr w:type="spellStart"/>
      <w:r w:rsidR="00B15F46" w:rsidRPr="00B15F46">
        <w:rPr>
          <w:i/>
          <w:iCs/>
        </w:rPr>
        <w:t>PrivateCredit</w:t>
      </w:r>
      <w:proofErr w:type="spellEnd"/>
      <w:r w:rsidRPr="008D255F">
        <w:t>.</w:t>
      </w:r>
    </w:p>
    <w:p w14:paraId="71787AB9" w14:textId="4F9D67B0" w:rsidR="0012305F" w:rsidRPr="004308FB" w:rsidRDefault="0012305F" w:rsidP="0012305F">
      <w:pPr>
        <w:pStyle w:val="Caption"/>
        <w:jc w:val="center"/>
        <w:rPr>
          <w:rFonts w:cstheme="majorBidi"/>
          <w:b/>
          <w:bCs/>
          <w:i w:val="0"/>
          <w:iCs w:val="0"/>
          <w:color w:val="auto"/>
          <w:sz w:val="32"/>
          <w:szCs w:val="32"/>
        </w:rPr>
      </w:pPr>
      <w:r w:rsidRPr="004308FB">
        <w:rPr>
          <w:rFonts w:cstheme="majorBidi"/>
          <w:b/>
          <w:bCs/>
          <w:i w:val="0"/>
          <w:iCs w:val="0"/>
          <w:color w:val="auto"/>
          <w:sz w:val="22"/>
          <w:szCs w:val="22"/>
        </w:rPr>
        <w:t xml:space="preserve">Table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Table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1</w:t>
      </w:r>
      <w:r w:rsidRPr="004308FB">
        <w:rPr>
          <w:rFonts w:cstheme="majorBidi"/>
          <w:b/>
          <w:bCs/>
          <w:i w:val="0"/>
          <w:iCs w:val="0"/>
          <w:color w:val="auto"/>
          <w:sz w:val="22"/>
          <w:szCs w:val="22"/>
        </w:rPr>
        <w:fldChar w:fldCharType="end"/>
      </w:r>
      <w:r w:rsidR="007D5DFF" w:rsidRPr="004308FB">
        <w:rPr>
          <w:rFonts w:cstheme="majorBidi"/>
          <w:b/>
          <w:bCs/>
          <w:i w:val="0"/>
          <w:iCs w:val="0"/>
          <w:color w:val="auto"/>
          <w:sz w:val="22"/>
          <w:szCs w:val="22"/>
        </w:rPr>
        <w:t>.</w:t>
      </w:r>
      <w:r w:rsidRPr="004308FB">
        <w:rPr>
          <w:rFonts w:cstheme="majorBidi"/>
          <w:b/>
          <w:bCs/>
          <w:i w:val="0"/>
          <w:iCs w:val="0"/>
          <w:color w:val="auto"/>
          <w:sz w:val="22"/>
          <w:szCs w:val="22"/>
        </w:rPr>
        <w:t xml:space="preserve"> Summary statistic </w:t>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768"/>
        <w:gridCol w:w="986"/>
        <w:gridCol w:w="986"/>
        <w:gridCol w:w="986"/>
        <w:gridCol w:w="986"/>
        <w:gridCol w:w="986"/>
        <w:gridCol w:w="986"/>
        <w:gridCol w:w="986"/>
      </w:tblGrid>
      <w:tr w:rsidR="0012305F" w:rsidRPr="00270339" w14:paraId="61C833C2" w14:textId="77777777" w:rsidTr="00354437">
        <w:trPr>
          <w:trHeight w:val="201"/>
          <w:jc w:val="center"/>
        </w:trPr>
        <w:tc>
          <w:tcPr>
            <w:tcW w:w="1828" w:type="dxa"/>
            <w:tcBorders>
              <w:top w:val="single" w:sz="4" w:space="0" w:color="auto"/>
              <w:bottom w:val="single" w:sz="4" w:space="0" w:color="auto"/>
            </w:tcBorders>
            <w:noWrap/>
            <w:hideMark/>
          </w:tcPr>
          <w:p w14:paraId="3608FC20"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Variable</w:t>
            </w:r>
          </w:p>
        </w:tc>
        <w:tc>
          <w:tcPr>
            <w:tcW w:w="768" w:type="dxa"/>
            <w:tcBorders>
              <w:top w:val="single" w:sz="4" w:space="0" w:color="auto"/>
              <w:bottom w:val="single" w:sz="4" w:space="0" w:color="auto"/>
            </w:tcBorders>
            <w:noWrap/>
            <w:hideMark/>
          </w:tcPr>
          <w:p w14:paraId="11BD2747"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N</w:t>
            </w:r>
          </w:p>
        </w:tc>
        <w:tc>
          <w:tcPr>
            <w:tcW w:w="986" w:type="dxa"/>
            <w:tcBorders>
              <w:top w:val="single" w:sz="4" w:space="0" w:color="auto"/>
              <w:bottom w:val="single" w:sz="4" w:space="0" w:color="auto"/>
            </w:tcBorders>
            <w:noWrap/>
            <w:hideMark/>
          </w:tcPr>
          <w:p w14:paraId="2098857E"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mean</w:t>
            </w:r>
          </w:p>
        </w:tc>
        <w:tc>
          <w:tcPr>
            <w:tcW w:w="986" w:type="dxa"/>
            <w:tcBorders>
              <w:top w:val="single" w:sz="4" w:space="0" w:color="auto"/>
              <w:bottom w:val="single" w:sz="4" w:space="0" w:color="auto"/>
            </w:tcBorders>
            <w:noWrap/>
            <w:hideMark/>
          </w:tcPr>
          <w:p w14:paraId="1645FD2E" w14:textId="77777777" w:rsidR="0012305F" w:rsidRPr="00270339" w:rsidRDefault="0012305F" w:rsidP="00354437">
            <w:pPr>
              <w:spacing w:line="240" w:lineRule="auto"/>
              <w:ind w:firstLine="0"/>
              <w:rPr>
                <w:rFonts w:cstheme="majorBidi"/>
                <w:b/>
                <w:bCs/>
                <w:sz w:val="20"/>
                <w:szCs w:val="20"/>
              </w:rPr>
            </w:pPr>
            <w:proofErr w:type="spellStart"/>
            <w:r w:rsidRPr="00270339">
              <w:rPr>
                <w:rFonts w:cstheme="majorBidi"/>
                <w:b/>
                <w:bCs/>
                <w:sz w:val="20"/>
                <w:szCs w:val="20"/>
              </w:rPr>
              <w:t>S.d.</w:t>
            </w:r>
            <w:proofErr w:type="spellEnd"/>
          </w:p>
        </w:tc>
        <w:tc>
          <w:tcPr>
            <w:tcW w:w="986" w:type="dxa"/>
            <w:tcBorders>
              <w:top w:val="single" w:sz="4" w:space="0" w:color="auto"/>
              <w:bottom w:val="single" w:sz="4" w:space="0" w:color="auto"/>
            </w:tcBorders>
            <w:noWrap/>
            <w:hideMark/>
          </w:tcPr>
          <w:p w14:paraId="160E8F5A"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min</w:t>
            </w:r>
          </w:p>
        </w:tc>
        <w:tc>
          <w:tcPr>
            <w:tcW w:w="986" w:type="dxa"/>
            <w:tcBorders>
              <w:top w:val="single" w:sz="4" w:space="0" w:color="auto"/>
              <w:bottom w:val="single" w:sz="4" w:space="0" w:color="auto"/>
            </w:tcBorders>
            <w:noWrap/>
            <w:hideMark/>
          </w:tcPr>
          <w:p w14:paraId="479E27AB"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p25</w:t>
            </w:r>
          </w:p>
        </w:tc>
        <w:tc>
          <w:tcPr>
            <w:tcW w:w="986" w:type="dxa"/>
            <w:tcBorders>
              <w:top w:val="single" w:sz="4" w:space="0" w:color="auto"/>
              <w:bottom w:val="single" w:sz="4" w:space="0" w:color="auto"/>
            </w:tcBorders>
            <w:noWrap/>
            <w:hideMark/>
          </w:tcPr>
          <w:p w14:paraId="196498E6"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p50</w:t>
            </w:r>
          </w:p>
        </w:tc>
        <w:tc>
          <w:tcPr>
            <w:tcW w:w="986" w:type="dxa"/>
            <w:tcBorders>
              <w:top w:val="single" w:sz="4" w:space="0" w:color="auto"/>
              <w:bottom w:val="single" w:sz="4" w:space="0" w:color="auto"/>
            </w:tcBorders>
            <w:noWrap/>
            <w:hideMark/>
          </w:tcPr>
          <w:p w14:paraId="434A77DC"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p75</w:t>
            </w:r>
          </w:p>
        </w:tc>
        <w:tc>
          <w:tcPr>
            <w:tcW w:w="986" w:type="dxa"/>
            <w:tcBorders>
              <w:top w:val="single" w:sz="4" w:space="0" w:color="auto"/>
              <w:bottom w:val="single" w:sz="4" w:space="0" w:color="auto"/>
            </w:tcBorders>
            <w:noWrap/>
            <w:hideMark/>
          </w:tcPr>
          <w:p w14:paraId="1AE517A1" w14:textId="77777777" w:rsidR="0012305F" w:rsidRPr="00270339" w:rsidRDefault="0012305F" w:rsidP="00354437">
            <w:pPr>
              <w:spacing w:line="240" w:lineRule="auto"/>
              <w:ind w:firstLine="0"/>
              <w:rPr>
                <w:rFonts w:cstheme="majorBidi"/>
                <w:b/>
                <w:bCs/>
                <w:sz w:val="20"/>
                <w:szCs w:val="20"/>
              </w:rPr>
            </w:pPr>
            <w:r w:rsidRPr="00270339">
              <w:rPr>
                <w:rFonts w:cstheme="majorBidi"/>
                <w:b/>
                <w:bCs/>
                <w:sz w:val="20"/>
                <w:szCs w:val="20"/>
              </w:rPr>
              <w:t>max</w:t>
            </w:r>
          </w:p>
        </w:tc>
      </w:tr>
      <w:tr w:rsidR="0012305F" w:rsidRPr="00270339" w14:paraId="3CD42369" w14:textId="77777777" w:rsidTr="00354437">
        <w:trPr>
          <w:trHeight w:val="201"/>
          <w:jc w:val="center"/>
        </w:trPr>
        <w:tc>
          <w:tcPr>
            <w:tcW w:w="1828" w:type="dxa"/>
            <w:tcBorders>
              <w:top w:val="single" w:sz="4" w:space="0" w:color="auto"/>
            </w:tcBorders>
            <w:noWrap/>
            <w:hideMark/>
          </w:tcPr>
          <w:p w14:paraId="58768320" w14:textId="77777777" w:rsidR="0012305F" w:rsidRPr="0060324C" w:rsidRDefault="0012305F" w:rsidP="00354437">
            <w:pPr>
              <w:spacing w:line="240" w:lineRule="auto"/>
              <w:ind w:firstLine="0"/>
              <w:rPr>
                <w:rFonts w:cstheme="majorBidi"/>
                <w:sz w:val="20"/>
                <w:szCs w:val="20"/>
              </w:rPr>
            </w:pPr>
            <w:bookmarkStart w:id="8" w:name="_Hlk118277484"/>
            <w:proofErr w:type="spellStart"/>
            <w:r w:rsidRPr="0060324C">
              <w:rPr>
                <w:rFonts w:cstheme="majorBidi"/>
                <w:sz w:val="20"/>
                <w:szCs w:val="20"/>
              </w:rPr>
              <w:t>GrossGini</w:t>
            </w:r>
            <w:proofErr w:type="spellEnd"/>
          </w:p>
        </w:tc>
        <w:tc>
          <w:tcPr>
            <w:tcW w:w="768" w:type="dxa"/>
            <w:tcBorders>
              <w:top w:val="single" w:sz="4" w:space="0" w:color="auto"/>
            </w:tcBorders>
            <w:noWrap/>
            <w:hideMark/>
          </w:tcPr>
          <w:p w14:paraId="559140CF"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tcBorders>
              <w:top w:val="single" w:sz="4" w:space="0" w:color="auto"/>
            </w:tcBorders>
            <w:noWrap/>
            <w:hideMark/>
          </w:tcPr>
          <w:p w14:paraId="40702B6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3.8434</w:t>
            </w:r>
          </w:p>
        </w:tc>
        <w:tc>
          <w:tcPr>
            <w:tcW w:w="986" w:type="dxa"/>
            <w:tcBorders>
              <w:top w:val="single" w:sz="4" w:space="0" w:color="auto"/>
            </w:tcBorders>
            <w:noWrap/>
            <w:hideMark/>
          </w:tcPr>
          <w:p w14:paraId="2A3DDEF8"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0.1451</w:t>
            </w:r>
          </w:p>
        </w:tc>
        <w:tc>
          <w:tcPr>
            <w:tcW w:w="986" w:type="dxa"/>
            <w:tcBorders>
              <w:top w:val="single" w:sz="4" w:space="0" w:color="auto"/>
            </w:tcBorders>
            <w:noWrap/>
            <w:hideMark/>
          </w:tcPr>
          <w:p w14:paraId="229F8DB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3.1877</w:t>
            </w:r>
          </w:p>
        </w:tc>
        <w:tc>
          <w:tcPr>
            <w:tcW w:w="986" w:type="dxa"/>
            <w:tcBorders>
              <w:top w:val="single" w:sz="4" w:space="0" w:color="auto"/>
            </w:tcBorders>
            <w:noWrap/>
            <w:hideMark/>
          </w:tcPr>
          <w:p w14:paraId="5E0B584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3.7861</w:t>
            </w:r>
          </w:p>
        </w:tc>
        <w:tc>
          <w:tcPr>
            <w:tcW w:w="986" w:type="dxa"/>
            <w:tcBorders>
              <w:top w:val="single" w:sz="4" w:space="0" w:color="auto"/>
            </w:tcBorders>
            <w:noWrap/>
            <w:hideMark/>
          </w:tcPr>
          <w:p w14:paraId="74457BBE"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3.8498</w:t>
            </w:r>
          </w:p>
        </w:tc>
        <w:tc>
          <w:tcPr>
            <w:tcW w:w="986" w:type="dxa"/>
            <w:tcBorders>
              <w:top w:val="single" w:sz="4" w:space="0" w:color="auto"/>
            </w:tcBorders>
            <w:noWrap/>
            <w:hideMark/>
          </w:tcPr>
          <w:p w14:paraId="28A928D4"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3.9170</w:t>
            </w:r>
          </w:p>
        </w:tc>
        <w:tc>
          <w:tcPr>
            <w:tcW w:w="986" w:type="dxa"/>
            <w:tcBorders>
              <w:top w:val="single" w:sz="4" w:space="0" w:color="auto"/>
            </w:tcBorders>
            <w:noWrap/>
            <w:hideMark/>
          </w:tcPr>
          <w:p w14:paraId="7C9009C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4.2346</w:t>
            </w:r>
          </w:p>
        </w:tc>
      </w:tr>
      <w:tr w:rsidR="0012305F" w:rsidRPr="00270339" w14:paraId="7EF25BDA" w14:textId="77777777" w:rsidTr="00354437">
        <w:trPr>
          <w:trHeight w:val="201"/>
          <w:jc w:val="center"/>
        </w:trPr>
        <w:tc>
          <w:tcPr>
            <w:tcW w:w="1828" w:type="dxa"/>
            <w:noWrap/>
            <w:hideMark/>
          </w:tcPr>
          <w:p w14:paraId="315F4066" w14:textId="77777777" w:rsidR="0012305F" w:rsidRPr="0060324C" w:rsidRDefault="0012305F" w:rsidP="00354437">
            <w:pPr>
              <w:spacing w:line="240" w:lineRule="auto"/>
              <w:ind w:firstLine="0"/>
              <w:rPr>
                <w:rFonts w:cstheme="majorBidi"/>
                <w:sz w:val="20"/>
                <w:szCs w:val="20"/>
              </w:rPr>
            </w:pPr>
            <w:proofErr w:type="spellStart"/>
            <w:r w:rsidRPr="0060324C">
              <w:rPr>
                <w:rFonts w:cstheme="majorBidi"/>
                <w:sz w:val="20"/>
                <w:szCs w:val="20"/>
              </w:rPr>
              <w:t>PrivateCredit</w:t>
            </w:r>
            <w:proofErr w:type="spellEnd"/>
          </w:p>
        </w:tc>
        <w:tc>
          <w:tcPr>
            <w:tcW w:w="768" w:type="dxa"/>
            <w:noWrap/>
            <w:hideMark/>
          </w:tcPr>
          <w:p w14:paraId="2E3646F2"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734C8D1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3.7201</w:t>
            </w:r>
          </w:p>
        </w:tc>
        <w:tc>
          <w:tcPr>
            <w:tcW w:w="986" w:type="dxa"/>
            <w:noWrap/>
            <w:hideMark/>
          </w:tcPr>
          <w:p w14:paraId="5ACDFA75"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0.8745</w:t>
            </w:r>
          </w:p>
        </w:tc>
        <w:tc>
          <w:tcPr>
            <w:tcW w:w="986" w:type="dxa"/>
            <w:noWrap/>
            <w:hideMark/>
          </w:tcPr>
          <w:p w14:paraId="2B0E3671"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1.3424</w:t>
            </w:r>
          </w:p>
        </w:tc>
        <w:tc>
          <w:tcPr>
            <w:tcW w:w="986" w:type="dxa"/>
            <w:noWrap/>
            <w:hideMark/>
          </w:tcPr>
          <w:p w14:paraId="5B4B6205"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3.1444</w:t>
            </w:r>
          </w:p>
        </w:tc>
        <w:tc>
          <w:tcPr>
            <w:tcW w:w="986" w:type="dxa"/>
            <w:noWrap/>
            <w:hideMark/>
          </w:tcPr>
          <w:p w14:paraId="75FC32E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3.8384</w:t>
            </w:r>
          </w:p>
        </w:tc>
        <w:tc>
          <w:tcPr>
            <w:tcW w:w="986" w:type="dxa"/>
            <w:noWrap/>
            <w:hideMark/>
          </w:tcPr>
          <w:p w14:paraId="6739C6FF"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4.4302</w:t>
            </w:r>
          </w:p>
        </w:tc>
        <w:tc>
          <w:tcPr>
            <w:tcW w:w="986" w:type="dxa"/>
            <w:noWrap/>
            <w:hideMark/>
          </w:tcPr>
          <w:p w14:paraId="2E9400E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5.1476</w:t>
            </w:r>
          </w:p>
        </w:tc>
      </w:tr>
      <w:tr w:rsidR="0012305F" w:rsidRPr="00270339" w14:paraId="2A9F5F4B" w14:textId="77777777" w:rsidTr="00354437">
        <w:trPr>
          <w:trHeight w:val="201"/>
          <w:jc w:val="center"/>
        </w:trPr>
        <w:tc>
          <w:tcPr>
            <w:tcW w:w="1828" w:type="dxa"/>
            <w:noWrap/>
            <w:hideMark/>
          </w:tcPr>
          <w:p w14:paraId="32BAA92A" w14:textId="77777777" w:rsidR="0012305F" w:rsidRPr="0060324C" w:rsidRDefault="0012305F" w:rsidP="00354437">
            <w:pPr>
              <w:spacing w:line="240" w:lineRule="auto"/>
              <w:ind w:firstLine="0"/>
              <w:rPr>
                <w:rFonts w:cstheme="majorBidi"/>
                <w:sz w:val="20"/>
                <w:szCs w:val="20"/>
              </w:rPr>
            </w:pPr>
            <w:proofErr w:type="spellStart"/>
            <w:r w:rsidRPr="0060324C">
              <w:rPr>
                <w:rFonts w:cstheme="majorBidi"/>
                <w:sz w:val="20"/>
                <w:szCs w:val="20"/>
              </w:rPr>
              <w:t>LiquidLiabilities</w:t>
            </w:r>
            <w:proofErr w:type="spellEnd"/>
          </w:p>
        </w:tc>
        <w:tc>
          <w:tcPr>
            <w:tcW w:w="768" w:type="dxa"/>
            <w:noWrap/>
            <w:hideMark/>
          </w:tcPr>
          <w:p w14:paraId="3DF88A8C"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02E7F1FB"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3.9222</w:t>
            </w:r>
          </w:p>
        </w:tc>
        <w:tc>
          <w:tcPr>
            <w:tcW w:w="986" w:type="dxa"/>
            <w:noWrap/>
            <w:hideMark/>
          </w:tcPr>
          <w:p w14:paraId="173AEAD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0.6637</w:t>
            </w:r>
          </w:p>
        </w:tc>
        <w:tc>
          <w:tcPr>
            <w:tcW w:w="986" w:type="dxa"/>
            <w:noWrap/>
            <w:hideMark/>
          </w:tcPr>
          <w:p w14:paraId="4A50574F"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2.2696</w:t>
            </w:r>
          </w:p>
        </w:tc>
        <w:tc>
          <w:tcPr>
            <w:tcW w:w="986" w:type="dxa"/>
            <w:noWrap/>
            <w:hideMark/>
          </w:tcPr>
          <w:p w14:paraId="07323F54"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3.5047</w:t>
            </w:r>
          </w:p>
        </w:tc>
        <w:tc>
          <w:tcPr>
            <w:tcW w:w="986" w:type="dxa"/>
            <w:noWrap/>
            <w:hideMark/>
          </w:tcPr>
          <w:p w14:paraId="2DB433E3"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3.9207</w:t>
            </w:r>
          </w:p>
        </w:tc>
        <w:tc>
          <w:tcPr>
            <w:tcW w:w="986" w:type="dxa"/>
            <w:noWrap/>
            <w:hideMark/>
          </w:tcPr>
          <w:p w14:paraId="7537520B"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4.3786</w:t>
            </w:r>
          </w:p>
        </w:tc>
        <w:tc>
          <w:tcPr>
            <w:tcW w:w="986" w:type="dxa"/>
            <w:noWrap/>
            <w:hideMark/>
          </w:tcPr>
          <w:p w14:paraId="6653743E"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5.4277</w:t>
            </w:r>
          </w:p>
        </w:tc>
      </w:tr>
      <w:tr w:rsidR="0012305F" w:rsidRPr="00270339" w14:paraId="5740A3DC" w14:textId="77777777" w:rsidTr="00354437">
        <w:trPr>
          <w:trHeight w:val="201"/>
          <w:jc w:val="center"/>
        </w:trPr>
        <w:tc>
          <w:tcPr>
            <w:tcW w:w="1828" w:type="dxa"/>
            <w:noWrap/>
            <w:hideMark/>
          </w:tcPr>
          <w:p w14:paraId="3F1781E2" w14:textId="77777777" w:rsidR="0012305F" w:rsidRPr="0060324C" w:rsidRDefault="0012305F" w:rsidP="00354437">
            <w:pPr>
              <w:spacing w:line="240" w:lineRule="auto"/>
              <w:ind w:firstLine="0"/>
              <w:rPr>
                <w:rFonts w:cstheme="majorBidi"/>
                <w:sz w:val="20"/>
                <w:szCs w:val="20"/>
              </w:rPr>
            </w:pPr>
            <w:r w:rsidRPr="0060324C">
              <w:rPr>
                <w:rFonts w:cstheme="majorBidi"/>
                <w:sz w:val="20"/>
                <w:szCs w:val="20"/>
              </w:rPr>
              <w:t>FO</w:t>
            </w:r>
          </w:p>
        </w:tc>
        <w:tc>
          <w:tcPr>
            <w:tcW w:w="768" w:type="dxa"/>
            <w:noWrap/>
            <w:hideMark/>
          </w:tcPr>
          <w:p w14:paraId="03DE9971"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0DB12B7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0.5057</w:t>
            </w:r>
          </w:p>
        </w:tc>
        <w:tc>
          <w:tcPr>
            <w:tcW w:w="986" w:type="dxa"/>
            <w:noWrap/>
            <w:hideMark/>
          </w:tcPr>
          <w:p w14:paraId="60DD3C8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0.8871</w:t>
            </w:r>
          </w:p>
        </w:tc>
        <w:tc>
          <w:tcPr>
            <w:tcW w:w="986" w:type="dxa"/>
            <w:noWrap/>
            <w:hideMark/>
          </w:tcPr>
          <w:p w14:paraId="2268387A"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-0.9075</w:t>
            </w:r>
          </w:p>
        </w:tc>
        <w:tc>
          <w:tcPr>
            <w:tcW w:w="986" w:type="dxa"/>
            <w:noWrap/>
            <w:hideMark/>
          </w:tcPr>
          <w:p w14:paraId="134B5898"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-0.1092</w:t>
            </w:r>
          </w:p>
        </w:tc>
        <w:tc>
          <w:tcPr>
            <w:tcW w:w="986" w:type="dxa"/>
            <w:noWrap/>
            <w:hideMark/>
          </w:tcPr>
          <w:p w14:paraId="4C928281"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0.3260</w:t>
            </w:r>
          </w:p>
        </w:tc>
        <w:tc>
          <w:tcPr>
            <w:tcW w:w="986" w:type="dxa"/>
            <w:noWrap/>
            <w:hideMark/>
          </w:tcPr>
          <w:p w14:paraId="2BA56D0D"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0.9355</w:t>
            </w:r>
          </w:p>
        </w:tc>
        <w:tc>
          <w:tcPr>
            <w:tcW w:w="986" w:type="dxa"/>
            <w:noWrap/>
            <w:hideMark/>
          </w:tcPr>
          <w:p w14:paraId="04554B91"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3.2035</w:t>
            </w:r>
          </w:p>
        </w:tc>
      </w:tr>
      <w:tr w:rsidR="0012305F" w:rsidRPr="00270339" w14:paraId="3DD21804" w14:textId="77777777" w:rsidTr="00354437">
        <w:trPr>
          <w:trHeight w:val="201"/>
          <w:jc w:val="center"/>
        </w:trPr>
        <w:tc>
          <w:tcPr>
            <w:tcW w:w="1828" w:type="dxa"/>
            <w:noWrap/>
            <w:hideMark/>
          </w:tcPr>
          <w:p w14:paraId="65DB12E0" w14:textId="77777777" w:rsidR="0012305F" w:rsidRPr="00270339" w:rsidRDefault="0012305F" w:rsidP="00354437">
            <w:pPr>
              <w:spacing w:line="240" w:lineRule="auto"/>
              <w:ind w:firstLine="0"/>
              <w:rPr>
                <w:rFonts w:cstheme="majorBidi"/>
                <w:sz w:val="20"/>
                <w:szCs w:val="20"/>
              </w:rPr>
            </w:pPr>
            <w:r>
              <w:rPr>
                <w:rFonts w:cstheme="majorBidi"/>
                <w:sz w:val="20"/>
                <w:szCs w:val="20"/>
              </w:rPr>
              <w:t>TO</w:t>
            </w:r>
          </w:p>
        </w:tc>
        <w:tc>
          <w:tcPr>
            <w:tcW w:w="768" w:type="dxa"/>
            <w:noWrap/>
            <w:hideMark/>
          </w:tcPr>
          <w:p w14:paraId="2070010E"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03E53C3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4.2374</w:t>
            </w:r>
          </w:p>
        </w:tc>
        <w:tc>
          <w:tcPr>
            <w:tcW w:w="986" w:type="dxa"/>
            <w:noWrap/>
            <w:hideMark/>
          </w:tcPr>
          <w:p w14:paraId="0C440AC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0.5445</w:t>
            </w:r>
          </w:p>
        </w:tc>
        <w:tc>
          <w:tcPr>
            <w:tcW w:w="986" w:type="dxa"/>
            <w:noWrap/>
            <w:hideMark/>
          </w:tcPr>
          <w:p w14:paraId="295E7DB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3.0739</w:t>
            </w:r>
          </w:p>
        </w:tc>
        <w:tc>
          <w:tcPr>
            <w:tcW w:w="986" w:type="dxa"/>
            <w:noWrap/>
            <w:hideMark/>
          </w:tcPr>
          <w:p w14:paraId="29098DE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3.8958</w:t>
            </w:r>
          </w:p>
        </w:tc>
        <w:tc>
          <w:tcPr>
            <w:tcW w:w="986" w:type="dxa"/>
            <w:noWrap/>
            <w:hideMark/>
          </w:tcPr>
          <w:p w14:paraId="6E95A823"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4.2018</w:t>
            </w:r>
          </w:p>
        </w:tc>
        <w:tc>
          <w:tcPr>
            <w:tcW w:w="986" w:type="dxa"/>
            <w:noWrap/>
            <w:hideMark/>
          </w:tcPr>
          <w:p w14:paraId="7E604304"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4.5365</w:t>
            </w:r>
          </w:p>
        </w:tc>
        <w:tc>
          <w:tcPr>
            <w:tcW w:w="986" w:type="dxa"/>
            <w:noWrap/>
            <w:hideMark/>
          </w:tcPr>
          <w:p w14:paraId="4DF7FDD8"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5.9108</w:t>
            </w:r>
          </w:p>
        </w:tc>
      </w:tr>
      <w:tr w:rsidR="0012305F" w:rsidRPr="00270339" w14:paraId="7079D4A0" w14:textId="77777777" w:rsidTr="00354437">
        <w:trPr>
          <w:trHeight w:val="201"/>
          <w:jc w:val="center"/>
        </w:trPr>
        <w:tc>
          <w:tcPr>
            <w:tcW w:w="1828" w:type="dxa"/>
            <w:noWrap/>
            <w:hideMark/>
          </w:tcPr>
          <w:p w14:paraId="3FF03568" w14:textId="77777777" w:rsidR="0012305F" w:rsidRPr="00270339" w:rsidRDefault="0012305F" w:rsidP="00354437">
            <w:pPr>
              <w:spacing w:line="240" w:lineRule="auto"/>
              <w:ind w:firstLine="0"/>
              <w:rPr>
                <w:rFonts w:cstheme="majorBidi"/>
                <w:sz w:val="20"/>
                <w:szCs w:val="20"/>
              </w:rPr>
            </w:pPr>
            <w:r>
              <w:rPr>
                <w:rFonts w:cstheme="majorBidi"/>
                <w:sz w:val="20"/>
                <w:szCs w:val="20"/>
              </w:rPr>
              <w:t>Growth</w:t>
            </w:r>
          </w:p>
        </w:tc>
        <w:tc>
          <w:tcPr>
            <w:tcW w:w="768" w:type="dxa"/>
            <w:noWrap/>
            <w:hideMark/>
          </w:tcPr>
          <w:p w14:paraId="7D3DBC75"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4473C10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0.0726</w:t>
            </w:r>
          </w:p>
        </w:tc>
        <w:tc>
          <w:tcPr>
            <w:tcW w:w="986" w:type="dxa"/>
            <w:noWrap/>
            <w:hideMark/>
          </w:tcPr>
          <w:p w14:paraId="27BFF771"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0.0708</w:t>
            </w:r>
          </w:p>
        </w:tc>
        <w:tc>
          <w:tcPr>
            <w:tcW w:w="986" w:type="dxa"/>
            <w:noWrap/>
            <w:hideMark/>
          </w:tcPr>
          <w:p w14:paraId="0A8466BF"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-0.1121</w:t>
            </w:r>
          </w:p>
        </w:tc>
        <w:tc>
          <w:tcPr>
            <w:tcW w:w="986" w:type="dxa"/>
            <w:noWrap/>
            <w:hideMark/>
          </w:tcPr>
          <w:p w14:paraId="146665D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0.0315</w:t>
            </w:r>
          </w:p>
        </w:tc>
        <w:tc>
          <w:tcPr>
            <w:tcW w:w="986" w:type="dxa"/>
            <w:noWrap/>
            <w:hideMark/>
          </w:tcPr>
          <w:p w14:paraId="375C876C"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0.0692</w:t>
            </w:r>
          </w:p>
        </w:tc>
        <w:tc>
          <w:tcPr>
            <w:tcW w:w="986" w:type="dxa"/>
            <w:noWrap/>
            <w:hideMark/>
          </w:tcPr>
          <w:p w14:paraId="73C4102D"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0.1098</w:t>
            </w:r>
          </w:p>
        </w:tc>
        <w:tc>
          <w:tcPr>
            <w:tcW w:w="986" w:type="dxa"/>
            <w:noWrap/>
            <w:hideMark/>
          </w:tcPr>
          <w:p w14:paraId="43AD754D"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0.2985</w:t>
            </w:r>
          </w:p>
        </w:tc>
      </w:tr>
      <w:tr w:rsidR="0012305F" w:rsidRPr="00270339" w14:paraId="5BBA466B" w14:textId="77777777" w:rsidTr="00354437">
        <w:trPr>
          <w:trHeight w:val="201"/>
          <w:jc w:val="center"/>
        </w:trPr>
        <w:tc>
          <w:tcPr>
            <w:tcW w:w="1828" w:type="dxa"/>
            <w:noWrap/>
            <w:hideMark/>
          </w:tcPr>
          <w:p w14:paraId="0CDEED2C"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Inf</w:t>
            </w:r>
          </w:p>
        </w:tc>
        <w:tc>
          <w:tcPr>
            <w:tcW w:w="768" w:type="dxa"/>
            <w:noWrap/>
            <w:hideMark/>
          </w:tcPr>
          <w:p w14:paraId="5F3D6BF4"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5263479B"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7.6298</w:t>
            </w:r>
          </w:p>
        </w:tc>
        <w:tc>
          <w:tcPr>
            <w:tcW w:w="986" w:type="dxa"/>
            <w:noWrap/>
            <w:hideMark/>
          </w:tcPr>
          <w:p w14:paraId="45BEE89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12.9632</w:t>
            </w:r>
          </w:p>
        </w:tc>
        <w:tc>
          <w:tcPr>
            <w:tcW w:w="986" w:type="dxa"/>
            <w:noWrap/>
            <w:hideMark/>
          </w:tcPr>
          <w:p w14:paraId="47EDB62E"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-0.4801</w:t>
            </w:r>
          </w:p>
        </w:tc>
        <w:tc>
          <w:tcPr>
            <w:tcW w:w="986" w:type="dxa"/>
            <w:noWrap/>
            <w:hideMark/>
          </w:tcPr>
          <w:p w14:paraId="0572EDF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2.0283</w:t>
            </w:r>
          </w:p>
        </w:tc>
        <w:tc>
          <w:tcPr>
            <w:tcW w:w="986" w:type="dxa"/>
            <w:noWrap/>
            <w:hideMark/>
          </w:tcPr>
          <w:p w14:paraId="251EC0E5"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4.1115</w:t>
            </w:r>
          </w:p>
        </w:tc>
        <w:tc>
          <w:tcPr>
            <w:tcW w:w="986" w:type="dxa"/>
            <w:noWrap/>
            <w:hideMark/>
          </w:tcPr>
          <w:p w14:paraId="27DAC73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8.2910</w:t>
            </w:r>
          </w:p>
        </w:tc>
        <w:tc>
          <w:tcPr>
            <w:tcW w:w="986" w:type="dxa"/>
            <w:noWrap/>
            <w:hideMark/>
          </w:tcPr>
          <w:p w14:paraId="0F196166"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93.2399</w:t>
            </w:r>
          </w:p>
        </w:tc>
      </w:tr>
      <w:tr w:rsidR="0012305F" w:rsidRPr="00270339" w14:paraId="4A8304F3" w14:textId="77777777" w:rsidTr="00354437">
        <w:trPr>
          <w:trHeight w:val="201"/>
          <w:jc w:val="center"/>
        </w:trPr>
        <w:tc>
          <w:tcPr>
            <w:tcW w:w="1828" w:type="dxa"/>
            <w:noWrap/>
            <w:hideMark/>
          </w:tcPr>
          <w:p w14:paraId="142C51D6" w14:textId="77777777" w:rsidR="0012305F" w:rsidRPr="00270339" w:rsidRDefault="0012305F" w:rsidP="00354437">
            <w:pPr>
              <w:spacing w:line="240" w:lineRule="auto"/>
              <w:ind w:firstLine="0"/>
              <w:rPr>
                <w:rFonts w:cstheme="majorBidi"/>
                <w:sz w:val="20"/>
                <w:szCs w:val="20"/>
              </w:rPr>
            </w:pPr>
            <w:proofErr w:type="spellStart"/>
            <w:r w:rsidRPr="00270339">
              <w:rPr>
                <w:rFonts w:cstheme="majorBidi"/>
                <w:sz w:val="20"/>
                <w:szCs w:val="20"/>
              </w:rPr>
              <w:t>GovExp</w:t>
            </w:r>
            <w:proofErr w:type="spellEnd"/>
          </w:p>
        </w:tc>
        <w:tc>
          <w:tcPr>
            <w:tcW w:w="768" w:type="dxa"/>
            <w:noWrap/>
            <w:hideMark/>
          </w:tcPr>
          <w:p w14:paraId="034C45DA"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20207E22"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2.6595</w:t>
            </w:r>
          </w:p>
        </w:tc>
        <w:tc>
          <w:tcPr>
            <w:tcW w:w="986" w:type="dxa"/>
            <w:noWrap/>
            <w:hideMark/>
          </w:tcPr>
          <w:p w14:paraId="1993B234"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0.3544</w:t>
            </w:r>
          </w:p>
        </w:tc>
        <w:tc>
          <w:tcPr>
            <w:tcW w:w="986" w:type="dxa"/>
            <w:noWrap/>
            <w:hideMark/>
          </w:tcPr>
          <w:p w14:paraId="522822D2"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1.5988</w:t>
            </w:r>
          </w:p>
        </w:tc>
        <w:tc>
          <w:tcPr>
            <w:tcW w:w="986" w:type="dxa"/>
            <w:noWrap/>
            <w:hideMark/>
          </w:tcPr>
          <w:p w14:paraId="68CCB963"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2.4222</w:t>
            </w:r>
          </w:p>
        </w:tc>
        <w:tc>
          <w:tcPr>
            <w:tcW w:w="986" w:type="dxa"/>
            <w:noWrap/>
            <w:hideMark/>
          </w:tcPr>
          <w:p w14:paraId="10F108C6"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2.6805</w:t>
            </w:r>
          </w:p>
        </w:tc>
        <w:tc>
          <w:tcPr>
            <w:tcW w:w="986" w:type="dxa"/>
            <w:noWrap/>
            <w:hideMark/>
          </w:tcPr>
          <w:p w14:paraId="09EA466F"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2.9355</w:t>
            </w:r>
          </w:p>
        </w:tc>
        <w:tc>
          <w:tcPr>
            <w:tcW w:w="986" w:type="dxa"/>
            <w:noWrap/>
            <w:hideMark/>
          </w:tcPr>
          <w:p w14:paraId="7B9CD422"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3.5168</w:t>
            </w:r>
          </w:p>
        </w:tc>
      </w:tr>
      <w:tr w:rsidR="0012305F" w:rsidRPr="00270339" w14:paraId="4B4ED153" w14:textId="77777777" w:rsidTr="00354437">
        <w:trPr>
          <w:trHeight w:val="201"/>
          <w:jc w:val="center"/>
        </w:trPr>
        <w:tc>
          <w:tcPr>
            <w:tcW w:w="1828" w:type="dxa"/>
            <w:noWrap/>
            <w:hideMark/>
          </w:tcPr>
          <w:p w14:paraId="1F61CDFF" w14:textId="77777777" w:rsidR="0012305F" w:rsidRPr="00270339" w:rsidRDefault="0012305F" w:rsidP="00354437">
            <w:pPr>
              <w:spacing w:line="240" w:lineRule="auto"/>
              <w:ind w:firstLine="0"/>
              <w:rPr>
                <w:rFonts w:cstheme="majorBidi"/>
                <w:sz w:val="20"/>
                <w:szCs w:val="20"/>
              </w:rPr>
            </w:pPr>
            <w:r>
              <w:rPr>
                <w:rFonts w:cstheme="majorBidi"/>
                <w:sz w:val="20"/>
                <w:szCs w:val="20"/>
              </w:rPr>
              <w:t>Pop</w:t>
            </w:r>
          </w:p>
        </w:tc>
        <w:tc>
          <w:tcPr>
            <w:tcW w:w="768" w:type="dxa"/>
            <w:noWrap/>
            <w:hideMark/>
          </w:tcPr>
          <w:p w14:paraId="062882D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noWrap/>
            <w:hideMark/>
          </w:tcPr>
          <w:p w14:paraId="5B2F0A8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16.7423</w:t>
            </w:r>
          </w:p>
        </w:tc>
        <w:tc>
          <w:tcPr>
            <w:tcW w:w="986" w:type="dxa"/>
            <w:noWrap/>
            <w:hideMark/>
          </w:tcPr>
          <w:p w14:paraId="36B2BF65"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1.5819</w:t>
            </w:r>
          </w:p>
        </w:tc>
        <w:tc>
          <w:tcPr>
            <w:tcW w:w="986" w:type="dxa"/>
            <w:noWrap/>
            <w:hideMark/>
          </w:tcPr>
          <w:p w14:paraId="026558F1"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12.5499</w:t>
            </w:r>
          </w:p>
        </w:tc>
        <w:tc>
          <w:tcPr>
            <w:tcW w:w="986" w:type="dxa"/>
            <w:noWrap/>
            <w:hideMark/>
          </w:tcPr>
          <w:p w14:paraId="0511C176"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15.5669</w:t>
            </w:r>
          </w:p>
        </w:tc>
        <w:tc>
          <w:tcPr>
            <w:tcW w:w="986" w:type="dxa"/>
            <w:noWrap/>
            <w:hideMark/>
          </w:tcPr>
          <w:p w14:paraId="15379048"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16.6232</w:t>
            </w:r>
          </w:p>
        </w:tc>
        <w:tc>
          <w:tcPr>
            <w:tcW w:w="986" w:type="dxa"/>
            <w:noWrap/>
            <w:hideMark/>
          </w:tcPr>
          <w:p w14:paraId="0FA6DE6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17.8993</w:t>
            </w:r>
          </w:p>
        </w:tc>
        <w:tc>
          <w:tcPr>
            <w:tcW w:w="986" w:type="dxa"/>
            <w:noWrap/>
            <w:hideMark/>
          </w:tcPr>
          <w:p w14:paraId="0FAF1895"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20.9826</w:t>
            </w:r>
          </w:p>
        </w:tc>
      </w:tr>
      <w:bookmarkEnd w:id="8"/>
      <w:tr w:rsidR="0012305F" w:rsidRPr="00270339" w14:paraId="4F0AEF6B" w14:textId="77777777" w:rsidTr="00354437">
        <w:trPr>
          <w:trHeight w:val="201"/>
          <w:jc w:val="center"/>
        </w:trPr>
        <w:tc>
          <w:tcPr>
            <w:tcW w:w="1828" w:type="dxa"/>
            <w:tcBorders>
              <w:bottom w:val="single" w:sz="4" w:space="0" w:color="auto"/>
            </w:tcBorders>
            <w:noWrap/>
            <w:hideMark/>
          </w:tcPr>
          <w:p w14:paraId="29C14066" w14:textId="77777777" w:rsidR="0012305F" w:rsidRPr="00270339" w:rsidRDefault="0012305F" w:rsidP="00354437">
            <w:pPr>
              <w:spacing w:line="240" w:lineRule="auto"/>
              <w:ind w:firstLine="0"/>
              <w:rPr>
                <w:rFonts w:cstheme="majorBidi"/>
                <w:sz w:val="20"/>
                <w:szCs w:val="20"/>
              </w:rPr>
            </w:pPr>
            <w:proofErr w:type="spellStart"/>
            <w:r w:rsidRPr="00270339">
              <w:rPr>
                <w:rFonts w:cstheme="majorBidi"/>
                <w:sz w:val="20"/>
                <w:szCs w:val="20"/>
              </w:rPr>
              <w:t>LifeExp</w:t>
            </w:r>
            <w:proofErr w:type="spellEnd"/>
          </w:p>
        </w:tc>
        <w:tc>
          <w:tcPr>
            <w:tcW w:w="768" w:type="dxa"/>
            <w:tcBorders>
              <w:bottom w:val="single" w:sz="4" w:space="0" w:color="auto"/>
            </w:tcBorders>
            <w:noWrap/>
            <w:hideMark/>
          </w:tcPr>
          <w:p w14:paraId="75D03FC0"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568</w:t>
            </w:r>
          </w:p>
        </w:tc>
        <w:tc>
          <w:tcPr>
            <w:tcW w:w="986" w:type="dxa"/>
            <w:tcBorders>
              <w:bottom w:val="single" w:sz="4" w:space="0" w:color="auto"/>
            </w:tcBorders>
            <w:noWrap/>
            <w:hideMark/>
          </w:tcPr>
          <w:p w14:paraId="512A9984"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71.9344</w:t>
            </w:r>
          </w:p>
        </w:tc>
        <w:tc>
          <w:tcPr>
            <w:tcW w:w="986" w:type="dxa"/>
            <w:tcBorders>
              <w:bottom w:val="single" w:sz="4" w:space="0" w:color="auto"/>
            </w:tcBorders>
            <w:noWrap/>
            <w:hideMark/>
          </w:tcPr>
          <w:p w14:paraId="6A50450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8.9222</w:t>
            </w:r>
          </w:p>
        </w:tc>
        <w:tc>
          <w:tcPr>
            <w:tcW w:w="986" w:type="dxa"/>
            <w:tcBorders>
              <w:bottom w:val="single" w:sz="4" w:space="0" w:color="auto"/>
            </w:tcBorders>
            <w:noWrap/>
            <w:hideMark/>
          </w:tcPr>
          <w:p w14:paraId="247502D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44.7493</w:t>
            </w:r>
          </w:p>
        </w:tc>
        <w:tc>
          <w:tcPr>
            <w:tcW w:w="986" w:type="dxa"/>
            <w:tcBorders>
              <w:bottom w:val="single" w:sz="4" w:space="0" w:color="auto"/>
            </w:tcBorders>
            <w:noWrap/>
            <w:hideMark/>
          </w:tcPr>
          <w:p w14:paraId="37FB087D"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69.0885</w:t>
            </w:r>
          </w:p>
        </w:tc>
        <w:tc>
          <w:tcPr>
            <w:tcW w:w="986" w:type="dxa"/>
            <w:tcBorders>
              <w:bottom w:val="single" w:sz="4" w:space="0" w:color="auto"/>
            </w:tcBorders>
            <w:noWrap/>
            <w:hideMark/>
          </w:tcPr>
          <w:p w14:paraId="34816C17"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74.1557</w:t>
            </w:r>
          </w:p>
        </w:tc>
        <w:tc>
          <w:tcPr>
            <w:tcW w:w="986" w:type="dxa"/>
            <w:tcBorders>
              <w:bottom w:val="single" w:sz="4" w:space="0" w:color="auto"/>
            </w:tcBorders>
            <w:noWrap/>
            <w:hideMark/>
          </w:tcPr>
          <w:p w14:paraId="641C8F89"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78.2787</w:t>
            </w:r>
          </w:p>
        </w:tc>
        <w:tc>
          <w:tcPr>
            <w:tcW w:w="986" w:type="dxa"/>
            <w:tcBorders>
              <w:bottom w:val="single" w:sz="4" w:space="0" w:color="auto"/>
            </w:tcBorders>
            <w:noWrap/>
            <w:hideMark/>
          </w:tcPr>
          <w:p w14:paraId="36BB6B2A" w14:textId="77777777" w:rsidR="0012305F" w:rsidRPr="00270339" w:rsidRDefault="0012305F" w:rsidP="00354437">
            <w:pPr>
              <w:spacing w:line="240" w:lineRule="auto"/>
              <w:ind w:firstLine="0"/>
              <w:rPr>
                <w:rFonts w:cstheme="majorBidi"/>
                <w:sz w:val="20"/>
                <w:szCs w:val="20"/>
              </w:rPr>
            </w:pPr>
            <w:r w:rsidRPr="00270339">
              <w:rPr>
                <w:rFonts w:cstheme="majorBidi"/>
                <w:sz w:val="20"/>
                <w:szCs w:val="20"/>
              </w:rPr>
              <w:t>83.1480</w:t>
            </w:r>
          </w:p>
        </w:tc>
      </w:tr>
    </w:tbl>
    <w:p w14:paraId="72C78819" w14:textId="77777777" w:rsidR="002931A4" w:rsidRDefault="002931A4" w:rsidP="0012305F">
      <w:pPr>
        <w:pStyle w:val="Caption"/>
        <w:jc w:val="center"/>
        <w:rPr>
          <w:rFonts w:cstheme="majorBidi"/>
          <w:b/>
          <w:bCs/>
          <w:i w:val="0"/>
          <w:iCs w:val="0"/>
          <w:color w:val="auto"/>
          <w:sz w:val="22"/>
          <w:szCs w:val="22"/>
        </w:rPr>
      </w:pPr>
    </w:p>
    <w:p w14:paraId="718FA872" w14:textId="3AFE7BBF" w:rsidR="0012305F" w:rsidRPr="004308FB" w:rsidRDefault="0012305F" w:rsidP="0012305F">
      <w:pPr>
        <w:pStyle w:val="Caption"/>
        <w:jc w:val="center"/>
        <w:rPr>
          <w:rFonts w:cstheme="majorBidi"/>
          <w:b/>
          <w:bCs/>
          <w:i w:val="0"/>
          <w:iCs w:val="0"/>
          <w:color w:val="auto"/>
          <w:sz w:val="32"/>
          <w:szCs w:val="32"/>
        </w:rPr>
      </w:pPr>
      <w:r w:rsidRPr="004308FB">
        <w:rPr>
          <w:rFonts w:cstheme="majorBidi"/>
          <w:b/>
          <w:bCs/>
          <w:i w:val="0"/>
          <w:iCs w:val="0"/>
          <w:color w:val="auto"/>
          <w:sz w:val="22"/>
          <w:szCs w:val="22"/>
        </w:rPr>
        <w:t xml:space="preserve">Table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Table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2</w:t>
      </w:r>
      <w:r w:rsidRPr="004308FB">
        <w:rPr>
          <w:rFonts w:cstheme="majorBidi"/>
          <w:b/>
          <w:bCs/>
          <w:i w:val="0"/>
          <w:iCs w:val="0"/>
          <w:color w:val="auto"/>
          <w:sz w:val="22"/>
          <w:szCs w:val="22"/>
        </w:rPr>
        <w:fldChar w:fldCharType="end"/>
      </w:r>
      <w:r w:rsidR="007D5DFF" w:rsidRPr="004308FB">
        <w:rPr>
          <w:rFonts w:cstheme="majorBidi"/>
          <w:b/>
          <w:bCs/>
          <w:i w:val="0"/>
          <w:iCs w:val="0"/>
          <w:color w:val="auto"/>
          <w:sz w:val="22"/>
          <w:szCs w:val="22"/>
        </w:rPr>
        <w:t>.</w:t>
      </w:r>
      <w:r w:rsidRPr="004308FB">
        <w:rPr>
          <w:rFonts w:cstheme="majorBidi"/>
          <w:b/>
          <w:bCs/>
          <w:i w:val="0"/>
          <w:iCs w:val="0"/>
          <w:color w:val="auto"/>
          <w:sz w:val="22"/>
          <w:szCs w:val="22"/>
        </w:rPr>
        <w:t xml:space="preserve"> Correlation Matrix</w:t>
      </w:r>
    </w:p>
    <w:tbl>
      <w:tblPr>
        <w:tblStyle w:val="TableGrid"/>
        <w:tblW w:w="1023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9"/>
        <w:gridCol w:w="939"/>
        <w:gridCol w:w="939"/>
        <w:gridCol w:w="939"/>
        <w:gridCol w:w="939"/>
        <w:gridCol w:w="939"/>
        <w:gridCol w:w="939"/>
        <w:gridCol w:w="939"/>
        <w:gridCol w:w="939"/>
        <w:gridCol w:w="939"/>
      </w:tblGrid>
      <w:tr w:rsidR="0012305F" w:rsidRPr="000D008B" w14:paraId="639D4BB7" w14:textId="77777777" w:rsidTr="001567B4">
        <w:trPr>
          <w:cantSplit/>
          <w:trHeight w:val="1606"/>
        </w:trPr>
        <w:tc>
          <w:tcPr>
            <w:tcW w:w="1779" w:type="dxa"/>
            <w:tcBorders>
              <w:top w:val="single" w:sz="6" w:space="0" w:color="auto"/>
              <w:bottom w:val="single" w:sz="6" w:space="0" w:color="auto"/>
            </w:tcBorders>
            <w:noWrap/>
            <w:hideMark/>
          </w:tcPr>
          <w:p w14:paraId="2F3E0FAE"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 </w:t>
            </w:r>
          </w:p>
        </w:tc>
        <w:tc>
          <w:tcPr>
            <w:tcW w:w="939" w:type="dxa"/>
            <w:tcBorders>
              <w:top w:val="single" w:sz="6" w:space="0" w:color="auto"/>
              <w:bottom w:val="single" w:sz="6" w:space="0" w:color="auto"/>
            </w:tcBorders>
            <w:textDirection w:val="btLr"/>
            <w:hideMark/>
          </w:tcPr>
          <w:p w14:paraId="7AEC6032" w14:textId="77777777" w:rsidR="0012305F" w:rsidRPr="000D008B" w:rsidRDefault="0012305F" w:rsidP="00354437">
            <w:pPr>
              <w:spacing w:line="240" w:lineRule="auto"/>
              <w:ind w:left="113" w:right="113" w:firstLine="0"/>
              <w:rPr>
                <w:rFonts w:cstheme="majorBidi"/>
                <w:sz w:val="20"/>
                <w:szCs w:val="20"/>
              </w:rPr>
            </w:pPr>
            <w:proofErr w:type="spellStart"/>
            <w:r w:rsidRPr="000D008B">
              <w:rPr>
                <w:rFonts w:cstheme="majorBidi"/>
                <w:sz w:val="20"/>
                <w:szCs w:val="20"/>
              </w:rPr>
              <w:t>GrossGini</w:t>
            </w:r>
            <w:proofErr w:type="spellEnd"/>
          </w:p>
        </w:tc>
        <w:tc>
          <w:tcPr>
            <w:tcW w:w="939" w:type="dxa"/>
            <w:tcBorders>
              <w:top w:val="single" w:sz="6" w:space="0" w:color="auto"/>
              <w:bottom w:val="single" w:sz="6" w:space="0" w:color="auto"/>
            </w:tcBorders>
            <w:textDirection w:val="btLr"/>
            <w:hideMark/>
          </w:tcPr>
          <w:p w14:paraId="59336422" w14:textId="77777777" w:rsidR="0012305F" w:rsidRPr="000D008B" w:rsidRDefault="0012305F" w:rsidP="00354437">
            <w:pPr>
              <w:spacing w:line="240" w:lineRule="auto"/>
              <w:ind w:left="113" w:right="113" w:firstLine="0"/>
              <w:rPr>
                <w:rFonts w:cstheme="majorBidi"/>
                <w:sz w:val="20"/>
                <w:szCs w:val="20"/>
              </w:rPr>
            </w:pPr>
            <w:proofErr w:type="spellStart"/>
            <w:r>
              <w:rPr>
                <w:rFonts w:cstheme="majorBidi"/>
                <w:sz w:val="20"/>
                <w:szCs w:val="20"/>
              </w:rPr>
              <w:t>privateC</w:t>
            </w:r>
            <w:r w:rsidRPr="000D008B">
              <w:rPr>
                <w:rFonts w:cstheme="majorBidi"/>
                <w:sz w:val="20"/>
                <w:szCs w:val="20"/>
              </w:rPr>
              <w:t>redit</w:t>
            </w:r>
            <w:proofErr w:type="spellEnd"/>
          </w:p>
        </w:tc>
        <w:tc>
          <w:tcPr>
            <w:tcW w:w="939" w:type="dxa"/>
            <w:tcBorders>
              <w:top w:val="single" w:sz="6" w:space="0" w:color="auto"/>
              <w:bottom w:val="single" w:sz="6" w:space="0" w:color="auto"/>
            </w:tcBorders>
            <w:textDirection w:val="btLr"/>
            <w:hideMark/>
          </w:tcPr>
          <w:p w14:paraId="239563DD" w14:textId="77777777" w:rsidR="0012305F" w:rsidRPr="000D008B" w:rsidRDefault="0012305F" w:rsidP="00354437">
            <w:pPr>
              <w:spacing w:line="240" w:lineRule="auto"/>
              <w:ind w:left="113" w:right="113" w:firstLine="0"/>
              <w:rPr>
                <w:rFonts w:cstheme="majorBidi"/>
                <w:sz w:val="20"/>
                <w:szCs w:val="20"/>
              </w:rPr>
            </w:pPr>
            <w:proofErr w:type="spellStart"/>
            <w:r w:rsidRPr="00892642">
              <w:rPr>
                <w:rFonts w:cstheme="majorBidi"/>
                <w:sz w:val="20"/>
                <w:szCs w:val="20"/>
              </w:rPr>
              <w:t>LiquidLiabilities</w:t>
            </w:r>
            <w:proofErr w:type="spellEnd"/>
          </w:p>
        </w:tc>
        <w:tc>
          <w:tcPr>
            <w:tcW w:w="939" w:type="dxa"/>
            <w:tcBorders>
              <w:top w:val="single" w:sz="6" w:space="0" w:color="auto"/>
              <w:bottom w:val="single" w:sz="6" w:space="0" w:color="auto"/>
            </w:tcBorders>
            <w:textDirection w:val="btLr"/>
            <w:hideMark/>
          </w:tcPr>
          <w:p w14:paraId="3524E443" w14:textId="77777777" w:rsidR="0012305F" w:rsidRPr="000D008B" w:rsidRDefault="0012305F" w:rsidP="00354437">
            <w:pPr>
              <w:spacing w:line="240" w:lineRule="auto"/>
              <w:ind w:left="113" w:right="113" w:firstLine="0"/>
              <w:rPr>
                <w:rFonts w:cstheme="majorBidi"/>
                <w:sz w:val="20"/>
                <w:szCs w:val="20"/>
              </w:rPr>
            </w:pPr>
            <w:r w:rsidRPr="000D008B">
              <w:rPr>
                <w:rFonts w:cstheme="majorBidi"/>
                <w:sz w:val="20"/>
                <w:szCs w:val="20"/>
              </w:rPr>
              <w:t>FO</w:t>
            </w:r>
          </w:p>
        </w:tc>
        <w:tc>
          <w:tcPr>
            <w:tcW w:w="939" w:type="dxa"/>
            <w:tcBorders>
              <w:top w:val="single" w:sz="6" w:space="0" w:color="auto"/>
              <w:bottom w:val="single" w:sz="6" w:space="0" w:color="auto"/>
            </w:tcBorders>
            <w:textDirection w:val="btLr"/>
            <w:hideMark/>
          </w:tcPr>
          <w:p w14:paraId="6355A30C" w14:textId="77777777" w:rsidR="0012305F" w:rsidRPr="000D008B" w:rsidRDefault="0012305F" w:rsidP="00354437">
            <w:pPr>
              <w:spacing w:line="240" w:lineRule="auto"/>
              <w:ind w:left="113" w:right="113" w:firstLine="0"/>
              <w:rPr>
                <w:rFonts w:cstheme="majorBidi"/>
                <w:sz w:val="20"/>
                <w:szCs w:val="20"/>
              </w:rPr>
            </w:pPr>
            <w:r w:rsidRPr="000D008B">
              <w:rPr>
                <w:rFonts w:cstheme="majorBidi"/>
                <w:sz w:val="20"/>
                <w:szCs w:val="20"/>
              </w:rPr>
              <w:t>TO</w:t>
            </w:r>
          </w:p>
        </w:tc>
        <w:tc>
          <w:tcPr>
            <w:tcW w:w="939" w:type="dxa"/>
            <w:tcBorders>
              <w:top w:val="single" w:sz="6" w:space="0" w:color="auto"/>
              <w:bottom w:val="single" w:sz="6" w:space="0" w:color="auto"/>
            </w:tcBorders>
            <w:textDirection w:val="btLr"/>
            <w:hideMark/>
          </w:tcPr>
          <w:p w14:paraId="675CF2DA" w14:textId="77777777" w:rsidR="0012305F" w:rsidRPr="000D008B" w:rsidRDefault="0012305F" w:rsidP="00354437">
            <w:pPr>
              <w:spacing w:line="240" w:lineRule="auto"/>
              <w:ind w:left="113" w:right="113" w:firstLine="0"/>
              <w:rPr>
                <w:rFonts w:cstheme="majorBidi"/>
                <w:sz w:val="20"/>
                <w:szCs w:val="20"/>
              </w:rPr>
            </w:pPr>
            <w:r w:rsidRPr="000D008B">
              <w:rPr>
                <w:rFonts w:cstheme="majorBidi"/>
                <w:sz w:val="20"/>
                <w:szCs w:val="20"/>
              </w:rPr>
              <w:t>Growth</w:t>
            </w:r>
          </w:p>
        </w:tc>
        <w:tc>
          <w:tcPr>
            <w:tcW w:w="939" w:type="dxa"/>
            <w:tcBorders>
              <w:top w:val="single" w:sz="6" w:space="0" w:color="auto"/>
              <w:bottom w:val="single" w:sz="6" w:space="0" w:color="auto"/>
            </w:tcBorders>
            <w:textDirection w:val="btLr"/>
            <w:hideMark/>
          </w:tcPr>
          <w:p w14:paraId="73DD79D2" w14:textId="77777777" w:rsidR="0012305F" w:rsidRPr="000D008B" w:rsidRDefault="0012305F" w:rsidP="00354437">
            <w:pPr>
              <w:spacing w:line="240" w:lineRule="auto"/>
              <w:ind w:left="113" w:right="113" w:firstLine="0"/>
              <w:rPr>
                <w:rFonts w:cstheme="majorBidi"/>
                <w:sz w:val="20"/>
                <w:szCs w:val="20"/>
              </w:rPr>
            </w:pPr>
            <w:r w:rsidRPr="000D008B">
              <w:rPr>
                <w:rFonts w:cstheme="majorBidi"/>
                <w:sz w:val="20"/>
                <w:szCs w:val="20"/>
              </w:rPr>
              <w:t>Inf</w:t>
            </w:r>
          </w:p>
        </w:tc>
        <w:tc>
          <w:tcPr>
            <w:tcW w:w="939" w:type="dxa"/>
            <w:tcBorders>
              <w:top w:val="single" w:sz="6" w:space="0" w:color="auto"/>
              <w:bottom w:val="single" w:sz="6" w:space="0" w:color="auto"/>
            </w:tcBorders>
            <w:textDirection w:val="btLr"/>
            <w:hideMark/>
          </w:tcPr>
          <w:p w14:paraId="12976B52" w14:textId="77777777" w:rsidR="0012305F" w:rsidRPr="000D008B" w:rsidRDefault="0012305F" w:rsidP="00354437">
            <w:pPr>
              <w:spacing w:line="240" w:lineRule="auto"/>
              <w:ind w:left="113" w:right="113" w:firstLine="0"/>
              <w:rPr>
                <w:rFonts w:cstheme="majorBidi"/>
                <w:sz w:val="20"/>
                <w:szCs w:val="20"/>
              </w:rPr>
            </w:pPr>
            <w:proofErr w:type="spellStart"/>
            <w:r w:rsidRPr="000D008B">
              <w:rPr>
                <w:rFonts w:cstheme="majorBidi"/>
                <w:sz w:val="20"/>
                <w:szCs w:val="20"/>
              </w:rPr>
              <w:t>GovExp</w:t>
            </w:r>
            <w:proofErr w:type="spellEnd"/>
          </w:p>
        </w:tc>
        <w:tc>
          <w:tcPr>
            <w:tcW w:w="939" w:type="dxa"/>
            <w:tcBorders>
              <w:top w:val="single" w:sz="6" w:space="0" w:color="auto"/>
              <w:bottom w:val="single" w:sz="6" w:space="0" w:color="auto"/>
            </w:tcBorders>
            <w:textDirection w:val="btLr"/>
            <w:hideMark/>
          </w:tcPr>
          <w:p w14:paraId="55FCF058" w14:textId="77777777" w:rsidR="0012305F" w:rsidRPr="000D008B" w:rsidRDefault="0012305F" w:rsidP="00354437">
            <w:pPr>
              <w:spacing w:line="240" w:lineRule="auto"/>
              <w:ind w:left="113" w:right="113" w:firstLine="0"/>
              <w:rPr>
                <w:rFonts w:cstheme="majorBidi"/>
                <w:sz w:val="20"/>
                <w:szCs w:val="20"/>
              </w:rPr>
            </w:pPr>
            <w:r>
              <w:rPr>
                <w:rFonts w:cstheme="majorBidi"/>
                <w:sz w:val="20"/>
                <w:szCs w:val="20"/>
              </w:rPr>
              <w:t>Pop</w:t>
            </w:r>
          </w:p>
        </w:tc>
      </w:tr>
      <w:tr w:rsidR="0012305F" w:rsidRPr="000D008B" w14:paraId="6AB1605E" w14:textId="77777777" w:rsidTr="00354437">
        <w:trPr>
          <w:trHeight w:val="247"/>
        </w:trPr>
        <w:tc>
          <w:tcPr>
            <w:tcW w:w="1779" w:type="dxa"/>
            <w:tcBorders>
              <w:top w:val="single" w:sz="6" w:space="0" w:color="auto"/>
            </w:tcBorders>
            <w:noWrap/>
            <w:hideMark/>
          </w:tcPr>
          <w:p w14:paraId="246E8CF7" w14:textId="77777777" w:rsidR="0012305F" w:rsidRPr="000D008B" w:rsidRDefault="0012305F" w:rsidP="00354437">
            <w:pPr>
              <w:spacing w:line="240" w:lineRule="auto"/>
              <w:ind w:firstLine="0"/>
              <w:rPr>
                <w:rFonts w:cstheme="majorBidi"/>
                <w:sz w:val="20"/>
                <w:szCs w:val="20"/>
              </w:rPr>
            </w:pPr>
            <w:proofErr w:type="spellStart"/>
            <w:r w:rsidRPr="00270339">
              <w:rPr>
                <w:rFonts w:cstheme="majorBidi"/>
                <w:sz w:val="20"/>
                <w:szCs w:val="20"/>
              </w:rPr>
              <w:t>GrossGini</w:t>
            </w:r>
            <w:proofErr w:type="spellEnd"/>
          </w:p>
        </w:tc>
        <w:tc>
          <w:tcPr>
            <w:tcW w:w="939" w:type="dxa"/>
            <w:tcBorders>
              <w:top w:val="single" w:sz="6" w:space="0" w:color="auto"/>
            </w:tcBorders>
            <w:noWrap/>
            <w:hideMark/>
          </w:tcPr>
          <w:p w14:paraId="40229F45"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tcBorders>
              <w:top w:val="single" w:sz="6" w:space="0" w:color="auto"/>
            </w:tcBorders>
            <w:noWrap/>
            <w:hideMark/>
          </w:tcPr>
          <w:p w14:paraId="0B44F51C" w14:textId="77777777" w:rsidR="0012305F" w:rsidRPr="000D008B" w:rsidRDefault="0012305F" w:rsidP="00354437">
            <w:pPr>
              <w:spacing w:line="240" w:lineRule="auto"/>
              <w:ind w:firstLine="0"/>
              <w:rPr>
                <w:rFonts w:cstheme="majorBidi"/>
                <w:sz w:val="20"/>
                <w:szCs w:val="20"/>
              </w:rPr>
            </w:pPr>
          </w:p>
        </w:tc>
        <w:tc>
          <w:tcPr>
            <w:tcW w:w="939" w:type="dxa"/>
            <w:tcBorders>
              <w:top w:val="single" w:sz="6" w:space="0" w:color="auto"/>
            </w:tcBorders>
            <w:noWrap/>
            <w:hideMark/>
          </w:tcPr>
          <w:p w14:paraId="6F7BDAE2" w14:textId="77777777" w:rsidR="0012305F" w:rsidRPr="000D008B" w:rsidRDefault="0012305F" w:rsidP="00354437">
            <w:pPr>
              <w:spacing w:line="240" w:lineRule="auto"/>
              <w:ind w:firstLine="0"/>
              <w:rPr>
                <w:rFonts w:cstheme="majorBidi"/>
                <w:sz w:val="20"/>
                <w:szCs w:val="20"/>
              </w:rPr>
            </w:pPr>
          </w:p>
        </w:tc>
        <w:tc>
          <w:tcPr>
            <w:tcW w:w="939" w:type="dxa"/>
            <w:tcBorders>
              <w:top w:val="single" w:sz="6" w:space="0" w:color="auto"/>
            </w:tcBorders>
            <w:noWrap/>
            <w:hideMark/>
          </w:tcPr>
          <w:p w14:paraId="7D88F447" w14:textId="77777777" w:rsidR="0012305F" w:rsidRPr="000D008B" w:rsidRDefault="0012305F" w:rsidP="00354437">
            <w:pPr>
              <w:spacing w:line="240" w:lineRule="auto"/>
              <w:ind w:firstLine="0"/>
              <w:rPr>
                <w:rFonts w:cstheme="majorBidi"/>
                <w:sz w:val="20"/>
                <w:szCs w:val="20"/>
              </w:rPr>
            </w:pPr>
          </w:p>
        </w:tc>
        <w:tc>
          <w:tcPr>
            <w:tcW w:w="939" w:type="dxa"/>
            <w:tcBorders>
              <w:top w:val="single" w:sz="6" w:space="0" w:color="auto"/>
            </w:tcBorders>
            <w:noWrap/>
            <w:hideMark/>
          </w:tcPr>
          <w:p w14:paraId="0A104274" w14:textId="77777777" w:rsidR="0012305F" w:rsidRPr="000D008B" w:rsidRDefault="0012305F" w:rsidP="00354437">
            <w:pPr>
              <w:spacing w:line="240" w:lineRule="auto"/>
              <w:ind w:firstLine="0"/>
              <w:rPr>
                <w:rFonts w:cstheme="majorBidi"/>
                <w:sz w:val="20"/>
                <w:szCs w:val="20"/>
              </w:rPr>
            </w:pPr>
          </w:p>
        </w:tc>
        <w:tc>
          <w:tcPr>
            <w:tcW w:w="939" w:type="dxa"/>
            <w:tcBorders>
              <w:top w:val="single" w:sz="6" w:space="0" w:color="auto"/>
            </w:tcBorders>
            <w:noWrap/>
            <w:hideMark/>
          </w:tcPr>
          <w:p w14:paraId="2CD21CF5" w14:textId="77777777" w:rsidR="0012305F" w:rsidRPr="000D008B" w:rsidRDefault="0012305F" w:rsidP="00354437">
            <w:pPr>
              <w:spacing w:line="240" w:lineRule="auto"/>
              <w:ind w:firstLine="0"/>
              <w:rPr>
                <w:rFonts w:cstheme="majorBidi"/>
                <w:sz w:val="20"/>
                <w:szCs w:val="20"/>
              </w:rPr>
            </w:pPr>
          </w:p>
        </w:tc>
        <w:tc>
          <w:tcPr>
            <w:tcW w:w="939" w:type="dxa"/>
            <w:tcBorders>
              <w:top w:val="single" w:sz="6" w:space="0" w:color="auto"/>
            </w:tcBorders>
            <w:noWrap/>
            <w:hideMark/>
          </w:tcPr>
          <w:p w14:paraId="13AD9B0E" w14:textId="77777777" w:rsidR="0012305F" w:rsidRPr="000D008B" w:rsidRDefault="0012305F" w:rsidP="00354437">
            <w:pPr>
              <w:spacing w:line="240" w:lineRule="auto"/>
              <w:ind w:firstLine="0"/>
              <w:rPr>
                <w:rFonts w:cstheme="majorBidi"/>
                <w:sz w:val="20"/>
                <w:szCs w:val="20"/>
              </w:rPr>
            </w:pPr>
          </w:p>
        </w:tc>
        <w:tc>
          <w:tcPr>
            <w:tcW w:w="939" w:type="dxa"/>
            <w:tcBorders>
              <w:top w:val="single" w:sz="6" w:space="0" w:color="auto"/>
            </w:tcBorders>
            <w:noWrap/>
            <w:hideMark/>
          </w:tcPr>
          <w:p w14:paraId="06221678" w14:textId="77777777" w:rsidR="0012305F" w:rsidRPr="000D008B" w:rsidRDefault="0012305F" w:rsidP="00354437">
            <w:pPr>
              <w:spacing w:line="240" w:lineRule="auto"/>
              <w:ind w:firstLine="0"/>
              <w:rPr>
                <w:rFonts w:cstheme="majorBidi"/>
                <w:sz w:val="20"/>
                <w:szCs w:val="20"/>
              </w:rPr>
            </w:pPr>
          </w:p>
        </w:tc>
        <w:tc>
          <w:tcPr>
            <w:tcW w:w="939" w:type="dxa"/>
            <w:tcBorders>
              <w:top w:val="single" w:sz="6" w:space="0" w:color="auto"/>
            </w:tcBorders>
            <w:noWrap/>
            <w:hideMark/>
          </w:tcPr>
          <w:p w14:paraId="64C4BDC7" w14:textId="77777777" w:rsidR="0012305F" w:rsidRPr="000D008B" w:rsidRDefault="0012305F" w:rsidP="00354437">
            <w:pPr>
              <w:spacing w:line="240" w:lineRule="auto"/>
              <w:ind w:firstLine="0"/>
              <w:rPr>
                <w:rFonts w:cstheme="majorBidi"/>
                <w:sz w:val="20"/>
                <w:szCs w:val="20"/>
              </w:rPr>
            </w:pPr>
          </w:p>
        </w:tc>
      </w:tr>
      <w:tr w:rsidR="0012305F" w:rsidRPr="000D008B" w14:paraId="2692ACDB" w14:textId="77777777" w:rsidTr="00354437">
        <w:trPr>
          <w:trHeight w:val="247"/>
        </w:trPr>
        <w:tc>
          <w:tcPr>
            <w:tcW w:w="1779" w:type="dxa"/>
            <w:noWrap/>
            <w:hideMark/>
          </w:tcPr>
          <w:p w14:paraId="31CAF7A0" w14:textId="77777777" w:rsidR="0012305F" w:rsidRPr="000D008B" w:rsidRDefault="0012305F" w:rsidP="00354437">
            <w:pPr>
              <w:spacing w:line="240" w:lineRule="auto"/>
              <w:ind w:firstLine="0"/>
              <w:rPr>
                <w:rFonts w:cstheme="majorBidi"/>
                <w:sz w:val="20"/>
                <w:szCs w:val="20"/>
              </w:rPr>
            </w:pPr>
            <w:proofErr w:type="spellStart"/>
            <w:r w:rsidRPr="00270339">
              <w:rPr>
                <w:rFonts w:cstheme="majorBidi"/>
                <w:sz w:val="20"/>
                <w:szCs w:val="20"/>
              </w:rPr>
              <w:t>PrivateCredit</w:t>
            </w:r>
            <w:proofErr w:type="spellEnd"/>
          </w:p>
        </w:tc>
        <w:tc>
          <w:tcPr>
            <w:tcW w:w="939" w:type="dxa"/>
            <w:noWrap/>
            <w:hideMark/>
          </w:tcPr>
          <w:p w14:paraId="528A8A2B"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0.0640</w:t>
            </w:r>
          </w:p>
        </w:tc>
        <w:tc>
          <w:tcPr>
            <w:tcW w:w="939" w:type="dxa"/>
            <w:noWrap/>
            <w:hideMark/>
          </w:tcPr>
          <w:p w14:paraId="27E373AE"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noWrap/>
            <w:hideMark/>
          </w:tcPr>
          <w:p w14:paraId="5BD9AECE"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4913F172"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1D228FBD"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51F0F9A9"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24A6A47C"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2800E597"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4574A2B4" w14:textId="77777777" w:rsidR="0012305F" w:rsidRPr="000D008B" w:rsidRDefault="0012305F" w:rsidP="00354437">
            <w:pPr>
              <w:spacing w:line="240" w:lineRule="auto"/>
              <w:ind w:firstLine="0"/>
              <w:rPr>
                <w:rFonts w:cstheme="majorBidi"/>
                <w:sz w:val="20"/>
                <w:szCs w:val="20"/>
              </w:rPr>
            </w:pPr>
          </w:p>
        </w:tc>
      </w:tr>
      <w:tr w:rsidR="0012305F" w:rsidRPr="000D008B" w14:paraId="6F67B74A" w14:textId="77777777" w:rsidTr="00354437">
        <w:trPr>
          <w:trHeight w:val="247"/>
        </w:trPr>
        <w:tc>
          <w:tcPr>
            <w:tcW w:w="1779" w:type="dxa"/>
            <w:noWrap/>
            <w:hideMark/>
          </w:tcPr>
          <w:p w14:paraId="63FE22C0" w14:textId="77777777" w:rsidR="0012305F" w:rsidRPr="000D008B" w:rsidRDefault="0012305F" w:rsidP="00354437">
            <w:pPr>
              <w:spacing w:line="240" w:lineRule="auto"/>
              <w:ind w:firstLine="0"/>
              <w:rPr>
                <w:rFonts w:cstheme="majorBidi"/>
                <w:sz w:val="20"/>
                <w:szCs w:val="20"/>
              </w:rPr>
            </w:pPr>
            <w:proofErr w:type="spellStart"/>
            <w:r w:rsidRPr="00892642">
              <w:rPr>
                <w:rFonts w:cstheme="majorBidi"/>
                <w:sz w:val="20"/>
                <w:szCs w:val="20"/>
              </w:rPr>
              <w:t>LiquidLiabilities</w:t>
            </w:r>
            <w:proofErr w:type="spellEnd"/>
          </w:p>
        </w:tc>
        <w:tc>
          <w:tcPr>
            <w:tcW w:w="939" w:type="dxa"/>
            <w:noWrap/>
            <w:hideMark/>
          </w:tcPr>
          <w:p w14:paraId="27880DBF"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-0.0097</w:t>
            </w:r>
          </w:p>
        </w:tc>
        <w:tc>
          <w:tcPr>
            <w:tcW w:w="939" w:type="dxa"/>
            <w:noWrap/>
            <w:hideMark/>
          </w:tcPr>
          <w:p w14:paraId="298424BE"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0.8622*</w:t>
            </w:r>
          </w:p>
        </w:tc>
        <w:tc>
          <w:tcPr>
            <w:tcW w:w="939" w:type="dxa"/>
            <w:noWrap/>
            <w:hideMark/>
          </w:tcPr>
          <w:p w14:paraId="4D824405"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noWrap/>
            <w:hideMark/>
          </w:tcPr>
          <w:p w14:paraId="19785A19"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3925223C"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609F37A1"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5726018A"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6815F41B"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2D429C02" w14:textId="77777777" w:rsidR="0012305F" w:rsidRPr="000D008B" w:rsidRDefault="0012305F" w:rsidP="00354437">
            <w:pPr>
              <w:spacing w:line="240" w:lineRule="auto"/>
              <w:ind w:firstLine="0"/>
              <w:rPr>
                <w:rFonts w:cstheme="majorBidi"/>
                <w:sz w:val="20"/>
                <w:szCs w:val="20"/>
              </w:rPr>
            </w:pPr>
          </w:p>
        </w:tc>
      </w:tr>
      <w:tr w:rsidR="0012305F" w:rsidRPr="000D008B" w14:paraId="1D36177B" w14:textId="77777777" w:rsidTr="00354437">
        <w:trPr>
          <w:trHeight w:val="247"/>
        </w:trPr>
        <w:tc>
          <w:tcPr>
            <w:tcW w:w="1779" w:type="dxa"/>
            <w:noWrap/>
            <w:hideMark/>
          </w:tcPr>
          <w:p w14:paraId="78EF856B" w14:textId="77777777" w:rsidR="0012305F" w:rsidRPr="000D008B" w:rsidRDefault="0012305F" w:rsidP="00354437">
            <w:pPr>
              <w:spacing w:line="240" w:lineRule="auto"/>
              <w:ind w:firstLine="0"/>
              <w:rPr>
                <w:rFonts w:cstheme="majorBidi"/>
                <w:sz w:val="20"/>
                <w:szCs w:val="20"/>
              </w:rPr>
            </w:pPr>
            <w:r>
              <w:rPr>
                <w:rFonts w:cstheme="majorBidi"/>
                <w:sz w:val="20"/>
                <w:szCs w:val="20"/>
              </w:rPr>
              <w:t>FO</w:t>
            </w:r>
          </w:p>
        </w:tc>
        <w:tc>
          <w:tcPr>
            <w:tcW w:w="939" w:type="dxa"/>
            <w:noWrap/>
            <w:hideMark/>
          </w:tcPr>
          <w:p w14:paraId="17DE5DAC"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0.1660*</w:t>
            </w:r>
          </w:p>
        </w:tc>
        <w:tc>
          <w:tcPr>
            <w:tcW w:w="939" w:type="dxa"/>
            <w:noWrap/>
            <w:hideMark/>
          </w:tcPr>
          <w:p w14:paraId="48BC5671"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0.6174*</w:t>
            </w:r>
          </w:p>
        </w:tc>
        <w:tc>
          <w:tcPr>
            <w:tcW w:w="939" w:type="dxa"/>
            <w:noWrap/>
            <w:hideMark/>
          </w:tcPr>
          <w:p w14:paraId="7C4D0769"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0.5855*</w:t>
            </w:r>
          </w:p>
        </w:tc>
        <w:tc>
          <w:tcPr>
            <w:tcW w:w="939" w:type="dxa"/>
            <w:noWrap/>
            <w:hideMark/>
          </w:tcPr>
          <w:p w14:paraId="32224999"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noWrap/>
            <w:hideMark/>
          </w:tcPr>
          <w:p w14:paraId="686E2F32"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66158F57"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6428F84F"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12CAEAA2"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0D980CF7" w14:textId="77777777" w:rsidR="0012305F" w:rsidRPr="000D008B" w:rsidRDefault="0012305F" w:rsidP="00354437">
            <w:pPr>
              <w:spacing w:line="240" w:lineRule="auto"/>
              <w:ind w:firstLine="0"/>
              <w:rPr>
                <w:rFonts w:cstheme="majorBidi"/>
                <w:sz w:val="20"/>
                <w:szCs w:val="20"/>
              </w:rPr>
            </w:pPr>
          </w:p>
        </w:tc>
      </w:tr>
      <w:tr w:rsidR="0012305F" w:rsidRPr="000D008B" w14:paraId="00B773F8" w14:textId="77777777" w:rsidTr="00354437">
        <w:trPr>
          <w:trHeight w:val="247"/>
        </w:trPr>
        <w:tc>
          <w:tcPr>
            <w:tcW w:w="1779" w:type="dxa"/>
            <w:noWrap/>
            <w:hideMark/>
          </w:tcPr>
          <w:p w14:paraId="3F2F828E" w14:textId="77777777" w:rsidR="0012305F" w:rsidRPr="000D008B" w:rsidRDefault="0012305F" w:rsidP="00354437">
            <w:pPr>
              <w:spacing w:line="240" w:lineRule="auto"/>
              <w:ind w:firstLine="0"/>
              <w:rPr>
                <w:rFonts w:cstheme="majorBidi"/>
                <w:sz w:val="20"/>
                <w:szCs w:val="20"/>
              </w:rPr>
            </w:pPr>
            <w:r>
              <w:rPr>
                <w:rFonts w:cstheme="majorBidi"/>
                <w:sz w:val="20"/>
                <w:szCs w:val="20"/>
              </w:rPr>
              <w:t>TO</w:t>
            </w:r>
          </w:p>
        </w:tc>
        <w:tc>
          <w:tcPr>
            <w:tcW w:w="939" w:type="dxa"/>
            <w:noWrap/>
            <w:hideMark/>
          </w:tcPr>
          <w:p w14:paraId="1CB05642"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-0.0133</w:t>
            </w:r>
          </w:p>
        </w:tc>
        <w:tc>
          <w:tcPr>
            <w:tcW w:w="939" w:type="dxa"/>
            <w:noWrap/>
            <w:hideMark/>
          </w:tcPr>
          <w:p w14:paraId="33E9DF32"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0.2318*</w:t>
            </w:r>
          </w:p>
        </w:tc>
        <w:tc>
          <w:tcPr>
            <w:tcW w:w="939" w:type="dxa"/>
            <w:noWrap/>
            <w:hideMark/>
          </w:tcPr>
          <w:p w14:paraId="2E244400"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0.2449*</w:t>
            </w:r>
          </w:p>
        </w:tc>
        <w:tc>
          <w:tcPr>
            <w:tcW w:w="939" w:type="dxa"/>
            <w:noWrap/>
            <w:hideMark/>
          </w:tcPr>
          <w:p w14:paraId="40518EBD"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0.5987*</w:t>
            </w:r>
          </w:p>
        </w:tc>
        <w:tc>
          <w:tcPr>
            <w:tcW w:w="939" w:type="dxa"/>
            <w:noWrap/>
            <w:hideMark/>
          </w:tcPr>
          <w:p w14:paraId="13DDC13A"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noWrap/>
            <w:hideMark/>
          </w:tcPr>
          <w:p w14:paraId="3D4A9C5F"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725DBB3B"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10E4B4A8"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30F34C00" w14:textId="77777777" w:rsidR="0012305F" w:rsidRPr="000D008B" w:rsidRDefault="0012305F" w:rsidP="00354437">
            <w:pPr>
              <w:spacing w:line="240" w:lineRule="auto"/>
              <w:ind w:firstLine="0"/>
              <w:rPr>
                <w:rFonts w:cstheme="majorBidi"/>
                <w:sz w:val="20"/>
                <w:szCs w:val="20"/>
              </w:rPr>
            </w:pPr>
          </w:p>
        </w:tc>
      </w:tr>
      <w:tr w:rsidR="0012305F" w:rsidRPr="000D008B" w14:paraId="673F6524" w14:textId="77777777" w:rsidTr="00354437">
        <w:trPr>
          <w:trHeight w:val="247"/>
        </w:trPr>
        <w:tc>
          <w:tcPr>
            <w:tcW w:w="1779" w:type="dxa"/>
            <w:noWrap/>
            <w:hideMark/>
          </w:tcPr>
          <w:p w14:paraId="18E8AE03" w14:textId="77777777" w:rsidR="0012305F" w:rsidRPr="000D008B" w:rsidRDefault="0012305F" w:rsidP="00354437">
            <w:pPr>
              <w:spacing w:line="240" w:lineRule="auto"/>
              <w:ind w:firstLine="0"/>
              <w:rPr>
                <w:rFonts w:cstheme="majorBidi"/>
                <w:sz w:val="20"/>
                <w:szCs w:val="20"/>
              </w:rPr>
            </w:pPr>
            <w:r>
              <w:rPr>
                <w:rFonts w:cstheme="majorBidi"/>
                <w:sz w:val="20"/>
                <w:szCs w:val="20"/>
              </w:rPr>
              <w:t>Growth</w:t>
            </w:r>
          </w:p>
        </w:tc>
        <w:tc>
          <w:tcPr>
            <w:tcW w:w="939" w:type="dxa"/>
            <w:noWrap/>
            <w:hideMark/>
          </w:tcPr>
          <w:p w14:paraId="3168766B"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-0.0898*</w:t>
            </w:r>
          </w:p>
        </w:tc>
        <w:tc>
          <w:tcPr>
            <w:tcW w:w="939" w:type="dxa"/>
            <w:noWrap/>
            <w:hideMark/>
          </w:tcPr>
          <w:p w14:paraId="0F93B73C"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-0.0890*</w:t>
            </w:r>
          </w:p>
        </w:tc>
        <w:tc>
          <w:tcPr>
            <w:tcW w:w="939" w:type="dxa"/>
            <w:noWrap/>
            <w:hideMark/>
          </w:tcPr>
          <w:p w14:paraId="30E93826"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-0.0509</w:t>
            </w:r>
          </w:p>
        </w:tc>
        <w:tc>
          <w:tcPr>
            <w:tcW w:w="939" w:type="dxa"/>
            <w:noWrap/>
            <w:hideMark/>
          </w:tcPr>
          <w:p w14:paraId="7E1BE69A"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-0.2016*</w:t>
            </w:r>
          </w:p>
        </w:tc>
        <w:tc>
          <w:tcPr>
            <w:tcW w:w="939" w:type="dxa"/>
            <w:noWrap/>
            <w:hideMark/>
          </w:tcPr>
          <w:p w14:paraId="0F6A8D82"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0.0464</w:t>
            </w:r>
          </w:p>
        </w:tc>
        <w:tc>
          <w:tcPr>
            <w:tcW w:w="939" w:type="dxa"/>
            <w:noWrap/>
            <w:hideMark/>
          </w:tcPr>
          <w:p w14:paraId="05C37126"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noWrap/>
            <w:hideMark/>
          </w:tcPr>
          <w:p w14:paraId="35D865C5"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49C4FB6D"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24EE5BAB" w14:textId="77777777" w:rsidR="0012305F" w:rsidRPr="000D008B" w:rsidRDefault="0012305F" w:rsidP="00354437">
            <w:pPr>
              <w:spacing w:line="240" w:lineRule="auto"/>
              <w:ind w:firstLine="0"/>
              <w:rPr>
                <w:rFonts w:cstheme="majorBidi"/>
                <w:sz w:val="20"/>
                <w:szCs w:val="20"/>
              </w:rPr>
            </w:pPr>
          </w:p>
        </w:tc>
      </w:tr>
      <w:tr w:rsidR="0012305F" w:rsidRPr="000D008B" w14:paraId="0A3C02A0" w14:textId="77777777" w:rsidTr="00354437">
        <w:trPr>
          <w:trHeight w:val="247"/>
        </w:trPr>
        <w:tc>
          <w:tcPr>
            <w:tcW w:w="1779" w:type="dxa"/>
            <w:noWrap/>
            <w:hideMark/>
          </w:tcPr>
          <w:p w14:paraId="061814DC" w14:textId="77777777" w:rsidR="0012305F" w:rsidRPr="000D008B" w:rsidRDefault="0012305F" w:rsidP="00354437">
            <w:pPr>
              <w:spacing w:line="240" w:lineRule="auto"/>
              <w:ind w:firstLine="0"/>
              <w:rPr>
                <w:rFonts w:cstheme="majorBidi"/>
                <w:sz w:val="20"/>
                <w:szCs w:val="20"/>
              </w:rPr>
            </w:pPr>
            <w:r w:rsidRPr="00270339">
              <w:rPr>
                <w:rFonts w:cstheme="majorBidi"/>
                <w:sz w:val="20"/>
                <w:szCs w:val="20"/>
              </w:rPr>
              <w:t>Inf</w:t>
            </w:r>
          </w:p>
        </w:tc>
        <w:tc>
          <w:tcPr>
            <w:tcW w:w="939" w:type="dxa"/>
            <w:noWrap/>
            <w:hideMark/>
          </w:tcPr>
          <w:p w14:paraId="64E4FC49"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-0.1454*</w:t>
            </w:r>
          </w:p>
        </w:tc>
        <w:tc>
          <w:tcPr>
            <w:tcW w:w="939" w:type="dxa"/>
            <w:noWrap/>
            <w:hideMark/>
          </w:tcPr>
          <w:p w14:paraId="3FAF577C"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-0.4223</w:t>
            </w:r>
          </w:p>
        </w:tc>
        <w:tc>
          <w:tcPr>
            <w:tcW w:w="939" w:type="dxa"/>
            <w:noWrap/>
            <w:hideMark/>
          </w:tcPr>
          <w:p w14:paraId="44BBF727"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-0.3666*</w:t>
            </w:r>
          </w:p>
        </w:tc>
        <w:tc>
          <w:tcPr>
            <w:tcW w:w="939" w:type="dxa"/>
            <w:noWrap/>
            <w:hideMark/>
          </w:tcPr>
          <w:p w14:paraId="7A057B77"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-0.2928*</w:t>
            </w:r>
          </w:p>
        </w:tc>
        <w:tc>
          <w:tcPr>
            <w:tcW w:w="939" w:type="dxa"/>
            <w:noWrap/>
            <w:hideMark/>
          </w:tcPr>
          <w:p w14:paraId="3F5E7E70"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-0.1073*</w:t>
            </w:r>
          </w:p>
        </w:tc>
        <w:tc>
          <w:tcPr>
            <w:tcW w:w="939" w:type="dxa"/>
            <w:noWrap/>
            <w:hideMark/>
          </w:tcPr>
          <w:p w14:paraId="2725726B"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-0.1710*</w:t>
            </w:r>
          </w:p>
        </w:tc>
        <w:tc>
          <w:tcPr>
            <w:tcW w:w="939" w:type="dxa"/>
            <w:noWrap/>
            <w:hideMark/>
          </w:tcPr>
          <w:p w14:paraId="62A343A4"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noWrap/>
            <w:hideMark/>
          </w:tcPr>
          <w:p w14:paraId="2C66E370" w14:textId="77777777" w:rsidR="0012305F" w:rsidRPr="000D008B" w:rsidRDefault="0012305F" w:rsidP="00354437">
            <w:pPr>
              <w:spacing w:line="240" w:lineRule="auto"/>
              <w:ind w:firstLine="0"/>
              <w:rPr>
                <w:rFonts w:cstheme="majorBidi"/>
                <w:sz w:val="20"/>
                <w:szCs w:val="20"/>
              </w:rPr>
            </w:pPr>
          </w:p>
        </w:tc>
        <w:tc>
          <w:tcPr>
            <w:tcW w:w="939" w:type="dxa"/>
            <w:noWrap/>
            <w:hideMark/>
          </w:tcPr>
          <w:p w14:paraId="02301902" w14:textId="77777777" w:rsidR="0012305F" w:rsidRPr="000D008B" w:rsidRDefault="0012305F" w:rsidP="00354437">
            <w:pPr>
              <w:spacing w:line="240" w:lineRule="auto"/>
              <w:ind w:firstLine="0"/>
              <w:rPr>
                <w:rFonts w:cstheme="majorBidi"/>
                <w:sz w:val="20"/>
                <w:szCs w:val="20"/>
              </w:rPr>
            </w:pPr>
          </w:p>
        </w:tc>
      </w:tr>
      <w:tr w:rsidR="0012305F" w:rsidRPr="000D008B" w14:paraId="2D74530E" w14:textId="77777777" w:rsidTr="00354437">
        <w:trPr>
          <w:trHeight w:val="247"/>
        </w:trPr>
        <w:tc>
          <w:tcPr>
            <w:tcW w:w="1779" w:type="dxa"/>
            <w:noWrap/>
            <w:hideMark/>
          </w:tcPr>
          <w:p w14:paraId="3B3D5DA3" w14:textId="77777777" w:rsidR="0012305F" w:rsidRPr="000D008B" w:rsidRDefault="0012305F" w:rsidP="00354437">
            <w:pPr>
              <w:spacing w:line="240" w:lineRule="auto"/>
              <w:ind w:firstLine="0"/>
              <w:rPr>
                <w:rFonts w:cstheme="majorBidi"/>
                <w:sz w:val="20"/>
                <w:szCs w:val="20"/>
              </w:rPr>
            </w:pPr>
            <w:proofErr w:type="spellStart"/>
            <w:r w:rsidRPr="00270339">
              <w:rPr>
                <w:rFonts w:cstheme="majorBidi"/>
                <w:sz w:val="20"/>
                <w:szCs w:val="20"/>
              </w:rPr>
              <w:t>GovExp</w:t>
            </w:r>
            <w:proofErr w:type="spellEnd"/>
          </w:p>
        </w:tc>
        <w:tc>
          <w:tcPr>
            <w:tcW w:w="939" w:type="dxa"/>
            <w:noWrap/>
            <w:hideMark/>
          </w:tcPr>
          <w:p w14:paraId="3C3E18D0"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0.2505*</w:t>
            </w:r>
          </w:p>
        </w:tc>
        <w:tc>
          <w:tcPr>
            <w:tcW w:w="939" w:type="dxa"/>
            <w:noWrap/>
            <w:hideMark/>
          </w:tcPr>
          <w:p w14:paraId="354AAF9E"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0.3472*</w:t>
            </w:r>
          </w:p>
        </w:tc>
        <w:tc>
          <w:tcPr>
            <w:tcW w:w="939" w:type="dxa"/>
            <w:noWrap/>
            <w:hideMark/>
          </w:tcPr>
          <w:p w14:paraId="0D4001E4"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0.2948*</w:t>
            </w:r>
          </w:p>
        </w:tc>
        <w:tc>
          <w:tcPr>
            <w:tcW w:w="939" w:type="dxa"/>
            <w:noWrap/>
            <w:hideMark/>
          </w:tcPr>
          <w:p w14:paraId="6B9531DC"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0.3782*</w:t>
            </w:r>
          </w:p>
        </w:tc>
        <w:tc>
          <w:tcPr>
            <w:tcW w:w="939" w:type="dxa"/>
            <w:noWrap/>
            <w:hideMark/>
          </w:tcPr>
          <w:p w14:paraId="55A6C14D"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0.1681*</w:t>
            </w:r>
          </w:p>
        </w:tc>
        <w:tc>
          <w:tcPr>
            <w:tcW w:w="939" w:type="dxa"/>
            <w:noWrap/>
            <w:hideMark/>
          </w:tcPr>
          <w:p w14:paraId="795294E4"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-0.2185*</w:t>
            </w:r>
          </w:p>
        </w:tc>
        <w:tc>
          <w:tcPr>
            <w:tcW w:w="939" w:type="dxa"/>
            <w:noWrap/>
            <w:hideMark/>
          </w:tcPr>
          <w:p w14:paraId="7026DA93"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-0.1548*</w:t>
            </w:r>
          </w:p>
        </w:tc>
        <w:tc>
          <w:tcPr>
            <w:tcW w:w="939" w:type="dxa"/>
            <w:noWrap/>
            <w:hideMark/>
          </w:tcPr>
          <w:p w14:paraId="1D9C1B09"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c>
          <w:tcPr>
            <w:tcW w:w="939" w:type="dxa"/>
            <w:noWrap/>
            <w:hideMark/>
          </w:tcPr>
          <w:p w14:paraId="08C5F5D3" w14:textId="77777777" w:rsidR="0012305F" w:rsidRPr="000D008B" w:rsidRDefault="0012305F" w:rsidP="00354437">
            <w:pPr>
              <w:spacing w:line="240" w:lineRule="auto"/>
              <w:ind w:firstLine="0"/>
              <w:rPr>
                <w:rFonts w:cstheme="majorBidi"/>
                <w:sz w:val="20"/>
                <w:szCs w:val="20"/>
              </w:rPr>
            </w:pPr>
          </w:p>
        </w:tc>
      </w:tr>
      <w:tr w:rsidR="0012305F" w:rsidRPr="000D008B" w14:paraId="045B88AD" w14:textId="77777777" w:rsidTr="00354437">
        <w:trPr>
          <w:trHeight w:val="247"/>
        </w:trPr>
        <w:tc>
          <w:tcPr>
            <w:tcW w:w="1779" w:type="dxa"/>
            <w:noWrap/>
            <w:hideMark/>
          </w:tcPr>
          <w:p w14:paraId="62A30ACA" w14:textId="77777777" w:rsidR="0012305F" w:rsidRPr="000D008B" w:rsidRDefault="0012305F" w:rsidP="00354437">
            <w:pPr>
              <w:spacing w:line="240" w:lineRule="auto"/>
              <w:ind w:firstLine="0"/>
              <w:rPr>
                <w:rFonts w:cstheme="majorBidi"/>
                <w:sz w:val="20"/>
                <w:szCs w:val="20"/>
              </w:rPr>
            </w:pPr>
            <w:r>
              <w:rPr>
                <w:rFonts w:cstheme="majorBidi"/>
                <w:sz w:val="20"/>
                <w:szCs w:val="20"/>
              </w:rPr>
              <w:t>Pop</w:t>
            </w:r>
          </w:p>
        </w:tc>
        <w:tc>
          <w:tcPr>
            <w:tcW w:w="939" w:type="dxa"/>
            <w:noWrap/>
            <w:hideMark/>
          </w:tcPr>
          <w:p w14:paraId="23E1C4E5"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-0.1765*</w:t>
            </w:r>
          </w:p>
        </w:tc>
        <w:tc>
          <w:tcPr>
            <w:tcW w:w="939" w:type="dxa"/>
            <w:noWrap/>
            <w:hideMark/>
          </w:tcPr>
          <w:p w14:paraId="274B530B"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0.0600</w:t>
            </w:r>
          </w:p>
        </w:tc>
        <w:tc>
          <w:tcPr>
            <w:tcW w:w="939" w:type="dxa"/>
            <w:noWrap/>
            <w:hideMark/>
          </w:tcPr>
          <w:p w14:paraId="0FBD9C46"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0.1104*</w:t>
            </w:r>
          </w:p>
        </w:tc>
        <w:tc>
          <w:tcPr>
            <w:tcW w:w="939" w:type="dxa"/>
            <w:noWrap/>
            <w:hideMark/>
          </w:tcPr>
          <w:p w14:paraId="7820E3A5"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-0.3142*</w:t>
            </w:r>
          </w:p>
        </w:tc>
        <w:tc>
          <w:tcPr>
            <w:tcW w:w="939" w:type="dxa"/>
            <w:noWrap/>
            <w:hideMark/>
          </w:tcPr>
          <w:p w14:paraId="20CA3651"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-0.5784</w:t>
            </w:r>
          </w:p>
        </w:tc>
        <w:tc>
          <w:tcPr>
            <w:tcW w:w="939" w:type="dxa"/>
            <w:noWrap/>
            <w:hideMark/>
          </w:tcPr>
          <w:p w14:paraId="08928132"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0.0706</w:t>
            </w:r>
          </w:p>
        </w:tc>
        <w:tc>
          <w:tcPr>
            <w:tcW w:w="939" w:type="dxa"/>
            <w:noWrap/>
            <w:hideMark/>
          </w:tcPr>
          <w:p w14:paraId="7772FE61"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0.02910</w:t>
            </w:r>
          </w:p>
        </w:tc>
        <w:tc>
          <w:tcPr>
            <w:tcW w:w="939" w:type="dxa"/>
            <w:noWrap/>
            <w:hideMark/>
          </w:tcPr>
          <w:p w14:paraId="1195B751"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-0.2216*</w:t>
            </w:r>
          </w:p>
        </w:tc>
        <w:tc>
          <w:tcPr>
            <w:tcW w:w="939" w:type="dxa"/>
            <w:noWrap/>
            <w:hideMark/>
          </w:tcPr>
          <w:p w14:paraId="37A65D71"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1</w:t>
            </w:r>
          </w:p>
        </w:tc>
      </w:tr>
      <w:tr w:rsidR="0012305F" w:rsidRPr="000D008B" w14:paraId="5D7FC347" w14:textId="77777777" w:rsidTr="00354437">
        <w:trPr>
          <w:trHeight w:val="247"/>
        </w:trPr>
        <w:tc>
          <w:tcPr>
            <w:tcW w:w="1779" w:type="dxa"/>
            <w:tcBorders>
              <w:bottom w:val="single" w:sz="6" w:space="0" w:color="auto"/>
            </w:tcBorders>
            <w:noWrap/>
            <w:hideMark/>
          </w:tcPr>
          <w:p w14:paraId="46971968" w14:textId="77777777" w:rsidR="0012305F" w:rsidRPr="000D008B" w:rsidRDefault="0012305F" w:rsidP="00354437">
            <w:pPr>
              <w:spacing w:line="240" w:lineRule="auto"/>
              <w:ind w:firstLine="0"/>
              <w:rPr>
                <w:rFonts w:cstheme="majorBidi"/>
                <w:sz w:val="20"/>
                <w:szCs w:val="20"/>
              </w:rPr>
            </w:pPr>
            <w:proofErr w:type="spellStart"/>
            <w:r w:rsidRPr="000D008B">
              <w:rPr>
                <w:rFonts w:cstheme="majorBidi"/>
                <w:sz w:val="20"/>
                <w:szCs w:val="20"/>
              </w:rPr>
              <w:t>LifeExp</w:t>
            </w:r>
            <w:proofErr w:type="spellEnd"/>
          </w:p>
        </w:tc>
        <w:tc>
          <w:tcPr>
            <w:tcW w:w="939" w:type="dxa"/>
            <w:tcBorders>
              <w:bottom w:val="single" w:sz="6" w:space="0" w:color="auto"/>
            </w:tcBorders>
            <w:noWrap/>
            <w:hideMark/>
          </w:tcPr>
          <w:p w14:paraId="2DB68C57"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-0.0730</w:t>
            </w:r>
          </w:p>
        </w:tc>
        <w:tc>
          <w:tcPr>
            <w:tcW w:w="939" w:type="dxa"/>
            <w:tcBorders>
              <w:bottom w:val="single" w:sz="6" w:space="0" w:color="auto"/>
            </w:tcBorders>
            <w:noWrap/>
            <w:hideMark/>
          </w:tcPr>
          <w:p w14:paraId="4F32AC1D"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0.7065*</w:t>
            </w:r>
          </w:p>
        </w:tc>
        <w:tc>
          <w:tcPr>
            <w:tcW w:w="939" w:type="dxa"/>
            <w:tcBorders>
              <w:bottom w:val="single" w:sz="6" w:space="0" w:color="auto"/>
            </w:tcBorders>
            <w:noWrap/>
            <w:hideMark/>
          </w:tcPr>
          <w:p w14:paraId="6601AB73"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0.6437*</w:t>
            </w:r>
          </w:p>
        </w:tc>
        <w:tc>
          <w:tcPr>
            <w:tcW w:w="939" w:type="dxa"/>
            <w:tcBorders>
              <w:bottom w:val="single" w:sz="6" w:space="0" w:color="auto"/>
            </w:tcBorders>
            <w:noWrap/>
            <w:hideMark/>
          </w:tcPr>
          <w:p w14:paraId="691B4F97"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0.5167*</w:t>
            </w:r>
          </w:p>
        </w:tc>
        <w:tc>
          <w:tcPr>
            <w:tcW w:w="939" w:type="dxa"/>
            <w:tcBorders>
              <w:bottom w:val="single" w:sz="6" w:space="0" w:color="auto"/>
            </w:tcBorders>
            <w:noWrap/>
            <w:hideMark/>
          </w:tcPr>
          <w:p w14:paraId="57C93483"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0.1567*</w:t>
            </w:r>
          </w:p>
        </w:tc>
        <w:tc>
          <w:tcPr>
            <w:tcW w:w="939" w:type="dxa"/>
            <w:tcBorders>
              <w:bottom w:val="single" w:sz="6" w:space="0" w:color="auto"/>
            </w:tcBorders>
            <w:noWrap/>
            <w:hideMark/>
          </w:tcPr>
          <w:p w14:paraId="5CF06B91"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-0.0491</w:t>
            </w:r>
          </w:p>
        </w:tc>
        <w:tc>
          <w:tcPr>
            <w:tcW w:w="939" w:type="dxa"/>
            <w:tcBorders>
              <w:bottom w:val="single" w:sz="6" w:space="0" w:color="auto"/>
            </w:tcBorders>
            <w:noWrap/>
            <w:hideMark/>
          </w:tcPr>
          <w:p w14:paraId="0E5B7BAF"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-0.2388*</w:t>
            </w:r>
          </w:p>
        </w:tc>
        <w:tc>
          <w:tcPr>
            <w:tcW w:w="939" w:type="dxa"/>
            <w:tcBorders>
              <w:bottom w:val="single" w:sz="6" w:space="0" w:color="auto"/>
            </w:tcBorders>
            <w:noWrap/>
            <w:hideMark/>
          </w:tcPr>
          <w:p w14:paraId="66A4B287"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0.2345*</w:t>
            </w:r>
          </w:p>
        </w:tc>
        <w:tc>
          <w:tcPr>
            <w:tcW w:w="939" w:type="dxa"/>
            <w:tcBorders>
              <w:bottom w:val="single" w:sz="6" w:space="0" w:color="auto"/>
            </w:tcBorders>
            <w:noWrap/>
            <w:hideMark/>
          </w:tcPr>
          <w:p w14:paraId="5761C998" w14:textId="77777777" w:rsidR="0012305F" w:rsidRPr="000D008B" w:rsidRDefault="0012305F" w:rsidP="00354437">
            <w:pPr>
              <w:spacing w:line="240" w:lineRule="auto"/>
              <w:ind w:firstLine="0"/>
              <w:rPr>
                <w:rFonts w:cstheme="majorBidi"/>
                <w:sz w:val="20"/>
                <w:szCs w:val="20"/>
              </w:rPr>
            </w:pPr>
            <w:r w:rsidRPr="000D008B">
              <w:rPr>
                <w:rFonts w:cstheme="majorBidi"/>
                <w:sz w:val="20"/>
                <w:szCs w:val="20"/>
              </w:rPr>
              <w:t>-0.0400</w:t>
            </w:r>
          </w:p>
        </w:tc>
      </w:tr>
    </w:tbl>
    <w:p w14:paraId="33FD8EC4" w14:textId="77777777" w:rsidR="007D5DFF" w:rsidRDefault="007D5DFF" w:rsidP="0012305F"/>
    <w:p w14:paraId="13B5205A" w14:textId="77777777" w:rsidR="007D5DFF" w:rsidRDefault="007D5DFF" w:rsidP="0012305F"/>
    <w:p w14:paraId="09736CB0" w14:textId="2D9DA44E" w:rsidR="0012305F" w:rsidRDefault="0012305F" w:rsidP="0012305F">
      <w:r>
        <w:lastRenderedPageBreak/>
        <w:t xml:space="preserve">To provide further insight for our analysis, </w:t>
      </w:r>
      <w:r w:rsidRPr="00871329">
        <w:t>Fig</w:t>
      </w:r>
      <w:r>
        <w:t xml:space="preserve">. </w:t>
      </w:r>
      <w:r w:rsidRPr="00871329">
        <w:t xml:space="preserve">1 shows the relationship between </w:t>
      </w:r>
      <w:r>
        <w:t>i</w:t>
      </w:r>
      <w:r w:rsidRPr="00871329">
        <w:t xml:space="preserve">ncome </w:t>
      </w:r>
      <w:r>
        <w:t>i</w:t>
      </w:r>
      <w:r w:rsidRPr="00871329">
        <w:t>nequality</w:t>
      </w:r>
      <w:r>
        <w:t xml:space="preserve"> and FD c</w:t>
      </w:r>
      <w:r w:rsidRPr="00871329">
        <w:t xml:space="preserve">ontrolling for country and year fixed effect. </w:t>
      </w:r>
      <w:r>
        <w:t xml:space="preserve">This figure suggests that more FD, measured by </w:t>
      </w:r>
      <w:proofErr w:type="spellStart"/>
      <w:r w:rsidRPr="00714F20">
        <w:rPr>
          <w:i/>
          <w:iCs/>
        </w:rPr>
        <w:t>PrivateCredit</w:t>
      </w:r>
      <w:proofErr w:type="spellEnd"/>
      <w:r>
        <w:t xml:space="preserve"> or </w:t>
      </w:r>
      <w:proofErr w:type="spellStart"/>
      <w:r>
        <w:rPr>
          <w:i/>
          <w:iCs/>
        </w:rPr>
        <w:t>LiquidLiabilities</w:t>
      </w:r>
      <w:proofErr w:type="spellEnd"/>
      <w:r>
        <w:t xml:space="preserve">, slightly increases income inequality, measured by </w:t>
      </w:r>
      <w:proofErr w:type="spellStart"/>
      <w:r w:rsidRPr="00714F20">
        <w:rPr>
          <w:i/>
          <w:iCs/>
        </w:rPr>
        <w:t>GiniGross</w:t>
      </w:r>
      <w:proofErr w:type="spellEnd"/>
      <w:r>
        <w:t>.</w:t>
      </w:r>
      <w:r w:rsidRPr="00CC7A70">
        <w:rPr>
          <w:rFonts w:cstheme="majorBidi"/>
          <w:szCs w:val="24"/>
        </w:rPr>
        <w:t xml:space="preserve"> </w:t>
      </w:r>
      <w:r w:rsidRPr="00CC7A70">
        <w:t xml:space="preserve">To explore whether the impact of </w:t>
      </w:r>
      <w:r>
        <w:t>FD</w:t>
      </w:r>
      <w:r w:rsidRPr="00CC7A70">
        <w:t xml:space="preserve"> on income inequality changes by economic openness, which includes both financial and trade openness, we divide countries into four groups. </w:t>
      </w:r>
      <w:r w:rsidRPr="00B736D9">
        <w:t>The first two groups are</w:t>
      </w:r>
      <w:r w:rsidRPr="00CC7A70">
        <w:t xml:space="preserve"> count</w:t>
      </w:r>
      <w:r>
        <w:t>r</w:t>
      </w:r>
      <w:r w:rsidRPr="00CC7A70">
        <w:t xml:space="preserve">ies </w:t>
      </w:r>
      <w:r>
        <w:t>whose</w:t>
      </w:r>
      <w:r w:rsidRPr="00CC7A70">
        <w:t xml:space="preserve"> average level of financial openness over the sample period is less (more) than </w:t>
      </w:r>
      <w:r>
        <w:t xml:space="preserve">the </w:t>
      </w:r>
      <w:r w:rsidRPr="00CC7A70">
        <w:t>first quantile (equal to 0.97), denoted by LFO</w:t>
      </w:r>
      <w:r>
        <w:t xml:space="preserve"> </w:t>
      </w:r>
      <w:r w:rsidRPr="00CC7A70">
        <w:t>(HFO). Fi</w:t>
      </w:r>
      <w:r>
        <w:t>g.</w:t>
      </w:r>
      <w:r w:rsidRPr="00CC7A70">
        <w:t xml:space="preserve"> 2 implies that the relationship between </w:t>
      </w:r>
      <w:r>
        <w:t>FD</w:t>
      </w:r>
      <w:r w:rsidRPr="00CC7A70">
        <w:t xml:space="preserve"> and income inequality varies according to the level of financial openness. There is </w:t>
      </w:r>
      <w:r>
        <w:t xml:space="preserve">a </w:t>
      </w:r>
      <w:r w:rsidRPr="00CC7A70">
        <w:t xml:space="preserve">positive relationship between </w:t>
      </w:r>
      <w:r>
        <w:t>FD</w:t>
      </w:r>
      <w:r w:rsidRPr="00CC7A70">
        <w:t xml:space="preserve"> and income inequality among HFO countries</w:t>
      </w:r>
      <w:r>
        <w:t xml:space="preserve"> (e.g., Netherlands, France, United Kingdom, etc.),</w:t>
      </w:r>
      <w:r w:rsidRPr="00CC7A70">
        <w:t xml:space="preserve"> while no relationship is observed among LFO countries</w:t>
      </w:r>
      <w:r>
        <w:t xml:space="preserve"> (e.g., Brazil, Colombia, Bangladesh, etc.)</w:t>
      </w:r>
      <w:r w:rsidRPr="00CC7A70">
        <w:t xml:space="preserve">. </w:t>
      </w:r>
      <w:r w:rsidRPr="00B736D9">
        <w:t>The second two groups</w:t>
      </w:r>
      <w:r w:rsidRPr="00CC7A70">
        <w:t xml:space="preserve"> are count</w:t>
      </w:r>
      <w:r>
        <w:t>ri</w:t>
      </w:r>
      <w:r w:rsidRPr="00CC7A70">
        <w:t xml:space="preserve">es </w:t>
      </w:r>
      <w:r>
        <w:t>whose</w:t>
      </w:r>
      <w:r w:rsidRPr="00CC7A70">
        <w:t xml:space="preserve"> average level of trade openness over the sample period is less (more) than </w:t>
      </w:r>
      <w:r>
        <w:t xml:space="preserve">the </w:t>
      </w:r>
      <w:r w:rsidRPr="00CC7A70">
        <w:t>first quantile (equal to 50.25), denoted by LTO</w:t>
      </w:r>
      <w:r>
        <w:t xml:space="preserve"> </w:t>
      </w:r>
      <w:r w:rsidRPr="00CC7A70">
        <w:t>(HTO). Fig</w:t>
      </w:r>
      <w:r>
        <w:t>.</w:t>
      </w:r>
      <w:r w:rsidRPr="00CC7A70">
        <w:t xml:space="preserve"> 3 implies that the relationship between </w:t>
      </w:r>
      <w:r>
        <w:t>FD</w:t>
      </w:r>
      <w:r w:rsidRPr="00CC7A70">
        <w:t xml:space="preserve"> and income inequality varies according to the level of trade openness. There is </w:t>
      </w:r>
      <w:r>
        <w:t xml:space="preserve">a </w:t>
      </w:r>
      <w:r w:rsidRPr="00CC7A70">
        <w:t xml:space="preserve">positive relationship between </w:t>
      </w:r>
      <w:r>
        <w:t>FD</w:t>
      </w:r>
      <w:r w:rsidRPr="00CC7A70">
        <w:t xml:space="preserve"> and income inequality among HTO countries</w:t>
      </w:r>
      <w:r>
        <w:t xml:space="preserve"> (e.g., Thailand, Malaysia, Singapore, etc.),</w:t>
      </w:r>
      <w:r w:rsidRPr="00CC7A70">
        <w:t xml:space="preserve"> while this positive relationship </w:t>
      </w:r>
      <w:r>
        <w:t>is</w:t>
      </w:r>
      <w:r w:rsidRPr="00CC7A70">
        <w:t xml:space="preserve"> not observe</w:t>
      </w:r>
      <w:r>
        <w:t>d</w:t>
      </w:r>
      <w:r w:rsidRPr="00CC7A70">
        <w:t xml:space="preserve"> among LTO countries</w:t>
      </w:r>
      <w:r>
        <w:t xml:space="preserve"> (e.g., Japan, United States, Australia, etc.)</w:t>
      </w:r>
      <w:r w:rsidRPr="00CC7A70">
        <w:t xml:space="preserve">. </w:t>
      </w:r>
      <w:bookmarkStart w:id="9" w:name="_Hlk117240596"/>
      <w:r>
        <w:t xml:space="preserve">This suggests that openness strengthens the pro-inequality impact of FD. Appendix B provides a list of LFO, HFO, LTO and HTO countries in our sample. </w:t>
      </w:r>
    </w:p>
    <w:p w14:paraId="68DD7608" w14:textId="77777777" w:rsidR="007D5DFF" w:rsidRPr="00B736D9" w:rsidRDefault="007D5DFF" w:rsidP="0012305F"/>
    <w:p w14:paraId="2C1D5303" w14:textId="69F4DE6D" w:rsidR="0012305F" w:rsidRPr="004308FB" w:rsidRDefault="0012305F" w:rsidP="0012305F">
      <w:pPr>
        <w:pStyle w:val="Caption"/>
        <w:jc w:val="center"/>
        <w:rPr>
          <w:rFonts w:cstheme="majorBidi"/>
          <w:b/>
          <w:bCs/>
          <w:i w:val="0"/>
          <w:iCs w:val="0"/>
          <w:color w:val="auto"/>
          <w:sz w:val="22"/>
          <w:szCs w:val="22"/>
        </w:rPr>
      </w:pPr>
      <w:r w:rsidRPr="004308FB">
        <w:rPr>
          <w:rFonts w:cstheme="majorBidi"/>
          <w:b/>
          <w:bCs/>
          <w:i w:val="0"/>
          <w:iCs w:val="0"/>
          <w:color w:val="auto"/>
          <w:sz w:val="22"/>
          <w:szCs w:val="22"/>
        </w:rPr>
        <w:t xml:space="preserve">Figure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Figure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1</w:t>
      </w:r>
      <w:r w:rsidRPr="004308FB">
        <w:rPr>
          <w:rFonts w:cstheme="majorBidi"/>
          <w:b/>
          <w:bCs/>
          <w:i w:val="0"/>
          <w:iCs w:val="0"/>
          <w:color w:val="auto"/>
          <w:sz w:val="22"/>
          <w:szCs w:val="22"/>
        </w:rPr>
        <w:fldChar w:fldCharType="end"/>
      </w:r>
      <w:r w:rsidR="007D5DFF" w:rsidRPr="004308FB">
        <w:rPr>
          <w:rFonts w:cstheme="majorBidi"/>
          <w:b/>
          <w:bCs/>
          <w:i w:val="0"/>
          <w:iCs w:val="0"/>
          <w:color w:val="auto"/>
          <w:sz w:val="22"/>
          <w:szCs w:val="22"/>
        </w:rPr>
        <w:t>.</w:t>
      </w:r>
      <w:r w:rsidRPr="004308FB">
        <w:rPr>
          <w:rFonts w:cstheme="majorBidi"/>
          <w:b/>
          <w:bCs/>
          <w:i w:val="0"/>
          <w:iCs w:val="0"/>
          <w:color w:val="auto"/>
          <w:sz w:val="22"/>
          <w:szCs w:val="22"/>
        </w:rPr>
        <w:t xml:space="preserve"> Relationship between FD and income inequality</w:t>
      </w:r>
    </w:p>
    <w:bookmarkEnd w:id="9"/>
    <w:p w14:paraId="7C0660F8" w14:textId="77777777" w:rsidR="0012305F" w:rsidRDefault="0012305F" w:rsidP="0012305F">
      <w:pPr>
        <w:tabs>
          <w:tab w:val="left" w:pos="8364"/>
        </w:tabs>
        <w:spacing w:line="240" w:lineRule="auto"/>
        <w:ind w:left="-426" w:right="-472" w:firstLine="0"/>
        <w:jc w:val="center"/>
        <w:rPr>
          <w:noProof/>
        </w:rPr>
      </w:pPr>
      <w:r>
        <w:rPr>
          <w:noProof/>
          <w:lang w:eastAsia="en-NZ"/>
        </w:rPr>
        <w:drawing>
          <wp:inline distT="0" distB="0" distL="0" distR="0" wp14:anchorId="5836BA06" wp14:editId="468B5730">
            <wp:extent cx="2736000" cy="1908000"/>
            <wp:effectExtent l="0" t="0" r="7620" b="16510"/>
            <wp:docPr id="1" name="Chart 1">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lang w:eastAsia="en-NZ"/>
        </w:rPr>
        <w:drawing>
          <wp:inline distT="0" distB="0" distL="0" distR="0" wp14:anchorId="6A9CB290" wp14:editId="187B2E42">
            <wp:extent cx="2736000" cy="1908000"/>
            <wp:effectExtent l="0" t="0" r="7620" b="16510"/>
            <wp:docPr id="7" name="Chart 7">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C303DB" w14:textId="77777777" w:rsidR="0012305F" w:rsidRPr="00A96E80" w:rsidRDefault="0012305F" w:rsidP="0012305F">
      <w:pPr>
        <w:tabs>
          <w:tab w:val="left" w:pos="8364"/>
        </w:tabs>
        <w:spacing w:line="240" w:lineRule="auto"/>
        <w:ind w:left="-426" w:right="-472" w:firstLine="0"/>
      </w:pPr>
    </w:p>
    <w:p w14:paraId="6AAE7222" w14:textId="77777777" w:rsidR="007D5DFF" w:rsidRDefault="007D5DFF" w:rsidP="0012305F">
      <w:pPr>
        <w:pStyle w:val="Caption"/>
        <w:ind w:firstLine="0"/>
        <w:jc w:val="center"/>
        <w:rPr>
          <w:rFonts w:cstheme="majorBidi"/>
          <w:b/>
          <w:bCs/>
          <w:i w:val="0"/>
          <w:iCs w:val="0"/>
          <w:color w:val="auto"/>
          <w:sz w:val="20"/>
          <w:szCs w:val="20"/>
        </w:rPr>
      </w:pPr>
    </w:p>
    <w:p w14:paraId="3BC24F1F" w14:textId="77777777" w:rsidR="007D5DFF" w:rsidRDefault="007D5DFF" w:rsidP="0012305F">
      <w:pPr>
        <w:pStyle w:val="Caption"/>
        <w:ind w:firstLine="0"/>
        <w:jc w:val="center"/>
        <w:rPr>
          <w:rFonts w:cstheme="majorBidi"/>
          <w:b/>
          <w:bCs/>
          <w:i w:val="0"/>
          <w:iCs w:val="0"/>
          <w:color w:val="auto"/>
          <w:sz w:val="20"/>
          <w:szCs w:val="20"/>
        </w:rPr>
      </w:pPr>
    </w:p>
    <w:p w14:paraId="5793BEDC" w14:textId="77777777" w:rsidR="007D5DFF" w:rsidRDefault="007D5DFF" w:rsidP="0012305F">
      <w:pPr>
        <w:pStyle w:val="Caption"/>
        <w:ind w:firstLine="0"/>
        <w:jc w:val="center"/>
        <w:rPr>
          <w:rFonts w:cstheme="majorBidi"/>
          <w:b/>
          <w:bCs/>
          <w:i w:val="0"/>
          <w:iCs w:val="0"/>
          <w:color w:val="auto"/>
          <w:sz w:val="20"/>
          <w:szCs w:val="20"/>
        </w:rPr>
      </w:pPr>
    </w:p>
    <w:p w14:paraId="641A7778" w14:textId="77777777" w:rsidR="007D5DFF" w:rsidRDefault="007D5DFF" w:rsidP="0012305F">
      <w:pPr>
        <w:pStyle w:val="Caption"/>
        <w:ind w:firstLine="0"/>
        <w:jc w:val="center"/>
        <w:rPr>
          <w:rFonts w:cstheme="majorBidi"/>
          <w:b/>
          <w:bCs/>
          <w:i w:val="0"/>
          <w:iCs w:val="0"/>
          <w:color w:val="auto"/>
          <w:sz w:val="20"/>
          <w:szCs w:val="20"/>
        </w:rPr>
      </w:pPr>
    </w:p>
    <w:p w14:paraId="78DB5297" w14:textId="77777777" w:rsidR="007D5DFF" w:rsidRDefault="007D5DFF" w:rsidP="0012305F">
      <w:pPr>
        <w:pStyle w:val="Caption"/>
        <w:ind w:firstLine="0"/>
        <w:jc w:val="center"/>
        <w:rPr>
          <w:rFonts w:cstheme="majorBidi"/>
          <w:b/>
          <w:bCs/>
          <w:i w:val="0"/>
          <w:iCs w:val="0"/>
          <w:color w:val="auto"/>
          <w:sz w:val="20"/>
          <w:szCs w:val="20"/>
        </w:rPr>
      </w:pPr>
    </w:p>
    <w:p w14:paraId="2377A27B" w14:textId="7D068CB3" w:rsidR="0012305F" w:rsidRPr="004308FB" w:rsidRDefault="0012305F" w:rsidP="0012305F">
      <w:pPr>
        <w:pStyle w:val="Caption"/>
        <w:ind w:firstLine="0"/>
        <w:jc w:val="center"/>
        <w:rPr>
          <w:rFonts w:cstheme="majorBidi"/>
          <w:b/>
          <w:bCs/>
          <w:i w:val="0"/>
          <w:iCs w:val="0"/>
          <w:color w:val="auto"/>
          <w:sz w:val="22"/>
          <w:szCs w:val="22"/>
        </w:rPr>
      </w:pPr>
      <w:r w:rsidRPr="004308FB">
        <w:rPr>
          <w:rFonts w:cstheme="majorBidi"/>
          <w:b/>
          <w:bCs/>
          <w:i w:val="0"/>
          <w:iCs w:val="0"/>
          <w:color w:val="auto"/>
          <w:sz w:val="22"/>
          <w:szCs w:val="22"/>
        </w:rPr>
        <w:lastRenderedPageBreak/>
        <w:t xml:space="preserve">Figure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Figure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2</w:t>
      </w:r>
      <w:r w:rsidRPr="004308FB">
        <w:rPr>
          <w:rFonts w:cstheme="majorBidi"/>
          <w:b/>
          <w:bCs/>
          <w:i w:val="0"/>
          <w:iCs w:val="0"/>
          <w:color w:val="auto"/>
          <w:sz w:val="22"/>
          <w:szCs w:val="22"/>
        </w:rPr>
        <w:fldChar w:fldCharType="end"/>
      </w:r>
      <w:r w:rsidR="007D5DFF" w:rsidRPr="004308FB">
        <w:rPr>
          <w:rFonts w:cstheme="majorBidi"/>
          <w:b/>
          <w:bCs/>
          <w:i w:val="0"/>
          <w:iCs w:val="0"/>
          <w:color w:val="auto"/>
          <w:sz w:val="22"/>
          <w:szCs w:val="22"/>
        </w:rPr>
        <w:t>.</w:t>
      </w:r>
      <w:r w:rsidRPr="004308FB">
        <w:rPr>
          <w:rFonts w:cstheme="majorBidi"/>
          <w:b/>
          <w:bCs/>
          <w:i w:val="0"/>
          <w:iCs w:val="0"/>
          <w:color w:val="auto"/>
          <w:sz w:val="22"/>
          <w:szCs w:val="22"/>
        </w:rPr>
        <w:t xml:space="preserve"> Relationship between FD and income inequality for LFO and HFO countries</w:t>
      </w:r>
    </w:p>
    <w:p w14:paraId="3FA10BD2" w14:textId="77777777" w:rsidR="0012305F" w:rsidRDefault="0012305F" w:rsidP="0012305F">
      <w:pPr>
        <w:tabs>
          <w:tab w:val="left" w:pos="8364"/>
        </w:tabs>
        <w:spacing w:line="240" w:lineRule="auto"/>
        <w:ind w:left="-426" w:right="-613" w:firstLine="0"/>
        <w:jc w:val="center"/>
      </w:pPr>
      <w:r>
        <w:rPr>
          <w:noProof/>
          <w:lang w:eastAsia="en-NZ"/>
        </w:rPr>
        <w:drawing>
          <wp:inline distT="0" distB="0" distL="0" distR="0" wp14:anchorId="48AA5BB0" wp14:editId="4A8C543D">
            <wp:extent cx="2736000" cy="1908000"/>
            <wp:effectExtent l="0" t="0" r="7620" b="16510"/>
            <wp:docPr id="3" name="Chart 3">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eastAsia="en-NZ"/>
        </w:rPr>
        <w:drawing>
          <wp:inline distT="0" distB="0" distL="0" distR="0" wp14:anchorId="0488982F" wp14:editId="0742E565">
            <wp:extent cx="2736000" cy="1908000"/>
            <wp:effectExtent l="0" t="0" r="7620" b="16510"/>
            <wp:docPr id="4" name="Chart 4">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4F478A" w14:textId="77777777" w:rsidR="0012305F" w:rsidRPr="001E4720" w:rsidRDefault="0012305F" w:rsidP="0012305F">
      <w:pPr>
        <w:tabs>
          <w:tab w:val="left" w:pos="8364"/>
        </w:tabs>
        <w:spacing w:line="240" w:lineRule="auto"/>
        <w:ind w:left="-426" w:right="-613" w:firstLine="0"/>
        <w:jc w:val="center"/>
      </w:pPr>
      <w:r>
        <w:rPr>
          <w:noProof/>
          <w:lang w:eastAsia="en-NZ"/>
        </w:rPr>
        <w:drawing>
          <wp:inline distT="0" distB="0" distL="0" distR="0" wp14:anchorId="2C670E83" wp14:editId="08A4819F">
            <wp:extent cx="2736000" cy="1908000"/>
            <wp:effectExtent l="0" t="0" r="7620" b="16510"/>
            <wp:docPr id="8" name="Chart 8">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lang w:eastAsia="en-NZ"/>
        </w:rPr>
        <w:drawing>
          <wp:inline distT="0" distB="0" distL="0" distR="0" wp14:anchorId="2A0D75EC" wp14:editId="6171AB4F">
            <wp:extent cx="2736000" cy="1908000"/>
            <wp:effectExtent l="0" t="0" r="7620" b="16510"/>
            <wp:docPr id="9" name="Chart 9">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784137" w14:textId="52E80FED" w:rsidR="0012305F" w:rsidRPr="004308FB" w:rsidRDefault="0012305F" w:rsidP="0012305F">
      <w:pPr>
        <w:pStyle w:val="Caption"/>
        <w:ind w:firstLine="0"/>
        <w:jc w:val="center"/>
        <w:rPr>
          <w:rFonts w:cstheme="majorBidi"/>
          <w:b/>
          <w:bCs/>
          <w:i w:val="0"/>
          <w:iCs w:val="0"/>
          <w:color w:val="auto"/>
          <w:sz w:val="22"/>
          <w:szCs w:val="22"/>
        </w:rPr>
      </w:pPr>
      <w:r w:rsidRPr="004308FB">
        <w:rPr>
          <w:rFonts w:cstheme="majorBidi"/>
          <w:b/>
          <w:bCs/>
          <w:i w:val="0"/>
          <w:iCs w:val="0"/>
          <w:color w:val="auto"/>
          <w:sz w:val="22"/>
          <w:szCs w:val="22"/>
        </w:rPr>
        <w:t xml:space="preserve">Figure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Figure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3</w:t>
      </w:r>
      <w:r w:rsidRPr="004308FB">
        <w:rPr>
          <w:rFonts w:cstheme="majorBidi"/>
          <w:b/>
          <w:bCs/>
          <w:i w:val="0"/>
          <w:iCs w:val="0"/>
          <w:color w:val="auto"/>
          <w:sz w:val="22"/>
          <w:szCs w:val="22"/>
        </w:rPr>
        <w:fldChar w:fldCharType="end"/>
      </w:r>
      <w:r w:rsidR="007D5DFF" w:rsidRPr="004308FB">
        <w:rPr>
          <w:rFonts w:cstheme="majorBidi"/>
          <w:b/>
          <w:bCs/>
          <w:i w:val="0"/>
          <w:iCs w:val="0"/>
          <w:color w:val="auto"/>
          <w:sz w:val="22"/>
          <w:szCs w:val="22"/>
        </w:rPr>
        <w:t>.</w:t>
      </w:r>
      <w:r w:rsidRPr="004308FB">
        <w:rPr>
          <w:rFonts w:cstheme="majorBidi"/>
          <w:b/>
          <w:bCs/>
          <w:i w:val="0"/>
          <w:iCs w:val="0"/>
          <w:color w:val="auto"/>
          <w:sz w:val="22"/>
          <w:szCs w:val="22"/>
        </w:rPr>
        <w:t xml:space="preserve"> Relationship between FD and income inequality for LTO and HTO countries</w:t>
      </w:r>
    </w:p>
    <w:p w14:paraId="4C6AAAC7" w14:textId="77777777" w:rsidR="0012305F" w:rsidRDefault="0012305F" w:rsidP="0012305F">
      <w:pPr>
        <w:tabs>
          <w:tab w:val="left" w:pos="8364"/>
        </w:tabs>
        <w:spacing w:line="240" w:lineRule="auto"/>
        <w:ind w:left="-426" w:right="-613" w:firstLine="0"/>
        <w:jc w:val="center"/>
      </w:pPr>
      <w:r>
        <w:rPr>
          <w:noProof/>
          <w:lang w:eastAsia="en-NZ"/>
        </w:rPr>
        <w:drawing>
          <wp:inline distT="0" distB="0" distL="0" distR="0" wp14:anchorId="60C5E7F7" wp14:editId="2360C8A6">
            <wp:extent cx="2736000" cy="1908000"/>
            <wp:effectExtent l="0" t="0" r="7620" b="16510"/>
            <wp:docPr id="5" name="Chart 5">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eastAsia="en-NZ"/>
        </w:rPr>
        <w:drawing>
          <wp:inline distT="0" distB="0" distL="0" distR="0" wp14:anchorId="52FE3A95" wp14:editId="7E1A3B65">
            <wp:extent cx="2736000" cy="1908000"/>
            <wp:effectExtent l="0" t="0" r="7620" b="16510"/>
            <wp:docPr id="6" name="Chart 6">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267F4B" w14:textId="77777777" w:rsidR="0012305F" w:rsidRDefault="0012305F" w:rsidP="0012305F">
      <w:pPr>
        <w:tabs>
          <w:tab w:val="left" w:pos="8364"/>
        </w:tabs>
        <w:spacing w:line="240" w:lineRule="auto"/>
        <w:ind w:left="-426" w:right="-613" w:firstLine="0"/>
        <w:jc w:val="center"/>
        <w:rPr>
          <w:noProof/>
        </w:rPr>
      </w:pPr>
      <w:r>
        <w:rPr>
          <w:noProof/>
          <w:lang w:eastAsia="en-NZ"/>
        </w:rPr>
        <w:drawing>
          <wp:inline distT="0" distB="0" distL="0" distR="0" wp14:anchorId="4F6586A7" wp14:editId="04EBA357">
            <wp:extent cx="2736000" cy="1908000"/>
            <wp:effectExtent l="0" t="0" r="7620" b="16510"/>
            <wp:docPr id="10" name="Chart 10">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n-NZ"/>
        </w:rPr>
        <w:drawing>
          <wp:inline distT="0" distB="0" distL="0" distR="0" wp14:anchorId="5EE5FEF2" wp14:editId="3872688D">
            <wp:extent cx="2736000" cy="1908000"/>
            <wp:effectExtent l="0" t="0" r="7620" b="16510"/>
            <wp:docPr id="11" name="Chart 11">
              <a:extLst xmlns:a="http://schemas.openxmlformats.org/drawingml/2006/main">
                <a:ext uri="{FF2B5EF4-FFF2-40B4-BE49-F238E27FC236}">
                  <a16:creationId xmlns:a16="http://schemas.microsoft.com/office/drawing/2014/main" id="{0F8FA832-CD08-4B11-8E91-CE3796C6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EE2268" w14:textId="28EA4083" w:rsidR="0012305F" w:rsidRPr="007D5DFF" w:rsidRDefault="0012305F" w:rsidP="007D5DFF">
      <w:pPr>
        <w:pStyle w:val="Heading1"/>
        <w:numPr>
          <w:ilvl w:val="0"/>
          <w:numId w:val="1"/>
        </w:numPr>
      </w:pPr>
      <w:r w:rsidRPr="007D5DFF">
        <w:lastRenderedPageBreak/>
        <w:t>Methodology</w:t>
      </w:r>
    </w:p>
    <w:p w14:paraId="58AAD888" w14:textId="1A50C6CF" w:rsidR="0012305F" w:rsidRPr="007D5DFF" w:rsidRDefault="0012305F" w:rsidP="007D5DFF">
      <w:pPr>
        <w:pStyle w:val="Heading2"/>
        <w:numPr>
          <w:ilvl w:val="1"/>
          <w:numId w:val="1"/>
        </w:numPr>
        <w:ind w:left="426"/>
      </w:pPr>
      <w:r w:rsidRPr="007D5DFF">
        <w:t>Dynamic Panel GMM estimation</w:t>
      </w:r>
    </w:p>
    <w:p w14:paraId="2D41B0B3" w14:textId="77777777" w:rsidR="0012305F" w:rsidRDefault="0012305F" w:rsidP="007D5DFF">
      <w:pPr>
        <w:ind w:firstLine="0"/>
        <w:rPr>
          <w:noProof/>
        </w:rPr>
      </w:pPr>
      <w:r>
        <w:rPr>
          <w:noProof/>
        </w:rPr>
        <w:t xml:space="preserve">Our empirical analysis of the FD-income inequality nexus begins by using split sample and interaction analyses to examine the extent to which income inequality and financial development relationship depend on the country’s openness level. For split-sampling analysis, we estimate the following dynamic equation for HTO, LTO, HFO and LFO subsamples: </w:t>
      </w:r>
    </w:p>
    <w:p w14:paraId="4C248DF5" w14:textId="77777777" w:rsidR="0012305F" w:rsidRPr="00F43DDD" w:rsidRDefault="00000000" w:rsidP="0012305F">
      <w:pPr>
        <w:tabs>
          <w:tab w:val="left" w:pos="142"/>
          <w:tab w:val="left" w:pos="567"/>
          <w:tab w:val="left" w:pos="709"/>
        </w:tabs>
        <w:ind w:left="142" w:firstLine="0"/>
        <w:rPr>
          <w:rFonts w:cstheme="majorBidi"/>
          <w:noProof/>
        </w:rPr>
      </w:pPr>
      <m:oMathPara>
        <m:oMathParaPr>
          <m:jc m:val="left"/>
        </m:oMathParaPr>
        <m:oMath>
          <m:sSub>
            <m:sSubPr>
              <m:ctrlPr>
                <w:rPr>
                  <w:rFonts w:ascii="Cambria Math" w:hAnsi="Cambria Math" w:cstheme="majorBidi"/>
                  <w:i/>
                  <w:noProof/>
                </w:rPr>
              </m:ctrlPr>
            </m:sSubPr>
            <m:e>
              <m:r>
                <w:rPr>
                  <w:rFonts w:ascii="Cambria Math" w:hAnsi="Cambria Math" w:cstheme="majorBidi"/>
                  <w:noProof/>
                </w:rPr>
                <m:t>II</m:t>
              </m:r>
            </m:e>
            <m:sub>
              <m:r>
                <w:rPr>
                  <w:rFonts w:ascii="Cambria Math" w:hAnsi="Cambria Math" w:cstheme="majorBidi"/>
                  <w:noProof/>
                </w:rPr>
                <m:t>i,t</m:t>
              </m:r>
            </m:sub>
          </m:sSub>
          <m:r>
            <w:rPr>
              <w:rFonts w:ascii="Cambria Math" w:hAnsi="Cambria Math" w:cstheme="majorBidi"/>
              <w:noProof/>
            </w:rPr>
            <m:t xml:space="preserve">= </m:t>
          </m:r>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1</m:t>
              </m:r>
            </m:sub>
          </m:sSub>
          <m:sSub>
            <m:sSubPr>
              <m:ctrlPr>
                <w:rPr>
                  <w:rFonts w:ascii="Cambria Math" w:hAnsi="Cambria Math" w:cstheme="majorBidi"/>
                  <w:i/>
                  <w:noProof/>
                </w:rPr>
              </m:ctrlPr>
            </m:sSubPr>
            <m:e>
              <m:r>
                <w:rPr>
                  <w:rFonts w:ascii="Cambria Math" w:hAnsi="Cambria Math" w:cstheme="majorBidi"/>
                  <w:noProof/>
                </w:rPr>
                <m:t>II</m:t>
              </m:r>
            </m:e>
            <m:sub>
              <m:r>
                <w:rPr>
                  <w:rFonts w:ascii="Cambria Math" w:hAnsi="Cambria Math" w:cstheme="majorBidi"/>
                  <w:noProof/>
                </w:rPr>
                <m:t>i,t-1</m:t>
              </m:r>
            </m:sub>
          </m:sSub>
          <m:r>
            <w:rPr>
              <w:rFonts w:ascii="Cambria Math" w:hAnsi="Cambria Math" w:cstheme="majorBidi"/>
              <w:noProof/>
            </w:rPr>
            <m:t xml:space="preserve">+ </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2</m:t>
                  </m:r>
                </m:sub>
              </m:sSub>
              <m:r>
                <w:rPr>
                  <w:rFonts w:ascii="Cambria Math" w:hAnsi="Cambria Math" w:cstheme="majorBidi"/>
                  <w:noProof/>
                </w:rPr>
                <m:t>FD</m:t>
              </m:r>
            </m:e>
            <m:sub>
              <m:r>
                <w:rPr>
                  <w:rFonts w:ascii="Cambria Math" w:hAnsi="Cambria Math" w:cstheme="majorBidi"/>
                  <w:noProof/>
                </w:rPr>
                <m:t>i,t</m:t>
              </m:r>
            </m:sub>
          </m:sSub>
          <m:r>
            <w:rPr>
              <w:rFonts w:ascii="Cambria Math" w:hAnsi="Cambria Math" w:cstheme="majorBidi"/>
              <w:noProof/>
            </w:rPr>
            <m:t xml:space="preserve">+ </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3</m:t>
                  </m:r>
                </m:sub>
              </m:sSub>
              <m:r>
                <w:rPr>
                  <w:rFonts w:ascii="Cambria Math" w:hAnsi="Cambria Math" w:cstheme="majorBidi"/>
                  <w:noProof/>
                </w:rPr>
                <m:t>FO</m:t>
              </m:r>
            </m:e>
            <m:sub>
              <m:r>
                <w:rPr>
                  <w:rFonts w:ascii="Cambria Math" w:hAnsi="Cambria Math" w:cstheme="majorBidi"/>
                  <w:noProof/>
                </w:rPr>
                <m:t>i,t</m:t>
              </m:r>
            </m:sub>
          </m:sSub>
          <m:r>
            <w:rPr>
              <w:rFonts w:ascii="Cambria Math" w:hAnsi="Cambria Math" w:cstheme="majorBidi"/>
              <w:noProof/>
            </w:rPr>
            <m:t>+</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4</m:t>
                  </m:r>
                </m:sub>
              </m:sSub>
              <m:r>
                <w:rPr>
                  <w:rFonts w:ascii="Cambria Math" w:hAnsi="Cambria Math" w:cstheme="majorBidi"/>
                  <w:noProof/>
                </w:rPr>
                <m:t>TO</m:t>
              </m:r>
            </m:e>
            <m:sub>
              <m:r>
                <w:rPr>
                  <w:rFonts w:ascii="Cambria Math" w:hAnsi="Cambria Math" w:cstheme="majorBidi"/>
                  <w:noProof/>
                </w:rPr>
                <m:t>i,t</m:t>
              </m:r>
            </m:sub>
          </m:sSub>
          <m:r>
            <w:rPr>
              <w:rFonts w:ascii="Cambria Math" w:hAnsi="Cambria Math" w:cstheme="majorBidi"/>
              <w:noProof/>
            </w:rPr>
            <m:t>+</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5</m:t>
                  </m:r>
                </m:sub>
              </m:sSub>
              <m:r>
                <w:rPr>
                  <w:rFonts w:ascii="Cambria Math" w:hAnsi="Cambria Math" w:cstheme="majorBidi"/>
                  <w:noProof/>
                </w:rPr>
                <m:t>Growth</m:t>
              </m:r>
            </m:e>
            <m:sub>
              <m:r>
                <w:rPr>
                  <w:rFonts w:ascii="Cambria Math" w:hAnsi="Cambria Math" w:cstheme="majorBidi"/>
                  <w:noProof/>
                </w:rPr>
                <m:t>i,t</m:t>
              </m:r>
            </m:sub>
          </m:sSub>
          <m:r>
            <w:rPr>
              <w:rFonts w:ascii="Cambria Math" w:hAnsi="Cambria Math" w:cstheme="majorBidi"/>
              <w:noProof/>
            </w:rPr>
            <m:t>+</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6</m:t>
                  </m:r>
                </m:sub>
              </m:sSub>
              <m:r>
                <w:rPr>
                  <w:rFonts w:ascii="Cambria Math" w:hAnsi="Cambria Math" w:cstheme="majorBidi"/>
                  <w:noProof/>
                </w:rPr>
                <m:t>Inf</m:t>
              </m:r>
            </m:e>
            <m:sub>
              <m:r>
                <w:rPr>
                  <w:rFonts w:ascii="Cambria Math" w:hAnsi="Cambria Math" w:cstheme="majorBidi"/>
                  <w:noProof/>
                </w:rPr>
                <m:t>i,t</m:t>
              </m:r>
            </m:sub>
          </m:sSub>
          <m:r>
            <w:rPr>
              <w:rFonts w:ascii="Cambria Math" w:hAnsi="Cambria Math" w:cstheme="majorBidi"/>
              <w:noProof/>
            </w:rPr>
            <m:t>+</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7</m:t>
                  </m:r>
                </m:sub>
              </m:sSub>
              <m:r>
                <w:rPr>
                  <w:rFonts w:ascii="Cambria Math" w:hAnsi="Cambria Math" w:cstheme="majorBidi"/>
                  <w:noProof/>
                </w:rPr>
                <m:t>GovExp</m:t>
              </m:r>
            </m:e>
            <m:sub>
              <m:r>
                <w:rPr>
                  <w:rFonts w:ascii="Cambria Math" w:hAnsi="Cambria Math" w:cstheme="majorBidi"/>
                  <w:noProof/>
                </w:rPr>
                <m:t>i,t</m:t>
              </m:r>
            </m:sub>
          </m:sSub>
          <m:r>
            <w:rPr>
              <w:rFonts w:ascii="Cambria Math" w:hAnsi="Cambria Math" w:cstheme="majorBidi"/>
              <w:noProof/>
            </w:rPr>
            <m:t>+</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8</m:t>
                  </m:r>
                </m:sub>
              </m:sSub>
              <m:r>
                <w:rPr>
                  <w:rFonts w:ascii="Cambria Math" w:hAnsi="Cambria Math" w:cstheme="majorBidi"/>
                  <w:noProof/>
                </w:rPr>
                <m:t>Pop</m:t>
              </m:r>
            </m:e>
            <m:sub>
              <m:r>
                <w:rPr>
                  <w:rFonts w:ascii="Cambria Math" w:hAnsi="Cambria Math" w:cstheme="majorBidi"/>
                  <w:noProof/>
                </w:rPr>
                <m:t>i,t</m:t>
              </m:r>
            </m:sub>
          </m:sSub>
          <m:r>
            <w:rPr>
              <w:rFonts w:ascii="Cambria Math" w:hAnsi="Cambria Math" w:cstheme="majorBidi"/>
              <w:noProof/>
            </w:rPr>
            <m:t>+</m:t>
          </m:r>
          <m:sSub>
            <m:sSubPr>
              <m:ctrlPr>
                <w:rPr>
                  <w:rFonts w:ascii="Cambria Math" w:hAnsi="Cambria Math" w:cstheme="majorBidi"/>
                  <w:i/>
                  <w:noProof/>
                </w:rPr>
              </m:ctrlPr>
            </m:sSubPr>
            <m:e>
              <m:sSub>
                <m:sSubPr>
                  <m:ctrlPr>
                    <w:rPr>
                      <w:rFonts w:ascii="Cambria Math" w:hAnsi="Cambria Math" w:cstheme="majorBidi"/>
                      <w:i/>
                      <w:noProof/>
                    </w:rPr>
                  </m:ctrlPr>
                </m:sSubPr>
                <m:e>
                  <m:r>
                    <w:rPr>
                      <w:rFonts w:ascii="Cambria Math" w:hAnsi="Cambria Math" w:cstheme="majorBidi"/>
                      <w:noProof/>
                    </w:rPr>
                    <m:t>β</m:t>
                  </m:r>
                </m:e>
                <m:sub>
                  <m:r>
                    <w:rPr>
                      <w:rFonts w:ascii="Cambria Math" w:hAnsi="Cambria Math" w:cstheme="majorBidi"/>
                      <w:noProof/>
                    </w:rPr>
                    <m:t>9</m:t>
                  </m:r>
                </m:sub>
              </m:sSub>
              <m:r>
                <w:rPr>
                  <w:rFonts w:ascii="Cambria Math" w:hAnsi="Cambria Math" w:cstheme="majorBidi"/>
                  <w:noProof/>
                </w:rPr>
                <m:t xml:space="preserve"> LifeExp</m:t>
              </m:r>
            </m:e>
            <m:sub>
              <m:r>
                <w:rPr>
                  <w:rFonts w:ascii="Cambria Math" w:hAnsi="Cambria Math" w:cstheme="majorBidi"/>
                  <w:noProof/>
                </w:rPr>
                <m:t>i,t</m:t>
              </m:r>
            </m:sub>
          </m:sSub>
          <m:r>
            <w:rPr>
              <w:rFonts w:ascii="Cambria Math" w:hAnsi="Cambria Math" w:cstheme="majorBidi"/>
              <w:noProof/>
            </w:rPr>
            <m:t>+</m:t>
          </m:r>
          <m:sSub>
            <m:sSubPr>
              <m:ctrlPr>
                <w:rPr>
                  <w:rFonts w:ascii="Cambria Math" w:hAnsi="Cambria Math" w:cstheme="majorBidi"/>
                  <w:i/>
                  <w:noProof/>
                </w:rPr>
              </m:ctrlPr>
            </m:sSubPr>
            <m:e>
              <m:r>
                <w:rPr>
                  <w:rFonts w:ascii="Cambria Math" w:hAnsi="Cambria Math" w:cstheme="majorBidi"/>
                  <w:noProof/>
                </w:rPr>
                <m:t>τ</m:t>
              </m:r>
            </m:e>
            <m:sub>
              <m:r>
                <w:rPr>
                  <w:rFonts w:ascii="Cambria Math" w:hAnsi="Cambria Math" w:cstheme="majorBidi"/>
                  <w:noProof/>
                </w:rPr>
                <m:t>t</m:t>
              </m:r>
            </m:sub>
          </m:sSub>
          <m:sSub>
            <m:sSubPr>
              <m:ctrlPr>
                <w:rPr>
                  <w:rFonts w:ascii="Cambria Math" w:hAnsi="Cambria Math" w:cstheme="majorBidi"/>
                  <w:i/>
                  <w:noProof/>
                </w:rPr>
              </m:ctrlPr>
            </m:sSubPr>
            <m:e>
              <m:r>
                <w:rPr>
                  <w:rFonts w:ascii="Cambria Math" w:hAnsi="Cambria Math" w:cstheme="majorBidi"/>
                  <w:noProof/>
                </w:rPr>
                <m:t>+μ</m:t>
              </m:r>
            </m:e>
            <m:sub>
              <m:r>
                <w:rPr>
                  <w:rFonts w:ascii="Cambria Math" w:hAnsi="Cambria Math" w:cstheme="majorBidi"/>
                  <w:noProof/>
                </w:rPr>
                <m:t>i</m:t>
              </m:r>
            </m:sub>
          </m:sSub>
          <m:r>
            <w:rPr>
              <w:rFonts w:ascii="Cambria Math" w:hAnsi="Cambria Math" w:cstheme="majorBidi"/>
              <w:noProof/>
            </w:rPr>
            <m:t>+</m:t>
          </m:r>
          <m:sSub>
            <m:sSubPr>
              <m:ctrlPr>
                <w:rPr>
                  <w:rFonts w:ascii="Cambria Math" w:hAnsi="Cambria Math" w:cstheme="majorBidi"/>
                  <w:i/>
                  <w:noProof/>
                </w:rPr>
              </m:ctrlPr>
            </m:sSubPr>
            <m:e>
              <m:r>
                <w:rPr>
                  <w:rFonts w:ascii="Cambria Math" w:hAnsi="Cambria Math" w:cstheme="majorBidi"/>
                  <w:noProof/>
                </w:rPr>
                <m:t>ε</m:t>
              </m:r>
            </m:e>
            <m:sub>
              <m:r>
                <w:rPr>
                  <w:rFonts w:ascii="Cambria Math" w:hAnsi="Cambria Math" w:cstheme="majorBidi"/>
                  <w:noProof/>
                </w:rPr>
                <m:t>i,t</m:t>
              </m:r>
            </m:sub>
          </m:sSub>
          <m:r>
            <w:rPr>
              <w:rFonts w:ascii="Cambria Math" w:hAnsi="Cambria Math" w:cstheme="majorBidi"/>
              <w:noProof/>
            </w:rPr>
            <m:t xml:space="preserve">             (1)</m:t>
          </m:r>
        </m:oMath>
      </m:oMathPara>
    </w:p>
    <w:p w14:paraId="3166BC0F" w14:textId="596D40F2" w:rsidR="0012305F" w:rsidRDefault="0012305F" w:rsidP="0012305F">
      <w:pPr>
        <w:rPr>
          <w:noProof/>
        </w:rPr>
      </w:pPr>
      <w:r>
        <w:rPr>
          <w:noProof/>
        </w:rPr>
        <w:t xml:space="preserve">The subscript </w:t>
      </w:r>
      <w:r w:rsidRPr="001C18A5">
        <w:rPr>
          <w:i/>
          <w:noProof/>
        </w:rPr>
        <w:t>i</w:t>
      </w:r>
      <w:r>
        <w:rPr>
          <w:noProof/>
        </w:rPr>
        <w:t xml:space="preserve"> is the country indicator, and </w:t>
      </w:r>
      <w:r w:rsidRPr="001C18A5">
        <w:rPr>
          <w:i/>
          <w:noProof/>
        </w:rPr>
        <w:t>t</w:t>
      </w:r>
      <w:r>
        <w:rPr>
          <w:noProof/>
        </w:rPr>
        <w:t xml:space="preserve"> is the period index. </w:t>
      </w:r>
      <m:oMath>
        <m:r>
          <w:rPr>
            <w:rFonts w:ascii="Cambria Math" w:hAnsi="Cambria Math" w:cstheme="majorBidi"/>
            <w:noProof/>
          </w:rPr>
          <m:t>τ</m:t>
        </m:r>
      </m:oMath>
      <w:r>
        <w:rPr>
          <w:noProof/>
        </w:rPr>
        <w:t xml:space="preserve"> indicates time-fixed effects,</w:t>
      </w:r>
      <w:r w:rsidRPr="00CA37E1">
        <w:rPr>
          <w:noProof/>
        </w:rPr>
        <w:t xml:space="preserve"> </w:t>
      </w:r>
      <m:oMath>
        <m:r>
          <w:rPr>
            <w:rFonts w:ascii="Cambria Math" w:hAnsi="Cambria Math"/>
            <w:noProof/>
          </w:rPr>
          <m:t>μ</m:t>
        </m:r>
      </m:oMath>
      <w:r>
        <w:rPr>
          <w:noProof/>
        </w:rPr>
        <w:t xml:space="preserve"> represents the time-invariant country-fixed effect, and</w:t>
      </w:r>
      <w:r w:rsidRPr="008D03E4">
        <w:rPr>
          <w:rFonts w:ascii="Cambria Math" w:hAnsi="Cambria Math"/>
          <w:i/>
          <w:noProof/>
        </w:rPr>
        <w:t xml:space="preserve"> </w:t>
      </w:r>
      <m:oMath>
        <m:r>
          <w:rPr>
            <w:rFonts w:ascii="Cambria Math" w:hAnsi="Cambria Math"/>
            <w:noProof/>
          </w:rPr>
          <m:t>ε</m:t>
        </m:r>
      </m:oMath>
      <w:r>
        <w:rPr>
          <w:noProof/>
        </w:rPr>
        <w:t xml:space="preserve"> is an error term assumed to be independent and identically distributed with mean zero and constant variance. II (income inequality) is the dependent variable, which is the indicator of income inequality.</w:t>
      </w:r>
      <w:r w:rsidRPr="006206DA">
        <w:rPr>
          <w:noProof/>
        </w:rPr>
        <w:t xml:space="preserve"> The model includes a lagged dependent variable to reflect the persistence of income inequality over time </w:t>
      </w:r>
      <w:r w:rsidRPr="006206DA">
        <w:rPr>
          <w:noProof/>
        </w:rPr>
        <w:fldChar w:fldCharType="begin" w:fldLock="1"/>
      </w:r>
      <w:r w:rsidRPr="006206DA">
        <w:rPr>
          <w:noProof/>
        </w:rPr>
        <w:instrText>ADDIN CSL_CITATION {"citationItems":[{"id":"ITEM-1","itemData":{"DOI":"10.1093/ROF/RFT039","ISSN":"1572-3097","abstract":"This article provides cross-country evidence that variations in bank regulatory policies result in differences in income distribution. In particular, the overall liberalization of banking systems decreases income inequality significantly. However, this effect becomes insignificant for countries with low levels of economic and institutional development and for market-based economies. Among liberalization policies, credit and interest rate controls have the most significant negative effect on inequality. Privatizations and liberalization of international capital flows also decrease income inequality; the latter also increases the income share of the relatively poor. In contrast, liberalization of securities markets increases income inequality substantially. © 2013 The Authors 2013.","author":[{"dropping-particle":"","family":"Delis","given":"Manthos D.","non-dropping-particle":"","parse-names":false,"suffix":""},{"dropping-particle":"","family":"Hasan","given":"Iftekhar","non-dropping-particle":"","parse-names":false,"suffix":""},{"dropping-particle":"","family":"Kazakis","given":"Pantelis","non-dropping-particle":"","parse-names":false,"suffix":""}],"container-title":"Review of Finance","id":"ITEM-1","issue":"5","issued":{"date-parts":[["2014","8","1"]]},"page":"1811-1846","publisher":"Oxford Academic","title":"Bank Regulations and Income Inequality: Empirical Evidence","type":"article-journal","volume":"18"},"uris":["http://www.mendeley.com/documents/?uuid=9e2d398c-627b-379c-b7be-f23d9d5390dd"]},{"id":"ITEM-2","itemData":{"DOI":"10.1007/S00181-019-01808-Z/TABLES/9","ISSN":"14358921","abstract":"Rising income inequality coinciding with financial liberalization has stimulated extensive studies on the possible links between income inequality and different forms of financial liberalization, both inputs and outputs, since the 1990s. Nonetheless, empirical investigations remain inconclusive. To provide new and robust evidence, this study investigates the distributional repercussions of financial liberalization and the role played by democratization in this process. Focusing on the outcome measures of financial liberalization, we find, in a panel of developing and developed countries for 1989–2011, that (1) financial openness alleviates income inequality, particularly for less democratic countries; (2) stock market development mitigates income inequality, whereas its volatility exacerbates it, with both effects decreasing with democratization; (3) banking development strengthens income inequality, whereas its volatility alleviates it, with both effects again moderating with democratization; and (4) these effects are mediated by human capital accumulation and entrepreneurship development.The data thus suggest that financial reforms toward capital account openness and more liquid, stable stock markets are beneficial to income distribution, as such reforms allow more previously excluded households and firms to access financial funds and services, thereby increasing human capital and entrepreneurship, especially in less democratic countries.","author":[{"dropping-particle":"","family":"Kim","given":"Dong Hyeon","non-dropping-particle":"","parse-names":false,"suffix":""},{"dropping-particle":"","family":"Hsieh","given":"Joyce","non-dropping-particle":"","parse-names":false,"suffix":""},{"dropping-particle":"","family":"Lin","given":"Shu Chin","non-dropping-particle":"","parse-names":false,"suffix":""}],"container-title":"Empirical Economics","id":"ITEM-2","issue":"3","issued":{"date-parts":[["2021","3","1"]]},"page":"1245-1281","publisher":"Springer Science and Business Media Deutschland GmbH","title":"Financial liberalization, political institutions, and income inequality","type":"article-journal","volume":"60"},"uris":["http://www.mendeley.com/documents/?uuid=da3ffcc7-9c03-3dc9-bb1d-ce8c8f78b8b3"]},{"id":"ITEM-3","itemData":{"DOI":"10.1007/S00181-015-1008-X/TABLES/7","ISSN":"03777332","abstract":"We analyzed the link between financial development and income inequality for a broad unbalanced dataset of up to 138 developed and developing countries over the years 1960–2008. Using credit to GDP as a measure of financial development, our results reject theoretical models predicting a negative impact of financial development on income inequality measured by the Gini coefficient. Controlling for country fixed effects, possible endogeneity problems, GDP per capita and other control variables, we find that financial development increases income inequality. These results are robust to different measures of financial development, econometric specifications and control variables.","author":[{"dropping-particle":"","family":"Jauch","given":"Sebastian","non-dropping-particle":"","parse-names":false,"suffix":""},{"dropping-particle":"","family":"Watzka","given":"Sebastian","non-dropping-particle":"","parse-names":false,"suffix":""}],"container-title":"Empirical Economics","id":"ITEM-3","issue":"1","issued":{"date-parts":[["2016","8","1"]]},"page":"291-314","publisher":"Springer Verlag","title":"Financial development and income inequality: a panel data approach","type":"article-journal","volume":"51"},"uris":["http://www.mendeley.com/documents/?uuid=c443e032-58b2-30c5-9663-fee88c1ece49"]}],"mendeley":{"formattedCitation":"(Delis et al., 2014; Jauch &amp; Watzka, 2016; Kim et al., 2021)","plainTextFormattedCitation":"(Delis et al., 2014; Jauch &amp; Watzka, 2016; Kim et al., 2021)","previouslyFormattedCitation":"(Delis et al., 2014; Jauch &amp; Watzka, 2016; Kim et al., 2021)"},"properties":{"noteIndex":0},"schema":"https://github.com/citation-style-language/schema/raw/master/csl-citation.json"}</w:instrText>
      </w:r>
      <w:r w:rsidRPr="006206DA">
        <w:rPr>
          <w:noProof/>
        </w:rPr>
        <w:fldChar w:fldCharType="separate"/>
      </w:r>
      <w:r w:rsidRPr="006206DA">
        <w:rPr>
          <w:noProof/>
        </w:rPr>
        <w:t xml:space="preserve">(Delis et al., 2014; Jauch </w:t>
      </w:r>
      <w:r w:rsidR="00C62879">
        <w:rPr>
          <w:noProof/>
        </w:rPr>
        <w:t>and</w:t>
      </w:r>
      <w:r w:rsidRPr="006206DA">
        <w:rPr>
          <w:noProof/>
        </w:rPr>
        <w:t xml:space="preserve"> Watzka, 2016; Kim et al., 2021)</w:t>
      </w:r>
      <w:r w:rsidRPr="006206DA">
        <w:rPr>
          <w:noProof/>
        </w:rPr>
        <w:fldChar w:fldCharType="end"/>
      </w:r>
      <w:r>
        <w:rPr>
          <w:noProof/>
        </w:rPr>
        <w:t xml:space="preserve">. FD, FO and TO are financial development, financial openness and trade openness, respectively. </w:t>
      </w:r>
      <w:r w:rsidRPr="00825E0D">
        <w:rPr>
          <w:noProof/>
        </w:rPr>
        <w:t>To strengthen our empirical results,</w:t>
      </w:r>
      <w:r>
        <w:rPr>
          <w:noProof/>
        </w:rPr>
        <w:t xml:space="preserve"> we also include some other variables, such as </w:t>
      </w:r>
      <w:r w:rsidRPr="004718C2">
        <w:rPr>
          <w:noProof/>
        </w:rPr>
        <w:t>the log of GDP per capita growth</w:t>
      </w:r>
      <w:r>
        <w:rPr>
          <w:noProof/>
        </w:rPr>
        <w:t xml:space="preserve"> (</w:t>
      </w:r>
      <w:r w:rsidRPr="00825E0D">
        <w:rPr>
          <w:i/>
          <w:iCs/>
          <w:noProof/>
        </w:rPr>
        <w:t>Growth</w:t>
      </w:r>
      <w:r>
        <w:rPr>
          <w:noProof/>
        </w:rPr>
        <w:t>),</w:t>
      </w:r>
      <w:r w:rsidRPr="004718C2">
        <w:rPr>
          <w:noProof/>
        </w:rPr>
        <w:t xml:space="preserve"> </w:t>
      </w:r>
      <w:r w:rsidRPr="00825E0D">
        <w:rPr>
          <w:noProof/>
        </w:rPr>
        <w:t>inflation rate</w:t>
      </w:r>
      <w:r>
        <w:rPr>
          <w:noProof/>
        </w:rPr>
        <w:t xml:space="preserve"> (</w:t>
      </w:r>
      <w:r w:rsidRPr="00825E0D">
        <w:rPr>
          <w:i/>
          <w:iCs/>
          <w:noProof/>
        </w:rPr>
        <w:t>Inf</w:t>
      </w:r>
      <w:r>
        <w:rPr>
          <w:noProof/>
        </w:rPr>
        <w:t xml:space="preserve">), the log of </w:t>
      </w:r>
      <w:r w:rsidRPr="00825E0D">
        <w:rPr>
          <w:noProof/>
        </w:rPr>
        <w:t xml:space="preserve">government expenditures </w:t>
      </w:r>
      <w:r>
        <w:rPr>
          <w:noProof/>
        </w:rPr>
        <w:t>over</w:t>
      </w:r>
      <w:r w:rsidRPr="00825E0D">
        <w:rPr>
          <w:noProof/>
        </w:rPr>
        <w:t xml:space="preserve"> GDP</w:t>
      </w:r>
      <w:r>
        <w:rPr>
          <w:noProof/>
        </w:rPr>
        <w:t xml:space="preserve"> (</w:t>
      </w:r>
      <w:r w:rsidRPr="00825E0D">
        <w:rPr>
          <w:i/>
          <w:iCs/>
          <w:noProof/>
        </w:rPr>
        <w:t>GovExp</w:t>
      </w:r>
      <w:r>
        <w:rPr>
          <w:noProof/>
        </w:rPr>
        <w:t xml:space="preserve">), </w:t>
      </w:r>
      <w:r w:rsidRPr="00825E0D">
        <w:rPr>
          <w:noProof/>
        </w:rPr>
        <w:t>the log of the population</w:t>
      </w:r>
      <w:r>
        <w:rPr>
          <w:noProof/>
        </w:rPr>
        <w:t xml:space="preserve"> (</w:t>
      </w:r>
      <w:r w:rsidRPr="00825E0D">
        <w:rPr>
          <w:i/>
          <w:iCs/>
          <w:noProof/>
        </w:rPr>
        <w:t>Pop</w:t>
      </w:r>
      <w:r>
        <w:rPr>
          <w:noProof/>
        </w:rPr>
        <w:t>), and</w:t>
      </w:r>
      <w:r w:rsidRPr="00825E0D">
        <w:rPr>
          <w:noProof/>
        </w:rPr>
        <w:t xml:space="preserve"> the log of life expectancy</w:t>
      </w:r>
      <w:r>
        <w:rPr>
          <w:noProof/>
        </w:rPr>
        <w:t xml:space="preserve"> (</w:t>
      </w:r>
      <w:r w:rsidRPr="00825E0D">
        <w:rPr>
          <w:i/>
          <w:iCs/>
          <w:noProof/>
        </w:rPr>
        <w:t>LifeExp</w:t>
      </w:r>
      <w:r w:rsidRPr="006206DA">
        <w:rPr>
          <w:noProof/>
        </w:rPr>
        <w:t xml:space="preserve">). </w:t>
      </w:r>
    </w:p>
    <w:p w14:paraId="4D494CF0" w14:textId="77777777" w:rsidR="0012305F" w:rsidRDefault="0012305F" w:rsidP="0012305F">
      <w:pPr>
        <w:rPr>
          <w:noProof/>
        </w:rPr>
      </w:pPr>
      <w:r>
        <w:rPr>
          <w:noProof/>
        </w:rPr>
        <w:t xml:space="preserve">To address whether the effect of FD on income inequality differs along with the extent of financial and trade openness, the interaction </w:t>
      </w:r>
      <w:r w:rsidRPr="00CD2599">
        <w:rPr>
          <w:noProof/>
        </w:rPr>
        <w:t>term</w:t>
      </w:r>
      <w:r>
        <w:rPr>
          <w:noProof/>
        </w:rPr>
        <w:t>s</w:t>
      </w:r>
      <w:r w:rsidRPr="00CD2599">
        <w:rPr>
          <w:noProof/>
        </w:rPr>
        <w:t xml:space="preserve"> between</w:t>
      </w:r>
      <w:r>
        <w:rPr>
          <w:noProof/>
        </w:rPr>
        <w:t xml:space="preserve"> FD and FO and between FD and TO are included</w:t>
      </w:r>
      <w:r w:rsidRPr="00CD2599">
        <w:rPr>
          <w:noProof/>
        </w:rPr>
        <w:t xml:space="preserve"> </w:t>
      </w:r>
      <w:r>
        <w:rPr>
          <w:noProof/>
        </w:rPr>
        <w:t>in Equations 2 and 3, respectively.</w:t>
      </w:r>
    </w:p>
    <w:p w14:paraId="10196397" w14:textId="77777777" w:rsidR="0012305F" w:rsidRPr="00B938D1" w:rsidRDefault="00000000" w:rsidP="0012305F">
      <w:pPr>
        <w:rPr>
          <w:noProof/>
        </w:rPr>
      </w:pPr>
      <m:oMathPara>
        <m:oMath>
          <m:sSub>
            <m:sSubPr>
              <m:ctrlPr>
                <w:rPr>
                  <w:rFonts w:ascii="Cambria Math" w:hAnsi="Cambria Math"/>
                  <w:i/>
                  <w:noProof/>
                </w:rPr>
              </m:ctrlPr>
            </m:sSubPr>
            <m:e>
              <m:r>
                <w:rPr>
                  <w:rFonts w:ascii="Cambria Math" w:hAnsi="Cambria Math"/>
                  <w:noProof/>
                </w:rPr>
                <m:t>II</m:t>
              </m:r>
            </m:e>
            <m:sub>
              <m:r>
                <w:rPr>
                  <w:rFonts w:ascii="Cambria Math" w:hAnsi="Cambria Math"/>
                  <w:noProof/>
                </w:rPr>
                <m:t>i,t</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II</m:t>
              </m:r>
            </m:e>
            <m:sub>
              <m:r>
                <w:rPr>
                  <w:rFonts w:ascii="Cambria Math" w:hAnsi="Cambria Math"/>
                  <w:noProof/>
                </w:rPr>
                <m:t>i,t-1</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r>
                <w:rPr>
                  <w:rFonts w:ascii="Cambria Math" w:hAnsi="Cambria Math"/>
                  <w:noProof/>
                </w:rPr>
                <m:t>FD</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α</m:t>
                  </m:r>
                </m:e>
                <m:sub>
                  <m:r>
                    <w:rPr>
                      <w:rFonts w:ascii="Cambria Math" w:hAnsi="Cambria Math"/>
                      <w:noProof/>
                    </w:rPr>
                    <m:t>1</m:t>
                  </m:r>
                </m:sub>
              </m:sSub>
              <m:r>
                <w:rPr>
                  <w:rFonts w:ascii="Cambria Math" w:hAnsi="Cambria Math"/>
                  <w:noProof/>
                </w:rPr>
                <m:t>FD</m:t>
              </m:r>
            </m:e>
            <m:sub>
              <m:r>
                <w:rPr>
                  <w:rFonts w:ascii="Cambria Math" w:hAnsi="Cambria Math"/>
                  <w:noProof/>
                </w:rPr>
                <m:t>i,t</m:t>
              </m:r>
            </m:sub>
          </m:sSub>
          <m:sSub>
            <m:sSubPr>
              <m:ctrlPr>
                <w:rPr>
                  <w:rFonts w:ascii="Cambria Math" w:hAnsi="Cambria Math"/>
                  <w:i/>
                  <w:noProof/>
                </w:rPr>
              </m:ctrlPr>
            </m:sSubPr>
            <m:e>
              <m:r>
                <w:rPr>
                  <w:rFonts w:ascii="Cambria Math" w:hAnsi="Cambria Math"/>
                  <w:noProof/>
                </w:rPr>
                <m:t>×FO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r>
                <w:rPr>
                  <w:rFonts w:ascii="Cambria Math" w:hAnsi="Cambria Math"/>
                  <w:noProof/>
                </w:rPr>
                <m:t>FO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4</m:t>
                  </m:r>
                </m:sub>
              </m:sSub>
              <m:r>
                <w:rPr>
                  <w:rFonts w:ascii="Cambria Math" w:hAnsi="Cambria Math"/>
                  <w:noProof/>
                </w:rPr>
                <m:t>TO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5</m:t>
                  </m:r>
                </m:sub>
              </m:sSub>
              <m:r>
                <w:rPr>
                  <w:rFonts w:ascii="Cambria Math" w:hAnsi="Cambria Math"/>
                  <w:noProof/>
                </w:rPr>
                <m:t>Growth</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6</m:t>
                  </m:r>
                </m:sub>
              </m:sSub>
              <m:r>
                <w:rPr>
                  <w:rFonts w:ascii="Cambria Math" w:hAnsi="Cambria Math"/>
                  <w:noProof/>
                </w:rPr>
                <m:t>Inf</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7</m:t>
                  </m:r>
                </m:sub>
              </m:sSub>
              <m:r>
                <w:rPr>
                  <w:rFonts w:ascii="Cambria Math" w:hAnsi="Cambria Math"/>
                  <w:noProof/>
                </w:rPr>
                <m:t>GovExp</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8</m:t>
                  </m:r>
                </m:sub>
              </m:sSub>
              <m:r>
                <w:rPr>
                  <w:rFonts w:ascii="Cambria Math" w:hAnsi="Cambria Math"/>
                  <w:noProof/>
                </w:rPr>
                <m:t>Pop</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9</m:t>
                  </m:r>
                </m:sub>
              </m:sSub>
              <m:r>
                <w:rPr>
                  <w:rFonts w:ascii="Cambria Math" w:hAnsi="Cambria Math"/>
                  <w:noProof/>
                </w:rPr>
                <m:t xml:space="preserve"> LifeExp</m:t>
              </m:r>
            </m:e>
            <m:sub>
              <m:r>
                <w:rPr>
                  <w:rFonts w:ascii="Cambria Math" w:hAnsi="Cambria Math"/>
                  <w:noProof/>
                </w:rPr>
                <m:t>i,t</m:t>
              </m:r>
            </m:sub>
          </m:sSub>
          <m:r>
            <w:rPr>
              <w:rFonts w:ascii="Cambria Math" w:hAnsi="Cambria Math"/>
              <w:noProof/>
            </w:rPr>
            <m:t>+</m:t>
          </m:r>
          <m:sSub>
            <m:sSubPr>
              <m:ctrlPr>
                <w:rPr>
                  <w:rFonts w:ascii="Cambria Math" w:hAnsi="Cambria Math" w:cstheme="majorBidi"/>
                  <w:i/>
                  <w:noProof/>
                </w:rPr>
              </m:ctrlPr>
            </m:sSubPr>
            <m:e>
              <m:r>
                <w:rPr>
                  <w:rFonts w:ascii="Cambria Math" w:hAnsi="Cambria Math" w:cstheme="majorBidi"/>
                  <w:noProof/>
                </w:rPr>
                <m:t>τ</m:t>
              </m:r>
            </m:e>
            <m:sub>
              <m:r>
                <w:rPr>
                  <w:rFonts w:ascii="Cambria Math" w:hAnsi="Cambria Math" w:cstheme="majorBidi"/>
                  <w:noProof/>
                </w:rPr>
                <m:t>t</m:t>
              </m:r>
            </m:sub>
          </m:sSub>
          <m:sSub>
            <m:sSubPr>
              <m:ctrlPr>
                <w:rPr>
                  <w:rFonts w:ascii="Cambria Math" w:hAnsi="Cambria Math" w:cstheme="majorBidi"/>
                  <w:i/>
                  <w:noProof/>
                </w:rPr>
              </m:ctrlPr>
            </m:sSubPr>
            <m:e>
              <m:r>
                <w:rPr>
                  <w:rFonts w:ascii="Cambria Math" w:hAnsi="Cambria Math" w:cstheme="majorBidi"/>
                  <w:noProof/>
                </w:rPr>
                <m:t>+μ</m:t>
              </m:r>
            </m:e>
            <m:sub>
              <m:r>
                <w:rPr>
                  <w:rFonts w:ascii="Cambria Math" w:hAnsi="Cambria Math" w:cstheme="majorBidi"/>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ε</m:t>
              </m:r>
            </m:e>
            <m:sub>
              <m:r>
                <w:rPr>
                  <w:rFonts w:ascii="Cambria Math" w:hAnsi="Cambria Math"/>
                  <w:noProof/>
                </w:rPr>
                <m:t>i,t</m:t>
              </m:r>
            </m:sub>
          </m:sSub>
          <m:r>
            <w:rPr>
              <w:rFonts w:ascii="Cambria Math" w:hAnsi="Cambria Math"/>
              <w:noProof/>
            </w:rPr>
            <m:t xml:space="preserve">     (2)</m:t>
          </m:r>
        </m:oMath>
      </m:oMathPara>
    </w:p>
    <w:p w14:paraId="390E4783" w14:textId="77777777" w:rsidR="0012305F" w:rsidRDefault="00000000" w:rsidP="0012305F">
      <w:pPr>
        <w:rPr>
          <w:noProof/>
        </w:rPr>
      </w:pPr>
      <m:oMathPara>
        <m:oMath>
          <m:sSub>
            <m:sSubPr>
              <m:ctrlPr>
                <w:rPr>
                  <w:rFonts w:ascii="Cambria Math" w:hAnsi="Cambria Math"/>
                  <w:i/>
                  <w:noProof/>
                </w:rPr>
              </m:ctrlPr>
            </m:sSubPr>
            <m:e>
              <m:r>
                <w:rPr>
                  <w:rFonts w:ascii="Cambria Math" w:hAnsi="Cambria Math"/>
                  <w:noProof/>
                </w:rPr>
                <m:t>II</m:t>
              </m:r>
            </m:e>
            <m:sub>
              <m:r>
                <w:rPr>
                  <w:rFonts w:ascii="Cambria Math" w:hAnsi="Cambria Math"/>
                  <w:noProof/>
                </w:rPr>
                <m:t>i,t</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II</m:t>
              </m:r>
            </m:e>
            <m:sub>
              <m:r>
                <w:rPr>
                  <w:rFonts w:ascii="Cambria Math" w:hAnsi="Cambria Math"/>
                  <w:noProof/>
                </w:rPr>
                <m:t>i,t-1</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r>
                <w:rPr>
                  <w:rFonts w:ascii="Cambria Math" w:hAnsi="Cambria Math"/>
                  <w:noProof/>
                </w:rPr>
                <m:t>FD</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α</m:t>
                  </m:r>
                </m:e>
                <m:sub>
                  <m:r>
                    <w:rPr>
                      <w:rFonts w:ascii="Cambria Math" w:hAnsi="Cambria Math"/>
                      <w:noProof/>
                    </w:rPr>
                    <m:t>2</m:t>
                  </m:r>
                </m:sub>
              </m:sSub>
              <m:r>
                <w:rPr>
                  <w:rFonts w:ascii="Cambria Math" w:hAnsi="Cambria Math"/>
                  <w:noProof/>
                </w:rPr>
                <m:t>FD</m:t>
              </m:r>
            </m:e>
            <m:sub>
              <m:r>
                <w:rPr>
                  <w:rFonts w:ascii="Cambria Math" w:hAnsi="Cambria Math"/>
                  <w:noProof/>
                </w:rPr>
                <m:t>i,t</m:t>
              </m:r>
            </m:sub>
          </m:sSub>
          <m:sSub>
            <m:sSubPr>
              <m:ctrlPr>
                <w:rPr>
                  <w:rFonts w:ascii="Cambria Math" w:hAnsi="Cambria Math"/>
                  <w:i/>
                  <w:noProof/>
                </w:rPr>
              </m:ctrlPr>
            </m:sSubPr>
            <m:e>
              <m:r>
                <w:rPr>
                  <w:rFonts w:ascii="Cambria Math" w:hAnsi="Cambria Math"/>
                  <w:noProof/>
                </w:rPr>
                <m:t>×TO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r>
                <w:rPr>
                  <w:rFonts w:ascii="Cambria Math" w:hAnsi="Cambria Math"/>
                  <w:noProof/>
                </w:rPr>
                <m:t>FO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4</m:t>
                  </m:r>
                </m:sub>
              </m:sSub>
              <m:r>
                <w:rPr>
                  <w:rFonts w:ascii="Cambria Math" w:hAnsi="Cambria Math"/>
                  <w:noProof/>
                </w:rPr>
                <m:t>TO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5</m:t>
                  </m:r>
                </m:sub>
              </m:sSub>
              <m:r>
                <w:rPr>
                  <w:rFonts w:ascii="Cambria Math" w:hAnsi="Cambria Math"/>
                  <w:noProof/>
                </w:rPr>
                <m:t>Growth</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6</m:t>
                  </m:r>
                </m:sub>
              </m:sSub>
              <m:r>
                <w:rPr>
                  <w:rFonts w:ascii="Cambria Math" w:hAnsi="Cambria Math"/>
                  <w:noProof/>
                </w:rPr>
                <m:t>Inf</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7</m:t>
                  </m:r>
                </m:sub>
              </m:sSub>
              <m:r>
                <w:rPr>
                  <w:rFonts w:ascii="Cambria Math" w:hAnsi="Cambria Math"/>
                  <w:noProof/>
                </w:rPr>
                <m:t>GovExp</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8</m:t>
                  </m:r>
                </m:sub>
              </m:sSub>
              <m:r>
                <w:rPr>
                  <w:rFonts w:ascii="Cambria Math" w:hAnsi="Cambria Math"/>
                  <w:noProof/>
                </w:rPr>
                <m:t>Pop</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9</m:t>
                  </m:r>
                </m:sub>
              </m:sSub>
              <m:r>
                <w:rPr>
                  <w:rFonts w:ascii="Cambria Math" w:hAnsi="Cambria Math"/>
                  <w:noProof/>
                </w:rPr>
                <m:t xml:space="preserve"> LifeExp</m:t>
              </m:r>
            </m:e>
            <m:sub>
              <m:r>
                <w:rPr>
                  <w:rFonts w:ascii="Cambria Math" w:hAnsi="Cambria Math"/>
                  <w:noProof/>
                </w:rPr>
                <m:t>i,t</m:t>
              </m:r>
            </m:sub>
          </m:sSub>
          <m:r>
            <w:rPr>
              <w:rFonts w:ascii="Cambria Math" w:hAnsi="Cambria Math"/>
              <w:noProof/>
            </w:rPr>
            <m:t>+</m:t>
          </m:r>
          <m:sSub>
            <m:sSubPr>
              <m:ctrlPr>
                <w:rPr>
                  <w:rFonts w:ascii="Cambria Math" w:hAnsi="Cambria Math" w:cstheme="majorBidi"/>
                  <w:i/>
                  <w:noProof/>
                </w:rPr>
              </m:ctrlPr>
            </m:sSubPr>
            <m:e>
              <m:r>
                <w:rPr>
                  <w:rFonts w:ascii="Cambria Math" w:hAnsi="Cambria Math" w:cstheme="majorBidi"/>
                  <w:noProof/>
                </w:rPr>
                <m:t>τ</m:t>
              </m:r>
            </m:e>
            <m:sub>
              <m:r>
                <w:rPr>
                  <w:rFonts w:ascii="Cambria Math" w:hAnsi="Cambria Math" w:cstheme="majorBidi"/>
                  <w:noProof/>
                </w:rPr>
                <m:t>t</m:t>
              </m:r>
            </m:sub>
          </m:sSub>
          <m:sSub>
            <m:sSubPr>
              <m:ctrlPr>
                <w:rPr>
                  <w:rFonts w:ascii="Cambria Math" w:hAnsi="Cambria Math" w:cstheme="majorBidi"/>
                  <w:i/>
                  <w:noProof/>
                </w:rPr>
              </m:ctrlPr>
            </m:sSubPr>
            <m:e>
              <m:r>
                <w:rPr>
                  <w:rFonts w:ascii="Cambria Math" w:hAnsi="Cambria Math" w:cstheme="majorBidi"/>
                  <w:noProof/>
                </w:rPr>
                <m:t>+μ</m:t>
              </m:r>
            </m:e>
            <m:sub>
              <m:r>
                <w:rPr>
                  <w:rFonts w:ascii="Cambria Math" w:hAnsi="Cambria Math" w:cstheme="majorBidi"/>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ε</m:t>
              </m:r>
            </m:e>
            <m:sub>
              <m:r>
                <w:rPr>
                  <w:rFonts w:ascii="Cambria Math" w:hAnsi="Cambria Math"/>
                  <w:noProof/>
                </w:rPr>
                <m:t>i,t</m:t>
              </m:r>
            </m:sub>
          </m:sSub>
          <m:r>
            <w:rPr>
              <w:rFonts w:ascii="Cambria Math" w:hAnsi="Cambria Math"/>
              <w:noProof/>
            </w:rPr>
            <m:t xml:space="preserve">    (3)</m:t>
          </m:r>
        </m:oMath>
      </m:oMathPara>
    </w:p>
    <w:p w14:paraId="73DA3425" w14:textId="77777777" w:rsidR="0012305F" w:rsidRPr="008D255F" w:rsidRDefault="0012305F" w:rsidP="0012305F">
      <w:pPr>
        <w:rPr>
          <w:noProof/>
        </w:rPr>
      </w:pPr>
      <w:r w:rsidRPr="008D255F">
        <w:rPr>
          <w:noProof/>
        </w:rPr>
        <w:t xml:space="preserve">At the margin, the total effect of increasing FD can be calculated by examining the partial derivatives of income inequality with respect to FD. We expect negative </w:t>
      </w:r>
      <m:oMath>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oMath>
      <w:r w:rsidRPr="008D255F">
        <w:rPr>
          <w:noProof/>
        </w:rPr>
        <w:t xml:space="preserve"> and positive </w:t>
      </w:r>
      <m:oMath>
        <m:sSub>
          <m:sSubPr>
            <m:ctrlPr>
              <w:rPr>
                <w:rFonts w:ascii="Cambria Math" w:hAnsi="Cambria Math"/>
                <w:i/>
                <w:noProof/>
              </w:rPr>
            </m:ctrlPr>
          </m:sSubPr>
          <m:e>
            <m:r>
              <w:rPr>
                <w:rFonts w:ascii="Cambria Math" w:hAnsi="Cambria Math"/>
                <w:noProof/>
              </w:rPr>
              <m:t>α</m:t>
            </m:r>
          </m:e>
          <m:sub>
            <m:r>
              <w:rPr>
                <w:rFonts w:ascii="Cambria Math" w:hAnsi="Cambria Math"/>
                <w:noProof/>
              </w:rPr>
              <m:t>1</m:t>
            </m:r>
          </m:sub>
        </m:sSub>
      </m:oMath>
      <w:r w:rsidRPr="008D255F">
        <w:rPr>
          <w:noProof/>
        </w:rPr>
        <w:t xml:space="preserve"> and </w:t>
      </w:r>
      <m:oMath>
        <m:sSub>
          <m:sSubPr>
            <m:ctrlPr>
              <w:rPr>
                <w:rFonts w:ascii="Cambria Math" w:hAnsi="Cambria Math"/>
                <w:i/>
                <w:noProof/>
              </w:rPr>
            </m:ctrlPr>
          </m:sSubPr>
          <m:e>
            <m:r>
              <w:rPr>
                <w:rFonts w:ascii="Cambria Math" w:hAnsi="Cambria Math"/>
                <w:noProof/>
              </w:rPr>
              <m:t>α</m:t>
            </m:r>
          </m:e>
          <m:sub>
            <m:r>
              <w:rPr>
                <w:rFonts w:ascii="Cambria Math" w:hAnsi="Cambria Math"/>
                <w:noProof/>
              </w:rPr>
              <m:t>2</m:t>
            </m:r>
          </m:sub>
        </m:sSub>
        <m:r>
          <w:rPr>
            <w:rFonts w:ascii="Cambria Math" w:hAnsi="Cambria Math"/>
            <w:noProof/>
          </w:rPr>
          <m:t>,</m:t>
        </m:r>
      </m:oMath>
      <w:r w:rsidRPr="008D255F">
        <w:rPr>
          <w:noProof/>
        </w:rPr>
        <w:t xml:space="preserve"> which implies that FD increases (decreases) inequality</w:t>
      </w:r>
      <w:r w:rsidRPr="008D255F">
        <w:rPr>
          <w:rFonts w:cstheme="majorBidi"/>
          <w:szCs w:val="24"/>
        </w:rPr>
        <w:t xml:space="preserve"> </w:t>
      </w:r>
      <w:r w:rsidRPr="008D255F">
        <w:rPr>
          <w:noProof/>
        </w:rPr>
        <w:t>in an open (close</w:t>
      </w:r>
      <w:r>
        <w:rPr>
          <w:noProof/>
        </w:rPr>
        <w:t>d</w:t>
      </w:r>
      <w:r w:rsidRPr="008D255F">
        <w:rPr>
          <w:noProof/>
        </w:rPr>
        <w:t>) economy to the world financial or trade market.</w:t>
      </w:r>
    </w:p>
    <w:p w14:paraId="150F5B31" w14:textId="02D8B32D" w:rsidR="0012305F" w:rsidRPr="008D255F" w:rsidRDefault="0012305F" w:rsidP="0012305F">
      <w:pPr>
        <w:rPr>
          <w:noProof/>
        </w:rPr>
      </w:pPr>
      <w:r w:rsidRPr="008D255F">
        <w:rPr>
          <w:noProof/>
        </w:rPr>
        <w:t>Some potential problem</w:t>
      </w:r>
      <w:r>
        <w:rPr>
          <w:noProof/>
        </w:rPr>
        <w:t>s</w:t>
      </w:r>
      <w:r w:rsidRPr="008D255F">
        <w:rPr>
          <w:noProof/>
        </w:rPr>
        <w:t xml:space="preserve"> arise when estimating the above equations. The primary identification issue is the potential endogeneity of FD. As discussed in the literature </w:t>
      </w:r>
      <w:r w:rsidRPr="008D255F">
        <w:rPr>
          <w:noProof/>
        </w:rPr>
        <w:fldChar w:fldCharType="begin" w:fldLock="1"/>
      </w:r>
      <w:r w:rsidRPr="008D255F">
        <w:rPr>
          <w:noProof/>
        </w:rPr>
        <w:instrText>ADDIN CSL_CITATION {"citationItems":[{"id":"ITEM-1","itemData":{"DOI":"10.1007/S10887-007-9010-6","ISSN":"1573-7020","abstract":"Financial development disproportionately boosts incomes of the poorest quintile and reduces income inequality. About 40% of the long-run impact of financial development on the income growth of the poorest quintile is the result of reductions in income inequality, while 60% is due to the impact of financial development on aggregate economic growth. Furthermore, financial development is associated with a drop in the fraction of the population living on less than $ 1 a day, a result which holds when conditioning on average growth. These findings emphasize the importance of the financial system for the poor.","author":[{"dropping-particle":"","family":"Beck","given":"Thorsten","non-dropping-particle":"","parse-names":false,"suffix":""},{"dropping-particle":"","family":"Demirgüç-Kunt","given":"Asli","non-dropping-particle":"","parse-names":false,"suffix":""},{"dropping-particle":"","family":"Levine","given":"Ross","non-dropping-particle":"","parse-names":false,"suffix":""}],"container-title":"Journal of Economic Growth 2007 12:1","id":"ITEM-1","issue":"1","issued":{"date-parts":[["2007","3","6"]]},"page":"27-49","publisher":"Springer","title":"Finance, inequality and the poor","type":"article-journal","volume":"12"},"uris":["http://www.mendeley.com/documents/?uuid=ef69fbab-06d2-3848-95c2-1b7688171225"]},{"id":"ITEM-2","itemData":{"DOI":"10.1007/S00181-015-1008-X/TABLES/7","ISSN":"03777332","abstract":"We analyzed the link between financial development and income inequality for a broad unbalanced dataset of up to 138 developed and developing countries over the years 1960–2008. Using credit to GDP as a measure of financial development, our results reject theoretical models predicting a negative impact of financial development on income inequality measured by the Gini coefficient. Controlling for country fixed effects, possible endogeneity problems, GDP per capita and other control variables, we find that financial development increases income inequality. These results are robust to different measures of financial development, econometric specifications and control variables.","author":[{"dropping-particle":"","family":"Jauch","given":"Sebastian","non-dropping-particle":"","parse-names":false,"suffix":""},{"dropping-particle":"","family":"Watzka","given":"Sebastian","non-dropping-particle":"","parse-names":false,"suffix":""}],"container-title":"Empirical Economics","id":"ITEM-2","issue":"1","issued":{"date-parts":[["2016","8","1"]]},"page":"291-314","publisher":"Springer Verlag","title":"Financial development and income inequality: a panel data approach","type":"article-journal","volume":"51"},"uris":["http://www.mendeley.com/documents/?uuid=c443e032-58b2-30c5-9663-fee88c1ece49"]},{"id":"ITEM-3","itemData":{"DOI":"10.2753/REE1540-496X5001S102","ISSN":"15580938","abstract":"We examine whether the relationship between financial development and income inequality varies with levels of institutional quality. The empirical evidence based on the threshold regression approach shows that there indeed exists an institutional quality threshold effect in the relationship between financial development and income inequality. Financial development tends to reduce income inequality only after a certain threshold level of institutional quality has been achieved. Until then, the effect of financial development on income inequality is nonexistent. This finding suggests that institutional quality affects the link between financial development and income inequality, reflecting the notion that better quality finance results in more equal income distribution.","author":[{"dropping-particle":"","family":"Law","given":"Siong Hook","non-dropping-particle":"","parse-names":false,"suffix":""},{"dropping-particle":"","family":"Tan","given":"Hui Boon","non-dropping-particle":"","parse-names":false,"suffix":""},{"dropping-particle":"","family":"Azman-Saini","given":"W. N.W.","non-dropping-particle":"","parse-names":false,"suffix":""}],"container-title":"Emerging Markets Finance and Trade","id":"ITEM-3","issued":{"date-parts":[["2014"]]},"page":"21-33","publisher":"Routledge","title":"Financial development and income inequality at different levels of institutional quality","type":"article-journal","volume":"50"},"uris":["http://www.mendeley.com/documents/?uuid=a5cf98f7-fa14-3e66-b12d-52b940095cc5"]}],"mendeley":{"formattedCitation":"(Beck et al., 2007; Jauch &amp; Watzka, 2016; Law et al., 2014)","plainTextFormattedCitation":"(Beck et al., 2007; Jauch &amp; Watzka, 2016; Law et al., 2014)","previouslyFormattedCitation":"(Beck et al., 2007; Jauch &amp; Watzka, 2016; Law et al., 2014)"},"properties":{"noteIndex":0},"schema":"https://github.com/citation-style-language/schema/raw/master/csl-citation.json"}</w:instrText>
      </w:r>
      <w:r w:rsidRPr="008D255F">
        <w:rPr>
          <w:noProof/>
        </w:rPr>
        <w:fldChar w:fldCharType="separate"/>
      </w:r>
      <w:r w:rsidRPr="008D255F">
        <w:rPr>
          <w:noProof/>
        </w:rPr>
        <w:t xml:space="preserve">(Beck et al., 2007; Jauch </w:t>
      </w:r>
      <w:r w:rsidR="00C62879">
        <w:rPr>
          <w:noProof/>
        </w:rPr>
        <w:t>and</w:t>
      </w:r>
      <w:r w:rsidRPr="008D255F">
        <w:rPr>
          <w:noProof/>
        </w:rPr>
        <w:t xml:space="preserve"> Watzka, 2016; Law et al., 2014)</w:t>
      </w:r>
      <w:r w:rsidRPr="008D255F">
        <w:rPr>
          <w:noProof/>
        </w:rPr>
        <w:fldChar w:fldCharType="end"/>
      </w:r>
      <w:r w:rsidRPr="008D255F">
        <w:rPr>
          <w:noProof/>
        </w:rPr>
        <w:t>, FD is highly likely to be endogenous, possibly due to feedback from income inequality to FD (reverse causality).</w:t>
      </w:r>
      <w:r w:rsidRPr="008D255F">
        <w:t xml:space="preserve"> </w:t>
      </w:r>
      <w:r w:rsidRPr="008D255F">
        <w:rPr>
          <w:noProof/>
        </w:rPr>
        <w:t xml:space="preserve">For example, reductions in income inequality may stimulate demand for ﬁnancial services </w:t>
      </w:r>
      <w:r w:rsidRPr="008D255F">
        <w:rPr>
          <w:noProof/>
        </w:rPr>
        <w:fldChar w:fldCharType="begin" w:fldLock="1"/>
      </w:r>
      <w:r w:rsidRPr="008D255F">
        <w:rPr>
          <w:noProof/>
        </w:rPr>
        <w:instrText>ADDIN CSL_CITATION {"citationItems":[{"id":"ITEM-1","itemData":{"DOI":"10.1007/S10887-007-9010-6","ISSN":"1573-7020","abstract":"Financial development disproportionately boosts incomes of the poorest quintile and reduces income inequality. About 40% of the long-run impact of financial development on the income growth of the poorest quintile is the result of reductions in income inequality, while 60% is due to the impact of financial development on aggregate economic growth. Furthermore, financial development is associated with a drop in the fraction of the population living on less than $ 1 a day, a result which holds when conditioning on average growth. These findings emphasize the importance of the financial system for the poor.","author":[{"dropping-particle":"","family":"Beck","given":"Thorsten","non-dropping-particle":"","parse-names":false,"suffix":""},{"dropping-particle":"","family":"Demirgüç-Kunt","given":"Asli","non-dropping-particle":"","parse-names":false,"suffix":""},{"dropping-particle":"","family":"Levine","given":"Ross","non-dropping-particle":"","parse-names":false,"suffix":""}],"container-title":"Journal of Economic Growth 2007 12:1","id":"ITEM-1","issue":"1","issued":{"date-parts":[["2007","3","6"]]},"page":"27-49","publisher":"Springer","title":"Finance, inequality and the poor","type":"article-journal","volume":"12"},"uris":["http://www.mendeley.com/documents/?uuid=ef69fbab-06d2-3848-95c2-1b7688171225"]}],"mendeley":{"formattedCitation":"(Beck et al., 2007)","plainTextFormattedCitation":"(Beck et al., 2007)","previouslyFormattedCitation":"(Beck et al., 2007)"},"properties":{"noteIndex":0},"schema":"https://github.com/citation-style-language/schema/raw/master/csl-citation.json"}</w:instrText>
      </w:r>
      <w:r w:rsidRPr="008D255F">
        <w:rPr>
          <w:noProof/>
        </w:rPr>
        <w:fldChar w:fldCharType="separate"/>
      </w:r>
      <w:r w:rsidRPr="008D255F">
        <w:rPr>
          <w:noProof/>
        </w:rPr>
        <w:t>(Beck et al., 2007)</w:t>
      </w:r>
      <w:r w:rsidRPr="008D255F">
        <w:rPr>
          <w:noProof/>
        </w:rPr>
        <w:fldChar w:fldCharType="end"/>
      </w:r>
      <w:r w:rsidRPr="008D255F">
        <w:rPr>
          <w:noProof/>
        </w:rPr>
        <w:t xml:space="preserve">. </w:t>
      </w:r>
      <w:r>
        <w:rPr>
          <w:noProof/>
        </w:rPr>
        <w:t>Previous</w:t>
      </w:r>
      <w:r w:rsidRPr="008D255F">
        <w:rPr>
          <w:noProof/>
        </w:rPr>
        <w:t xml:space="preserve"> research used instruments for ﬁnancial development. These instruments were similar to those in the literature on the FD–growth nexus, usually the origin of a country’s legal system, which may not be good instrument</w:t>
      </w:r>
      <w:r>
        <w:rPr>
          <w:noProof/>
        </w:rPr>
        <w:t>s</w:t>
      </w:r>
      <w:r w:rsidRPr="008D255F">
        <w:rPr>
          <w:noProof/>
        </w:rPr>
        <w:t xml:space="preserve"> for FD when investigating</w:t>
      </w:r>
      <w:r w:rsidRPr="00AE0DDD">
        <w:rPr>
          <w:noProof/>
        </w:rPr>
        <w:t xml:space="preserve"> the inequality nexus</w:t>
      </w:r>
      <w:r>
        <w:rPr>
          <w:noProof/>
        </w:rPr>
        <w:t xml:space="preserve"> </w:t>
      </w:r>
      <w:r>
        <w:rPr>
          <w:noProof/>
        </w:rPr>
        <w:fldChar w:fldCharType="begin" w:fldLock="1"/>
      </w:r>
      <w:r>
        <w:rPr>
          <w:noProof/>
        </w:rPr>
        <w:instrText>ADDIN CSL_CITATION {"citationItems":[{"id":"ITEM-1","itemData":{"DOI":"10.1007/S00181-015-1008-X/TABLES/7","ISSN":"03777332","abstract":"We analyzed the link between financial development and income inequality for a broad unbalanced dataset of up to 138 developed and developing countries over the years 1960–2008. Using credit to GDP as a measure of financial development, our results reject theoretical models predicting a negative impact of financial development on income inequality measured by the Gini coefficient. Controlling for country fixed effects, possible endogeneity problems, GDP per capita and other control variables, we find that financial development increases income inequality. These results are robust to different measures of financial development, econometric specifications and control variables.","author":[{"dropping-particle":"","family":"Jauch","given":"Sebastian","non-dropping-particle":"","parse-names":false,"suffix":""},{"dropping-particle":"","family":"Watzka","given":"Sebastian","non-dropping-particle":"","parse-names":false,"suffix":""}],"container-title":"Empirical Economics","id":"ITEM-1","issue":"1","issued":{"date-parts":[["2016","8","1"]]},"page":"291-314","publisher":"Springer Verlag","title":"Financial development and income inequality: a panel data approach","type":"article-journal","volume":"51"},"uris":["http://www.mendeley.com/documents/?uuid=c443e032-58b2-30c5-9663-fee88c1ece49"]}],"mendeley":{"formattedCitation":"(Jauch &amp; Watzka, 2016)","plainTextFormattedCitation":"(Jauch &amp; Watzka, 2016)","previouslyFormattedCitation":"(Jauch &amp; Watzka, 2016)"},"properties":{"noteIndex":0},"schema":"https://github.com/citation-style-language/schema/raw/master/csl-citation.json"}</w:instrText>
      </w:r>
      <w:r>
        <w:rPr>
          <w:noProof/>
        </w:rPr>
        <w:fldChar w:fldCharType="separate"/>
      </w:r>
      <w:r w:rsidRPr="00AE0DDD">
        <w:rPr>
          <w:noProof/>
        </w:rPr>
        <w:t xml:space="preserve">(Jauch </w:t>
      </w:r>
      <w:r w:rsidR="00C62879">
        <w:rPr>
          <w:noProof/>
        </w:rPr>
        <w:t>and</w:t>
      </w:r>
      <w:r w:rsidRPr="00AE0DDD">
        <w:rPr>
          <w:noProof/>
        </w:rPr>
        <w:t xml:space="preserve"> </w:t>
      </w:r>
      <w:r w:rsidRPr="00AE0DDD">
        <w:rPr>
          <w:noProof/>
        </w:rPr>
        <w:lastRenderedPageBreak/>
        <w:t>Watzka, 2016)</w:t>
      </w:r>
      <w:r>
        <w:rPr>
          <w:noProof/>
        </w:rPr>
        <w:fldChar w:fldCharType="end"/>
      </w:r>
      <w:r>
        <w:rPr>
          <w:noProof/>
        </w:rPr>
        <w:t>. In addition, t</w:t>
      </w:r>
      <w:r w:rsidRPr="001C6C52">
        <w:rPr>
          <w:noProof/>
        </w:rPr>
        <w:t xml:space="preserve">he inclusion of the lagged dependent variable in the empirical model implies </w:t>
      </w:r>
      <w:r>
        <w:rPr>
          <w:noProof/>
        </w:rPr>
        <w:t>a</w:t>
      </w:r>
      <w:r w:rsidRPr="001C6C52">
        <w:rPr>
          <w:noProof/>
        </w:rPr>
        <w:t xml:space="preserve"> correlation between the regressors and the error term</w:t>
      </w:r>
      <w:r>
        <w:rPr>
          <w:noProof/>
        </w:rPr>
        <w:t xml:space="preserve">, which could bias the coefficient estimates </w:t>
      </w:r>
      <w:r>
        <w:rPr>
          <w:noProof/>
        </w:rPr>
        <w:fldChar w:fldCharType="begin" w:fldLock="1"/>
      </w:r>
      <w:r>
        <w:rPr>
          <w:noProof/>
        </w:rPr>
        <w:instrText>ADDIN CSL_CITATION {"citationItems":[{"id":"ITEM-1","itemData":{"DOI":"10.1016/J.JDEVECO.2008.06.006","ISSN":"0304-3878","abstract":"This paper addresses the empirical question of whether trade and financial openness can help explain the recent pace in financial development, as well as its variation across countries in recent years. Utilising annual data from developing and industrialised countries and dynamic panel estimation techniques, we provide evidence which suggests that both types of openness are statistically significant determinants of banking sector development. Our findings reveal that the marginal effects of trade (financial) openness are negatively related to the degree of financial (trade) openness, indicating that relatively closed economies stand to benefit most from opening up their trade and/or capital accounts. Although these economies may be able to accomplish more by taking steps to open both their trade and capital accounts, opening up one without the other could still generate gains in terms of banking sector development. Thus, our findings provide only partial support to the well known Rajan and Zingales hypothesis, which stipulates that both types of openness are necessary for financial development to take place. © 2008 Elsevier B.V. All rights reserved.","author":[{"dropping-particle":"","family":"Baltagi","given":"Badi H.","non-dropping-particle":"","parse-names":false,"suffix":""},{"dropping-particle":"","family":"Demetriades","given":"Panicos O.","non-dropping-particle":"","parse-names":false,"suffix":""},{"dropping-particle":"","family":"Law","given":"Siong Hook","non-dropping-particle":"","parse-names":false,"suffix":""}],"container-title":"Journal of Development Economics","id":"ITEM-1","issue":"2","issued":{"date-parts":[["2009","7","1"]]},"page":"285-296","publisher":"North-Holland","title":"Financial development and openness: Evidence from panel data","type":"article-journal","volume":"89"},"uris":["http://www.mendeley.com/documents/?uuid=1a6b3695-11d4-3eba-84c7-db106eb6ae65"]}],"mendeley":{"formattedCitation":"(Baltagi et al., 2009)","plainTextFormattedCitation":"(Baltagi et al., 2009)","previouslyFormattedCitation":"(Baltagi et al., 2009)"},"properties":{"noteIndex":0},"schema":"https://github.com/citation-style-language/schema/raw/master/csl-citation.json"}</w:instrText>
      </w:r>
      <w:r>
        <w:rPr>
          <w:noProof/>
        </w:rPr>
        <w:fldChar w:fldCharType="separate"/>
      </w:r>
      <w:r w:rsidRPr="00AE0DDD">
        <w:rPr>
          <w:noProof/>
        </w:rPr>
        <w:t>(Baltagi et al., 2009)</w:t>
      </w:r>
      <w:r>
        <w:rPr>
          <w:noProof/>
        </w:rPr>
        <w:fldChar w:fldCharType="end"/>
      </w:r>
      <w:r>
        <w:rPr>
          <w:noProof/>
        </w:rPr>
        <w:t xml:space="preserve">. Besides these endogeneity considerations, even when using standard two-stage least squares regressions and instruments for ﬁnancial development, this does not control for the endogeneity </w:t>
      </w:r>
      <w:r w:rsidRPr="008D255F">
        <w:rPr>
          <w:noProof/>
        </w:rPr>
        <w:t xml:space="preserve">of other explanatory variables, which may bias the coefﬁcient estimates on ﬁnancial development </w:t>
      </w:r>
      <w:r w:rsidRPr="008D255F">
        <w:rPr>
          <w:noProof/>
        </w:rPr>
        <w:fldChar w:fldCharType="begin" w:fldLock="1"/>
      </w:r>
      <w:r w:rsidRPr="008D255F">
        <w:rPr>
          <w:noProof/>
        </w:rPr>
        <w:instrText>ADDIN CSL_CITATION {"citationItems":[{"id":"ITEM-1","itemData":{"DOI":"10.1007/S10887-007-9010-6","ISSN":"1573-7020","abstract":"Financial development disproportionately boosts incomes of the poorest quintile and reduces income inequality. About 40% of the long-run impact of financial development on the income growth of the poorest quintile is the result of reductions in income inequality, while 60% is due to the impact of financial development on aggregate economic growth. Furthermore, financial development is associated with a drop in the fraction of the population living on less than $ 1 a day, a result which holds when conditioning on average growth. These findings emphasize the importance of the financial system for the poor.","author":[{"dropping-particle":"","family":"Beck","given":"Thorsten","non-dropping-particle":"","parse-names":false,"suffix":""},{"dropping-particle":"","family":"Demirgüç-Kunt","given":"Asli","non-dropping-particle":"","parse-names":false,"suffix":""},{"dropping-particle":"","family":"Levine","given":"Ross","non-dropping-particle":"","parse-names":false,"suffix":""}],"container-title":"Journal of Economic Growth 2007 12:1","id":"ITEM-1","issue":"1","issued":{"date-parts":[["2007","3","6"]]},"page":"27-49","publisher":"Springer","title":"Finance, inequality and the poor","type":"article-journal","volume":"12"},"uris":["http://www.mendeley.com/documents/?uuid=ef69fbab-06d2-3848-95c2-1b7688171225"]}],"mendeley":{"formattedCitation":"(Beck et al., 2007)","plainTextFormattedCitation":"(Beck et al., 2007)","previouslyFormattedCitation":"(Beck et al., 2007)"},"properties":{"noteIndex":0},"schema":"https://github.com/citation-style-language/schema/raw/master/csl-citation.json"}</w:instrText>
      </w:r>
      <w:r w:rsidRPr="008D255F">
        <w:rPr>
          <w:noProof/>
        </w:rPr>
        <w:fldChar w:fldCharType="separate"/>
      </w:r>
      <w:r w:rsidRPr="008D255F">
        <w:rPr>
          <w:noProof/>
        </w:rPr>
        <w:t>(Beck et al., 2007)</w:t>
      </w:r>
      <w:r w:rsidRPr="008D255F">
        <w:rPr>
          <w:noProof/>
        </w:rPr>
        <w:fldChar w:fldCharType="end"/>
      </w:r>
      <w:r w:rsidRPr="008D255F">
        <w:rPr>
          <w:noProof/>
        </w:rPr>
        <w:t xml:space="preserve">. </w:t>
      </w:r>
    </w:p>
    <w:p w14:paraId="092A2213" w14:textId="195F478E" w:rsidR="0012305F" w:rsidRDefault="0012305F" w:rsidP="0012305F">
      <w:pPr>
        <w:rPr>
          <w:noProof/>
        </w:rPr>
      </w:pPr>
      <w:r w:rsidRPr="008D255F">
        <w:rPr>
          <w:noProof/>
        </w:rPr>
        <w:t>Thus, the preferred estimator, in this case, is the two-step Generalised Method of Moment</w:t>
      </w:r>
      <w:r>
        <w:rPr>
          <w:noProof/>
        </w:rPr>
        <w:t>s</w:t>
      </w:r>
      <w:r w:rsidRPr="008D255F">
        <w:rPr>
          <w:noProof/>
        </w:rPr>
        <w:t xml:space="preserve"> (</w:t>
      </w:r>
      <w:r w:rsidRPr="008D255F">
        <w:rPr>
          <w:i/>
          <w:iCs/>
          <w:noProof/>
        </w:rPr>
        <w:t>GMM</w:t>
      </w:r>
      <w:r w:rsidRPr="008D255F">
        <w:rPr>
          <w:noProof/>
        </w:rPr>
        <w:t xml:space="preserve">) suggested by </w:t>
      </w:r>
      <w:r w:rsidRPr="008D255F">
        <w:rPr>
          <w:noProof/>
        </w:rPr>
        <w:fldChar w:fldCharType="begin" w:fldLock="1"/>
      </w:r>
      <w:r w:rsidR="002E36DB">
        <w:rPr>
          <w:noProof/>
        </w:rPr>
        <w:instrText>ADDIN CSL_CITATION {"citationItems":[{"id":"ITEM-1","itemData":{"DOI":"10.2307/2297968","ISSN":"0034-6527","abstract":"This paper presents specification tests that are applicable after estimating a dynamic model from panel data by the generalized method of moments (GMM), and studies the practical performance of these procedures using both generated and real data. Our GMM estimator optimally exploits all the linear moment restrictions that follow from the assumption of no serial correlation in the errors, in an equation which contains individual effects, lagged dependent variables and no strictly exogenous variables. We propose a test of serial correlation based on the GMM residuals and compare this with Sargan tests of over-identifying restrictions and Hausman specification tests. © 1991 The Review of Economic Studies Limited.","author":[{"dropping-particle":"","family":"Arellano","given":"Manuel","non-dropping-particle":"","parse-names":false,"suffix":""},{"dropping-particle":"","family":"Bond","given":"Stephen","non-dropping-particle":"","parse-names":false,"suffix":""}],"container-title":"The Review of Economic Studies","id":"ITEM-1","issue":"2","issued":{"date-parts":[["1991","4","1"]]},"page":"277-297","publisher":"Oxford Academic","title":"Some tests of specification for panel data: Monte Carlo evidence and an application to employment equations","type":"article-journal","volume":"58"},"uris":["http://www.mendeley.com/documents/?uuid=a2e1da2f-bdb1-369c-8f95-30d5df46e677"]}],"mendeley":{"formattedCitation":"(Arellano &amp; Bond, 1991)","manualFormatting":"Arellano and Bond (1991)","plainTextFormattedCitation":"(Arellano &amp; Bond, 1991)","previouslyFormattedCitation":"(Arellano &amp; Bond, 1991)"},"properties":{"noteIndex":0},"schema":"https://github.com/citation-style-language/schema/raw/master/csl-citation.json"}</w:instrText>
      </w:r>
      <w:r w:rsidRPr="008D255F">
        <w:rPr>
          <w:noProof/>
        </w:rPr>
        <w:fldChar w:fldCharType="separate"/>
      </w:r>
      <w:r w:rsidRPr="008D255F">
        <w:rPr>
          <w:noProof/>
        </w:rPr>
        <w:t xml:space="preserve">Arellano </w:t>
      </w:r>
      <w:r>
        <w:rPr>
          <w:noProof/>
        </w:rPr>
        <w:t>and</w:t>
      </w:r>
      <w:r w:rsidRPr="008D255F">
        <w:rPr>
          <w:noProof/>
        </w:rPr>
        <w:t xml:space="preserve"> Bond (1991)</w:t>
      </w:r>
      <w:r w:rsidRPr="008D255F">
        <w:rPr>
          <w:noProof/>
        </w:rPr>
        <w:fldChar w:fldCharType="end"/>
      </w:r>
      <w:r w:rsidRPr="008D255F">
        <w:rPr>
          <w:noProof/>
        </w:rPr>
        <w:t xml:space="preserve"> with robust standard errors</w:t>
      </w:r>
      <w:r>
        <w:rPr>
          <w:noProof/>
        </w:rPr>
        <w:t>,</w:t>
      </w:r>
      <w:r w:rsidRPr="008D255F">
        <w:rPr>
          <w:noProof/>
        </w:rPr>
        <w:t xml:space="preserve"> which eliminates any endogeneity </w:t>
      </w:r>
      <w:r>
        <w:rPr>
          <w:noProof/>
        </w:rPr>
        <w:t xml:space="preserve">that </w:t>
      </w:r>
      <w:r w:rsidRPr="008D255F">
        <w:rPr>
          <w:noProof/>
        </w:rPr>
        <w:t>may be due to the correlation of country-specific, time-invariant factors and right-hand side regressors</w:t>
      </w:r>
      <w:r w:rsidRPr="008D255F">
        <w:rPr>
          <w:rStyle w:val="FootnoteReference"/>
          <w:noProof/>
        </w:rPr>
        <w:footnoteReference w:id="3"/>
      </w:r>
      <w:r w:rsidRPr="008D255F">
        <w:rPr>
          <w:noProof/>
        </w:rPr>
        <w:t xml:space="preserve"> </w:t>
      </w:r>
      <w:r w:rsidRPr="008D255F">
        <w:rPr>
          <w:noProof/>
        </w:rPr>
        <w:fldChar w:fldCharType="begin" w:fldLock="1"/>
      </w:r>
      <w:r w:rsidRPr="008D255F">
        <w:rPr>
          <w:noProof/>
        </w:rPr>
        <w:instrText>ADDIN CSL_CITATION {"citationItems":[{"id":"ITEM-1","itemData":{"DOI":"10.1007/S00181-015-1008-X/TABLES/7","ISSN":"03777332","abstract":"We analyzed the link between financial development and income inequality for a broad unbalanced dataset of up to 138 developed and developing countries over the years 1960–2008. Using credit to GDP as a measure of financial development, our results reject theoretical models predicting a negative impact of financial development on income inequality measured by the Gini coefficient. Controlling for country fixed effects, possible endogeneity problems, GDP per capita and other control variables, we find that financial development increases income inequality. These results are robust to different measures of financial development, econometric specifications and control variables.","author":[{"dropping-particle":"","family":"Jauch","given":"Sebastian","non-dropping-particle":"","parse-names":false,"suffix":""},{"dropping-particle":"","family":"Watzka","given":"Sebastian","non-dropping-particle":"","parse-names":false,"suffix":""}],"container-title":"Empirical Economics","id":"ITEM-1","issue":"1","issued":{"date-parts":[["2016","8","1"]]},"page":"291-314","publisher":"Springer Verlag","title":"Financial development and income inequality: a panel data approach","type":"article-journal","volume":"51"},"uris":["http://www.mendeley.com/documents/?uuid=c443e032-58b2-30c5-9663-fee88c1ece49"]},{"id":"ITEM-2","itemData":{"DOI":"10.1016/J.JDEVECO.2008.06.006","ISSN":"0304-3878","abstract":"This paper addresses the empirical question of whether trade and financial openness can help explain the recent pace in financial development, as well as its variation across countries in recent years. Utilising annual data from developing and industrialised countries and dynamic panel estimation techniques, we provide evidence which suggests that both types of openness are statistically significant determinants of banking sector development. Our findings reveal that the marginal effects of trade (financial) openness are negatively related to the degree of financial (trade) openness, indicating that relatively closed economies stand to benefit most from opening up their trade and/or capital accounts. Although these economies may be able to accomplish more by taking steps to open both their trade and capital accounts, opening up one without the other could still generate gains in terms of banking sector development. Thus, our findings provide only partial support to the well known Rajan and Zingales hypothesis, which stipulates that both types of openness are necessary for financial development to take place. © 2008 Elsevier B.V. All rights reserved.","author":[{"dropping-particle":"","family":"Baltagi","given":"Badi H.","non-dropping-particle":"","parse-names":false,"suffix":""},{"dropping-particle":"","family":"Demetriades","given":"Panicos O.","non-dropping-particle":"","parse-names":false,"suffix":""},{"dropping-particle":"","family":"Law","given":"Siong Hook","non-dropping-particle":"","parse-names":false,"suffix":""}],"container-title":"Journal of Development Economics","id":"ITEM-2","issue":"2","issued":{"date-parts":[["2009","7","1"]]},"page":"285-296","publisher":"North-Holland","title":"Financial development and openness: Evidence from panel data","type":"article-journal","volume":"89"},"uris":["http://www.mendeley.com/documents/?uuid=8e40b035-1fa5-3704-b467-937a4aa5f74a"]}],"mendeley":{"formattedCitation":"(Baltagi et al., 2009; Jauch &amp; Watzka, 2016)","manualFormatting":"(more details in Baltagi et al., 2009; Jauch &amp; Watzka, 2016)","plainTextFormattedCitation":"(Baltagi et al., 2009; Jauch &amp; Watzka, 2016)","previouslyFormattedCitation":"(Baltagi et al., 2009; Jauch &amp; Watzka, 2016)"},"properties":{"noteIndex":0},"schema":"https://github.com/citation-style-language/schema/raw/master/csl-citation.json"}</w:instrText>
      </w:r>
      <w:r w:rsidRPr="008D255F">
        <w:rPr>
          <w:noProof/>
        </w:rPr>
        <w:fldChar w:fldCharType="separate"/>
      </w:r>
      <w:r w:rsidRPr="008D255F">
        <w:rPr>
          <w:noProof/>
        </w:rPr>
        <w:t xml:space="preserve">(more details in Baltagi et al., 2009; Jauch </w:t>
      </w:r>
      <w:r w:rsidR="00C62879">
        <w:rPr>
          <w:noProof/>
        </w:rPr>
        <w:t>and</w:t>
      </w:r>
      <w:r w:rsidRPr="008D255F">
        <w:rPr>
          <w:noProof/>
        </w:rPr>
        <w:t xml:space="preserve"> Watzka, 2016)</w:t>
      </w:r>
      <w:r w:rsidRPr="008D255F">
        <w:rPr>
          <w:noProof/>
        </w:rPr>
        <w:fldChar w:fldCharType="end"/>
      </w:r>
      <w:r w:rsidRPr="008D255F">
        <w:rPr>
          <w:noProof/>
        </w:rPr>
        <w:t>. There is convincing evidence that too many moment conditions introduce bias while increasing efficiency. It is, therefore, suggested that a subset of these moment conditions be used to take advantage of the trade-off between the reduction in bias and the loss in efficiency (</w:t>
      </w:r>
      <w:r>
        <w:rPr>
          <w:noProof/>
        </w:rPr>
        <w:t>s</w:t>
      </w:r>
      <w:r w:rsidRPr="008D255F">
        <w:rPr>
          <w:noProof/>
        </w:rPr>
        <w:t xml:space="preserve">ee Baltagi, 2005, and the references cited there). We treat </w:t>
      </w:r>
      <w:r w:rsidRPr="008D255F">
        <w:rPr>
          <w:i/>
          <w:iCs/>
          <w:noProof/>
        </w:rPr>
        <w:t>GrossGini</w:t>
      </w:r>
      <w:r w:rsidRPr="008D255F">
        <w:rPr>
          <w:noProof/>
        </w:rPr>
        <w:t xml:space="preserve"> and all right-hand side variables, except </w:t>
      </w:r>
      <w:r w:rsidRPr="008D255F">
        <w:rPr>
          <w:i/>
          <w:iCs/>
          <w:noProof/>
        </w:rPr>
        <w:t xml:space="preserve">Inf, GovExp, Pop and LifeExp, </w:t>
      </w:r>
      <w:r w:rsidRPr="008D255F">
        <w:rPr>
          <w:noProof/>
        </w:rPr>
        <w:t>as potentially endogenous variables, and we use their lagged values as instruments.</w:t>
      </w:r>
      <w:r w:rsidRPr="008D255F">
        <w:rPr>
          <w:rStyle w:val="FootnoteReference"/>
          <w:noProof/>
        </w:rPr>
        <w:footnoteReference w:id="4"/>
      </w:r>
      <w:r w:rsidRPr="008D255F">
        <w:rPr>
          <w:noProof/>
        </w:rPr>
        <w:t xml:space="preserve"> The specification is checked using the Hansen statistic, a test of overidentifying restrictions for the validity of the instrument set. In addition, two diagnostics are computed using the Arellano and Bond GMM procedure to test for first-order and second-order serial correlation in the disturbances. One should reject the null of</w:t>
      </w:r>
      <w:r w:rsidRPr="00A004B2">
        <w:rPr>
          <w:noProof/>
        </w:rPr>
        <w:t xml:space="preserve"> the absence of first</w:t>
      </w:r>
      <w:r>
        <w:rPr>
          <w:noProof/>
        </w:rPr>
        <w:t>-</w:t>
      </w:r>
      <w:r w:rsidRPr="00A004B2">
        <w:rPr>
          <w:noProof/>
        </w:rPr>
        <w:t>order serial correlation and not reject the absence of second</w:t>
      </w:r>
      <w:r>
        <w:rPr>
          <w:noProof/>
        </w:rPr>
        <w:t>-</w:t>
      </w:r>
      <w:r w:rsidRPr="00A004B2">
        <w:rPr>
          <w:noProof/>
        </w:rPr>
        <w:t xml:space="preserve">order serial correlation. </w:t>
      </w:r>
    </w:p>
    <w:p w14:paraId="3069DA04" w14:textId="15FA1498" w:rsidR="0012305F" w:rsidRDefault="0012305F" w:rsidP="007D5DFF">
      <w:pPr>
        <w:pStyle w:val="Heading2"/>
        <w:numPr>
          <w:ilvl w:val="1"/>
          <w:numId w:val="1"/>
        </w:numPr>
        <w:ind w:left="426"/>
        <w:rPr>
          <w:noProof/>
        </w:rPr>
      </w:pPr>
      <w:r>
        <w:rPr>
          <w:noProof/>
        </w:rPr>
        <w:t>Dynamic panel threshold estimation</w:t>
      </w:r>
    </w:p>
    <w:p w14:paraId="67DD9E3F" w14:textId="77777777" w:rsidR="0012305F" w:rsidRDefault="0012305F" w:rsidP="007D5DFF">
      <w:pPr>
        <w:ind w:firstLine="0"/>
        <w:rPr>
          <w:noProof/>
        </w:rPr>
      </w:pPr>
      <w:r>
        <w:rPr>
          <w:noProof/>
        </w:rPr>
        <w:t xml:space="preserve">We continue our empirical analysis by testing </w:t>
      </w:r>
      <w:r w:rsidRPr="008D255F">
        <w:rPr>
          <w:noProof/>
        </w:rPr>
        <w:t>the existence of a threshold level of economic openness (</w:t>
      </w:r>
      <w:r w:rsidRPr="008D255F">
        <w:rPr>
          <w:i/>
          <w:iCs/>
          <w:noProof/>
        </w:rPr>
        <w:t>Openness</w:t>
      </w:r>
      <w:r w:rsidRPr="008D255F">
        <w:rPr>
          <w:noProof/>
        </w:rPr>
        <w:t>), either FO or TO,  in the relationship between income inequality and FD. Thus, the dynamic panel threshold model of economic openness takes the following form:</w:t>
      </w:r>
      <w:r>
        <w:rPr>
          <w:noProof/>
        </w:rPr>
        <w:t xml:space="preserve"> </w:t>
      </w:r>
    </w:p>
    <w:p w14:paraId="3C0CCC13" w14:textId="77777777" w:rsidR="0012305F" w:rsidRDefault="0012305F" w:rsidP="0012305F">
      <w:pPr>
        <w:tabs>
          <w:tab w:val="left" w:pos="8789"/>
        </w:tabs>
        <w:spacing w:after="0" w:line="240" w:lineRule="auto"/>
        <w:ind w:firstLine="0"/>
        <w:jc w:val="left"/>
        <w:rPr>
          <w:noProof/>
        </w:rPr>
      </w:pPr>
      <m:oMathPara>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II</m:t>
              </m:r>
            </m:e>
            <m:sub>
              <m:r>
                <w:rPr>
                  <w:rFonts w:ascii="Cambria Math" w:hAnsi="Cambria Math"/>
                  <w:noProof/>
                </w:rPr>
                <m:t>i,t</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II</m:t>
              </m:r>
            </m:e>
            <m:sub>
              <m:r>
                <w:rPr>
                  <w:rFonts w:ascii="Cambria Math" w:hAnsi="Cambria Math"/>
                  <w:noProof/>
                </w:rPr>
                <m:t>i,t-1</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θ</m:t>
                  </m:r>
                </m:e>
                <m:sub>
                  <m:r>
                    <w:rPr>
                      <w:rFonts w:ascii="Cambria Math" w:hAnsi="Cambria Math"/>
                      <w:noProof/>
                    </w:rPr>
                    <m:t>1</m:t>
                  </m:r>
                </m:sub>
              </m:sSub>
              <m:r>
                <w:rPr>
                  <w:rFonts w:ascii="Cambria Math" w:hAnsi="Cambria Math"/>
                  <w:noProof/>
                </w:rPr>
                <m:t>FD</m:t>
              </m:r>
            </m:e>
            <m:sub>
              <m:r>
                <w:rPr>
                  <w:rFonts w:ascii="Cambria Math" w:hAnsi="Cambria Math"/>
                  <w:noProof/>
                </w:rPr>
                <m:t>i,t</m:t>
              </m:r>
            </m:sub>
          </m:sSub>
          <m:r>
            <w:rPr>
              <w:rFonts w:ascii="Cambria Math" w:hAnsi="Cambria Math"/>
              <w:noProof/>
            </w:rPr>
            <m:t xml:space="preserve">  I</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Openness</m:t>
                  </m:r>
                </m:e>
                <m:sub>
                  <m:r>
                    <w:rPr>
                      <w:rFonts w:ascii="Cambria Math" w:hAnsi="Cambria Math"/>
                      <w:noProof/>
                    </w:rPr>
                    <m:t>i,t</m:t>
                  </m:r>
                </m:sub>
              </m:sSub>
              <m:r>
                <w:rPr>
                  <w:rFonts w:ascii="Cambria Math" w:hAnsi="Cambria Math"/>
                  <w:noProof/>
                </w:rPr>
                <m:t>≤γ</m:t>
              </m:r>
            </m:e>
          </m:d>
          <m:r>
            <w:rPr>
              <w:rFonts w:ascii="Cambria Math" w:hAnsi="Cambria Math"/>
              <w:noProof/>
            </w:rPr>
            <m:t xml:space="preserve"> +</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θ</m:t>
                  </m:r>
                </m:e>
                <m:sub>
                  <m:r>
                    <w:rPr>
                      <w:rFonts w:ascii="Cambria Math" w:hAnsi="Cambria Math"/>
                      <w:noProof/>
                    </w:rPr>
                    <m:t>2</m:t>
                  </m:r>
                </m:sub>
              </m:sSub>
              <m:r>
                <w:rPr>
                  <w:rFonts w:ascii="Cambria Math" w:hAnsi="Cambria Math"/>
                  <w:noProof/>
                </w:rPr>
                <m:t>FD</m:t>
              </m:r>
            </m:e>
            <m:sub>
              <m:r>
                <w:rPr>
                  <w:rFonts w:ascii="Cambria Math" w:hAnsi="Cambria Math"/>
                  <w:noProof/>
                </w:rPr>
                <m:t>i,t</m:t>
              </m:r>
            </m:sub>
          </m:sSub>
          <m:r>
            <w:rPr>
              <w:rFonts w:ascii="Cambria Math" w:hAnsi="Cambria Math"/>
              <w:noProof/>
            </w:rPr>
            <m:t xml:space="preserve"> I</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Openness</m:t>
                  </m:r>
                </m:e>
                <m:sub>
                  <m:r>
                    <w:rPr>
                      <w:rFonts w:ascii="Cambria Math" w:hAnsi="Cambria Math"/>
                      <w:noProof/>
                    </w:rPr>
                    <m:t>i,t</m:t>
                  </m:r>
                </m:sub>
              </m:sSub>
              <m:r>
                <w:rPr>
                  <w:rFonts w:ascii="Cambria Math" w:hAnsi="Cambria Math"/>
                  <w:noProof/>
                </w:rPr>
                <m:t>&gt;γ</m:t>
              </m:r>
            </m:e>
          </m:d>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3</m:t>
                  </m:r>
                </m:sub>
              </m:sSub>
              <m:r>
                <w:rPr>
                  <w:rFonts w:ascii="Cambria Math" w:hAnsi="Cambria Math"/>
                  <w:noProof/>
                </w:rPr>
                <m:t>FO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4</m:t>
                  </m:r>
                </m:sub>
              </m:sSub>
              <m:r>
                <w:rPr>
                  <w:rFonts w:ascii="Cambria Math" w:hAnsi="Cambria Math"/>
                  <w:noProof/>
                </w:rPr>
                <m:t>TO</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5</m:t>
                  </m:r>
                </m:sub>
              </m:sSub>
              <m:r>
                <w:rPr>
                  <w:rFonts w:ascii="Cambria Math" w:hAnsi="Cambria Math"/>
                  <w:noProof/>
                </w:rPr>
                <m:t>Growth</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6</m:t>
                  </m:r>
                </m:sub>
              </m:sSub>
              <m:r>
                <w:rPr>
                  <w:rFonts w:ascii="Cambria Math" w:hAnsi="Cambria Math"/>
                  <w:noProof/>
                </w:rPr>
                <m:t>Inf</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7</m:t>
                  </m:r>
                </m:sub>
              </m:sSub>
              <m:r>
                <w:rPr>
                  <w:rFonts w:ascii="Cambria Math" w:hAnsi="Cambria Math"/>
                  <w:noProof/>
                </w:rPr>
                <m:t>GovExp</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8</m:t>
                  </m:r>
                </m:sub>
              </m:sSub>
              <m:r>
                <w:rPr>
                  <w:rFonts w:ascii="Cambria Math" w:hAnsi="Cambria Math"/>
                  <w:noProof/>
                </w:rPr>
                <m:t>Pop</m:t>
              </m:r>
            </m:e>
            <m:sub>
              <m:r>
                <w:rPr>
                  <w:rFonts w:ascii="Cambria Math" w:hAnsi="Cambria Math"/>
                  <w:noProof/>
                </w:rPr>
                <m:t>i,t</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9</m:t>
                  </m:r>
                </m:sub>
              </m:sSub>
              <m:r>
                <w:rPr>
                  <w:rFonts w:ascii="Cambria Math" w:hAnsi="Cambria Math"/>
                  <w:noProof/>
                </w:rPr>
                <m:t xml:space="preserve"> LifeExp</m:t>
              </m:r>
            </m:e>
            <m:sub>
              <m:r>
                <w:rPr>
                  <w:rFonts w:ascii="Cambria Math" w:hAnsi="Cambria Math"/>
                  <w:noProof/>
                </w:rPr>
                <m:t>i,t</m:t>
              </m:r>
            </m:sub>
          </m:sSub>
          <m:r>
            <w:rPr>
              <w:rFonts w:ascii="Cambria Math" w:hAnsi="Cambria Math"/>
              <w:noProof/>
            </w:rPr>
            <m:t>+</m:t>
          </m:r>
          <m:sSub>
            <m:sSubPr>
              <m:ctrlPr>
                <w:rPr>
                  <w:rFonts w:ascii="Cambria Math" w:hAnsi="Cambria Math" w:cstheme="majorBidi"/>
                  <w:i/>
                  <w:noProof/>
                  <w:sz w:val="32"/>
                  <w:szCs w:val="28"/>
                </w:rPr>
              </m:ctrlPr>
            </m:sSubPr>
            <m:e>
              <m:r>
                <w:rPr>
                  <w:rFonts w:ascii="Cambria Math" w:hAnsi="Cambria Math" w:cstheme="majorBidi"/>
                  <w:noProof/>
                  <w:sz w:val="32"/>
                  <w:szCs w:val="28"/>
                </w:rPr>
                <m:t>τ</m:t>
              </m:r>
            </m:e>
            <m:sub>
              <m:r>
                <w:rPr>
                  <w:rFonts w:ascii="Cambria Math" w:hAnsi="Cambria Math" w:cstheme="majorBidi"/>
                  <w:noProof/>
                  <w:sz w:val="32"/>
                  <w:szCs w:val="28"/>
                </w:rPr>
                <m:t>t</m:t>
              </m:r>
            </m:sub>
          </m:sSub>
          <m:r>
            <w:rPr>
              <w:rFonts w:ascii="Cambria Math" w:hAnsi="Cambria Math" w:cstheme="majorBidi"/>
              <w:noProof/>
              <w:sz w:val="32"/>
              <w:szCs w:val="28"/>
            </w:rPr>
            <m:t xml:space="preserve"> </m:t>
          </m:r>
          <m:r>
            <w:rPr>
              <w:rFonts w:ascii="Cambria Math" w:hAnsi="Cambria Math"/>
              <w:noProof/>
            </w:rPr>
            <m:t>+</m:t>
          </m:r>
          <m:sSub>
            <m:sSubPr>
              <m:ctrlPr>
                <w:rPr>
                  <w:rFonts w:ascii="Cambria Math" w:hAnsi="Cambria Math" w:cstheme="majorBidi"/>
                  <w:i/>
                  <w:noProof/>
                  <w:sz w:val="32"/>
                  <w:szCs w:val="28"/>
                </w:rPr>
              </m:ctrlPr>
            </m:sSubPr>
            <m:e>
              <m:r>
                <w:rPr>
                  <w:rFonts w:ascii="Cambria Math" w:hAnsi="Cambria Math" w:cstheme="majorBidi"/>
                  <w:noProof/>
                  <w:sz w:val="32"/>
                  <w:szCs w:val="28"/>
                </w:rPr>
                <m:t xml:space="preserve"> μ</m:t>
              </m:r>
            </m:e>
            <m:sub>
              <m:r>
                <w:rPr>
                  <w:rFonts w:ascii="Cambria Math" w:hAnsi="Cambria Math" w:cstheme="majorBidi"/>
                  <w:noProof/>
                  <w:sz w:val="32"/>
                  <w:szCs w:val="28"/>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ε</m:t>
              </m:r>
            </m:e>
            <m:sub>
              <m:r>
                <w:rPr>
                  <w:rFonts w:ascii="Cambria Math" w:hAnsi="Cambria Math"/>
                  <w:noProof/>
                </w:rPr>
                <m:t>i,t</m:t>
              </m:r>
            </m:sub>
          </m:sSub>
          <m:r>
            <w:rPr>
              <w:rFonts w:ascii="Cambria Math" w:hAnsi="Cambria Math"/>
              <w:noProof/>
            </w:rPr>
            <m:t xml:space="preserve">     (4)</m:t>
          </m:r>
        </m:oMath>
      </m:oMathPara>
    </w:p>
    <w:p w14:paraId="51FDD20A" w14:textId="77777777" w:rsidR="0012305F" w:rsidRPr="008D255F" w:rsidRDefault="0012305F" w:rsidP="0012305F">
      <w:pPr>
        <w:rPr>
          <w:noProof/>
        </w:rPr>
      </w:pPr>
      <w:r>
        <w:rPr>
          <w:noProof/>
        </w:rPr>
        <w:t>w</w:t>
      </w:r>
      <w:r w:rsidRPr="00690CD9">
        <w:rPr>
          <w:noProof/>
        </w:rPr>
        <w:t xml:space="preserve">here subscript </w:t>
      </w:r>
      <w:r w:rsidRPr="007B060E">
        <w:rPr>
          <w:i/>
          <w:noProof/>
        </w:rPr>
        <w:t xml:space="preserve">i </w:t>
      </w:r>
      <w:r w:rsidRPr="00690CD9">
        <w:rPr>
          <w:noProof/>
        </w:rPr>
        <w:t xml:space="preserve">represents the country and </w:t>
      </w:r>
      <w:r w:rsidRPr="007B060E">
        <w:rPr>
          <w:i/>
          <w:noProof/>
        </w:rPr>
        <w:t>t</w:t>
      </w:r>
      <w:r w:rsidRPr="00690CD9">
        <w:rPr>
          <w:noProof/>
        </w:rPr>
        <w:t xml:space="preserve"> ind</w:t>
      </w:r>
      <w:r>
        <w:rPr>
          <w:noProof/>
        </w:rPr>
        <w:t>icates</w:t>
      </w:r>
      <w:r w:rsidRPr="00690CD9">
        <w:rPr>
          <w:noProof/>
        </w:rPr>
        <w:t xml:space="preserve"> the period. </w:t>
      </w:r>
      <m:oMath>
        <m:r>
          <w:rPr>
            <w:rFonts w:ascii="Cambria Math" w:hAnsi="Cambria Math"/>
            <w:noProof/>
          </w:rPr>
          <m:t>μ</m:t>
        </m:r>
      </m:oMath>
      <w:r w:rsidRPr="00690CD9">
        <w:rPr>
          <w:noProof/>
        </w:rPr>
        <w:t xml:space="preserve"> </w:t>
      </w:r>
      <w:r>
        <w:rPr>
          <w:noProof/>
        </w:rPr>
        <w:t xml:space="preserve">and </w:t>
      </w:r>
      <m:oMath>
        <m:r>
          <w:rPr>
            <w:rFonts w:ascii="Cambria Math" w:hAnsi="Cambria Math"/>
            <w:noProof/>
          </w:rPr>
          <m:t>τ</m:t>
        </m:r>
      </m:oMath>
      <w:r w:rsidRPr="00690CD9">
        <w:rPr>
          <w:noProof/>
        </w:rPr>
        <w:t xml:space="preserve"> </w:t>
      </w:r>
      <w:r>
        <w:rPr>
          <w:noProof/>
        </w:rPr>
        <w:t>are</w:t>
      </w:r>
      <w:r w:rsidRPr="00690CD9">
        <w:rPr>
          <w:noProof/>
        </w:rPr>
        <w:t xml:space="preserve"> </w:t>
      </w:r>
      <w:r>
        <w:rPr>
          <w:noProof/>
        </w:rPr>
        <w:t xml:space="preserve">the </w:t>
      </w:r>
      <w:r w:rsidRPr="00690CD9">
        <w:rPr>
          <w:noProof/>
        </w:rPr>
        <w:t>time</w:t>
      </w:r>
      <w:r>
        <w:rPr>
          <w:noProof/>
        </w:rPr>
        <w:t>-</w:t>
      </w:r>
      <w:r w:rsidRPr="00690CD9">
        <w:rPr>
          <w:noProof/>
        </w:rPr>
        <w:t>fixed effect</w:t>
      </w:r>
      <w:r>
        <w:rPr>
          <w:noProof/>
        </w:rPr>
        <w:t xml:space="preserve"> and country-fixed effect respectively, the </w:t>
      </w:r>
      <w:r w:rsidRPr="00690CD9">
        <w:rPr>
          <w:noProof/>
        </w:rPr>
        <w:t xml:space="preserve">error term </w:t>
      </w:r>
      <m:oMath>
        <m:sSub>
          <m:sSubPr>
            <m:ctrlPr>
              <w:rPr>
                <w:rFonts w:ascii="Cambria Math" w:hAnsi="Cambria Math"/>
                <w:i/>
                <w:noProof/>
              </w:rPr>
            </m:ctrlPr>
          </m:sSubPr>
          <m:e>
            <m:r>
              <w:rPr>
                <w:rFonts w:ascii="Cambria Math" w:hAnsi="Cambria Math"/>
                <w:noProof/>
              </w:rPr>
              <m:t>ε</m:t>
            </m:r>
          </m:e>
          <m:sub>
            <m:r>
              <w:rPr>
                <w:rFonts w:ascii="Cambria Math" w:hAnsi="Cambria Math"/>
                <w:noProof/>
              </w:rPr>
              <m:t>i,t</m:t>
            </m:r>
          </m:sub>
        </m:sSub>
        <m:r>
          <w:rPr>
            <w:rFonts w:ascii="Cambria Math" w:hAnsi="Cambria Math"/>
            <w:noProof/>
          </w:rPr>
          <m:t xml:space="preserve"> </m:t>
        </m:r>
        <m:f>
          <m:fPr>
            <m:type m:val="noBar"/>
            <m:ctrlPr>
              <w:rPr>
                <w:rFonts w:ascii="Cambria Math" w:hAnsi="Cambria Math"/>
                <w:i/>
                <w:noProof/>
              </w:rPr>
            </m:ctrlPr>
          </m:fPr>
          <m:num>
            <m:r>
              <w:rPr>
                <w:rFonts w:ascii="Cambria Math" w:hAnsi="Cambria Math"/>
                <w:noProof/>
              </w:rPr>
              <m:t>iid</m:t>
            </m:r>
          </m:num>
          <m:den>
            <m:r>
              <w:rPr>
                <w:rFonts w:ascii="Cambria Math" w:hAnsi="Cambria Math"/>
                <w:noProof/>
              </w:rPr>
              <m:t>~</m:t>
            </m:r>
          </m:den>
        </m:f>
        <m:r>
          <w:rPr>
            <w:rFonts w:ascii="Cambria Math" w:hAnsi="Cambria Math"/>
            <w:noProof/>
          </w:rPr>
          <m:t xml:space="preserve">  </m:t>
        </m:r>
        <m:d>
          <m:dPr>
            <m:ctrlPr>
              <w:rPr>
                <w:rFonts w:ascii="Cambria Math" w:hAnsi="Cambria Math"/>
                <w:i/>
                <w:noProof/>
              </w:rPr>
            </m:ctrlPr>
          </m:dPr>
          <m:e>
            <m:r>
              <w:rPr>
                <w:rFonts w:ascii="Cambria Math" w:hAnsi="Cambria Math"/>
                <w:noProof/>
              </w:rPr>
              <m:t xml:space="preserve">0, </m:t>
            </m:r>
            <m:sSup>
              <m:sSupPr>
                <m:ctrlPr>
                  <w:rPr>
                    <w:rFonts w:ascii="Cambria Math" w:hAnsi="Cambria Math"/>
                    <w:i/>
                    <w:noProof/>
                  </w:rPr>
                </m:ctrlPr>
              </m:sSupPr>
              <m:e>
                <m:r>
                  <w:rPr>
                    <w:rFonts w:ascii="Cambria Math" w:hAnsi="Cambria Math"/>
                    <w:noProof/>
                  </w:rPr>
                  <m:t>σ</m:t>
                </m:r>
              </m:e>
              <m:sup>
                <m:r>
                  <w:rPr>
                    <w:rFonts w:ascii="Cambria Math" w:hAnsi="Cambria Math"/>
                    <w:noProof/>
                  </w:rPr>
                  <m:t>2</m:t>
                </m:r>
              </m:sup>
            </m:sSup>
          </m:e>
        </m:d>
        <m:r>
          <w:rPr>
            <w:rFonts w:ascii="Cambria Math" w:hAnsi="Cambria Math"/>
            <w:noProof/>
          </w:rPr>
          <m:t xml:space="preserve"> </m:t>
        </m:r>
      </m:oMath>
      <w:r w:rsidRPr="00690CD9">
        <w:rPr>
          <w:noProof/>
        </w:rPr>
        <w:t xml:space="preserve">. </w:t>
      </w:r>
      <m:oMath>
        <m:r>
          <w:rPr>
            <w:rFonts w:ascii="Cambria Math" w:hAnsi="Cambria Math"/>
            <w:noProof/>
          </w:rPr>
          <m:t>γ</m:t>
        </m:r>
      </m:oMath>
      <w:r w:rsidRPr="00690CD9">
        <w:rPr>
          <w:noProof/>
        </w:rPr>
        <w:t xml:space="preserve"> is the threshold level</w:t>
      </w:r>
      <w:r>
        <w:rPr>
          <w:noProof/>
        </w:rPr>
        <w:t>,</w:t>
      </w:r>
      <w:r w:rsidRPr="00690CD9">
        <w:rPr>
          <w:noProof/>
        </w:rPr>
        <w:t xml:space="preserve"> and </w:t>
      </w:r>
      <w:r w:rsidRPr="00690CD9">
        <w:rPr>
          <w:i/>
          <w:iCs/>
          <w:noProof/>
        </w:rPr>
        <w:t>I</w:t>
      </w:r>
      <w:r w:rsidRPr="00690CD9">
        <w:rPr>
          <w:noProof/>
        </w:rPr>
        <w:t xml:space="preserve">(·) is an indicator function taking a value of 1 if </w:t>
      </w:r>
      <w:r w:rsidRPr="00690CD9">
        <w:t>the argument in the indicator function holds and 0 otherwise. Openness is the threshold variable</w:t>
      </w:r>
      <w:r>
        <w:t>,</w:t>
      </w:r>
      <w:r w:rsidRPr="00690CD9">
        <w:t xml:space="preserve"> which is measured by either </w:t>
      </w:r>
      <w:r w:rsidRPr="004521C1">
        <w:rPr>
          <w:i/>
          <w:iCs/>
        </w:rPr>
        <w:t>FO</w:t>
      </w:r>
      <w:r w:rsidRPr="00690CD9">
        <w:t xml:space="preserve"> or </w:t>
      </w:r>
      <w:r w:rsidRPr="004521C1">
        <w:rPr>
          <w:i/>
          <w:iCs/>
        </w:rPr>
        <w:t>TO</w:t>
      </w:r>
      <w:r w:rsidRPr="00690CD9">
        <w:t xml:space="preserve">.  FD is </w:t>
      </w:r>
      <w:r>
        <w:t xml:space="preserve">a </w:t>
      </w:r>
      <w:r w:rsidRPr="00690CD9">
        <w:t>regime</w:t>
      </w:r>
      <w:r>
        <w:t>-</w:t>
      </w:r>
      <w:r w:rsidRPr="00690CD9">
        <w:t>dependent variable</w:t>
      </w:r>
      <w:r>
        <w:t xml:space="preserve">, measured by </w:t>
      </w:r>
      <w:proofErr w:type="spellStart"/>
      <w:r w:rsidRPr="00B5425B">
        <w:rPr>
          <w:i/>
          <w:iCs/>
        </w:rPr>
        <w:t>PrivateCredit</w:t>
      </w:r>
      <w:proofErr w:type="spellEnd"/>
      <w:r>
        <w:t xml:space="preserve"> or </w:t>
      </w:r>
      <w:proofErr w:type="spellStart"/>
      <w:r w:rsidRPr="00B5425B">
        <w:rPr>
          <w:i/>
          <w:iCs/>
        </w:rPr>
        <w:t>LiquidLiabilities</w:t>
      </w:r>
      <w:proofErr w:type="spellEnd"/>
      <w:r>
        <w:t>,</w:t>
      </w:r>
      <w:r w:rsidRPr="00690CD9">
        <w:t xml:space="preserve"> with the slope parameter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rsidRPr="00690CD9">
        <w:t xml:space="preserve"> </w:t>
      </w:r>
      <w:r w:rsidRPr="008D255F">
        <w:t xml:space="preserve">if Openness is less </w:t>
      </w:r>
      <w:r>
        <w:t>than or</w:t>
      </w:r>
      <w:r w:rsidRPr="008D255F">
        <w:t xml:space="preserve"> equal </w:t>
      </w:r>
      <w:r>
        <w:t>to</w:t>
      </w:r>
      <w:r w:rsidRPr="008D255F">
        <w:t xml:space="preserve"> </w:t>
      </w:r>
      <m:oMath>
        <m:r>
          <w:rPr>
            <w:rFonts w:ascii="Cambria Math" w:hAnsi="Cambria Math"/>
          </w:rPr>
          <m:t>γ</m:t>
        </m:r>
      </m:oMath>
      <w:r w:rsidRPr="008D255F">
        <w:t xml:space="preserve"> and </w:t>
      </w:r>
      <m:oMath>
        <m:sSub>
          <m:sSubPr>
            <m:ctrlPr>
              <w:rPr>
                <w:rFonts w:ascii="Cambria Math" w:hAnsi="Cambria Math"/>
                <w:i/>
              </w:rPr>
            </m:ctrlPr>
          </m:sSubPr>
          <m:e>
            <m:r>
              <w:rPr>
                <w:rFonts w:ascii="Cambria Math" w:hAnsi="Cambria Math"/>
              </w:rPr>
              <m:t>θ</m:t>
            </m:r>
          </m:e>
          <m:sub>
            <m:r>
              <w:rPr>
                <w:rFonts w:ascii="Cambria Math" w:hAnsi="Cambria Math"/>
              </w:rPr>
              <m:t>2</m:t>
            </m:r>
          </m:sub>
        </m:sSub>
      </m:oMath>
      <w:r w:rsidRPr="008D255F">
        <w:t xml:space="preserve"> otherwise</w:t>
      </w:r>
      <w:r w:rsidRPr="008D255F">
        <w:rPr>
          <w:noProof/>
        </w:rPr>
        <w:t xml:space="preserve">. In this model, the explanatory variables are partitioned into a subset of exogenous </w:t>
      </w:r>
      <w:r w:rsidRPr="008D255F">
        <w:rPr>
          <w:noProof/>
        </w:rPr>
        <w:lastRenderedPageBreak/>
        <w:t>variables (</w:t>
      </w:r>
      <w:r w:rsidRPr="008D255F">
        <w:rPr>
          <w:i/>
          <w:iCs/>
          <w:noProof/>
        </w:rPr>
        <w:t>TO</w:t>
      </w:r>
      <w:r w:rsidRPr="008D255F">
        <w:rPr>
          <w:noProof/>
        </w:rPr>
        <w:t xml:space="preserve">, </w:t>
      </w:r>
      <w:r w:rsidRPr="008D255F">
        <w:rPr>
          <w:i/>
          <w:iCs/>
          <w:noProof/>
        </w:rPr>
        <w:t>FO</w:t>
      </w:r>
      <w:r w:rsidRPr="008D255F">
        <w:rPr>
          <w:noProof/>
        </w:rPr>
        <w:t xml:space="preserve">, </w:t>
      </w:r>
      <w:r w:rsidRPr="008D255F">
        <w:rPr>
          <w:i/>
          <w:iCs/>
          <w:noProof/>
        </w:rPr>
        <w:t>Inf</w:t>
      </w:r>
      <w:r w:rsidRPr="008D255F">
        <w:rPr>
          <w:noProof/>
        </w:rPr>
        <w:t xml:space="preserve">, </w:t>
      </w:r>
      <w:r w:rsidRPr="008D255F">
        <w:rPr>
          <w:i/>
          <w:iCs/>
          <w:noProof/>
        </w:rPr>
        <w:t>GovExp</w:t>
      </w:r>
      <w:r w:rsidRPr="008D255F">
        <w:rPr>
          <w:noProof/>
        </w:rPr>
        <w:t xml:space="preserve">, </w:t>
      </w:r>
      <w:r w:rsidRPr="008D255F">
        <w:rPr>
          <w:i/>
          <w:iCs/>
          <w:noProof/>
        </w:rPr>
        <w:t>Pop</w:t>
      </w:r>
      <w:r w:rsidRPr="008D255F">
        <w:rPr>
          <w:noProof/>
        </w:rPr>
        <w:t xml:space="preserve">, and </w:t>
      </w:r>
      <w:r w:rsidRPr="008D255F">
        <w:rPr>
          <w:i/>
          <w:iCs/>
          <w:noProof/>
        </w:rPr>
        <w:t>LifeExp</w:t>
      </w:r>
      <w:r w:rsidRPr="008D255F">
        <w:rPr>
          <w:noProof/>
        </w:rPr>
        <w:t xml:space="preserve">) uncorrelated with </w:t>
      </w:r>
      <m:oMath>
        <m:sSub>
          <m:sSubPr>
            <m:ctrlPr>
              <w:rPr>
                <w:rFonts w:ascii="Cambria Math" w:hAnsi="Cambria Math"/>
                <w:i/>
                <w:noProof/>
              </w:rPr>
            </m:ctrlPr>
          </m:sSubPr>
          <m:e>
            <m:r>
              <w:rPr>
                <w:rFonts w:ascii="Cambria Math" w:hAnsi="Cambria Math"/>
                <w:noProof/>
              </w:rPr>
              <m:t>ε</m:t>
            </m:r>
          </m:e>
          <m:sub>
            <m:r>
              <w:rPr>
                <w:rFonts w:ascii="Cambria Math" w:hAnsi="Cambria Math"/>
                <w:noProof/>
              </w:rPr>
              <m:t>i,t</m:t>
            </m:r>
          </m:sub>
        </m:sSub>
      </m:oMath>
      <w:r w:rsidRPr="008D255F">
        <w:rPr>
          <w:i/>
          <w:iCs/>
          <w:noProof/>
          <w:sz w:val="32"/>
          <w:szCs w:val="28"/>
        </w:rPr>
        <w:t xml:space="preserve"> </w:t>
      </w:r>
      <w:r w:rsidRPr="008D255F">
        <w:rPr>
          <w:noProof/>
        </w:rPr>
        <w:t xml:space="preserve">, and a subset of endogenous variables ( </w:t>
      </w:r>
      <m:oMath>
        <m:sSub>
          <m:sSubPr>
            <m:ctrlPr>
              <w:rPr>
                <w:rFonts w:ascii="Cambria Math" w:hAnsi="Cambria Math"/>
                <w:i/>
                <w:noProof/>
              </w:rPr>
            </m:ctrlPr>
          </m:sSubPr>
          <m:e>
            <m:r>
              <w:rPr>
                <w:rFonts w:ascii="Cambria Math" w:hAnsi="Cambria Math"/>
                <w:noProof/>
              </w:rPr>
              <m:t>II</m:t>
            </m:r>
          </m:e>
          <m:sub>
            <m:r>
              <w:rPr>
                <w:rFonts w:ascii="Cambria Math" w:hAnsi="Cambria Math"/>
                <w:noProof/>
              </w:rPr>
              <m:t>i,t-1</m:t>
            </m:r>
          </m:sub>
        </m:sSub>
      </m:oMath>
      <w:r w:rsidRPr="008D255F">
        <w:rPr>
          <w:noProof/>
        </w:rPr>
        <w:t xml:space="preserve"> , </w:t>
      </w:r>
      <w:r w:rsidRPr="008D255F">
        <w:rPr>
          <w:i/>
          <w:iCs/>
          <w:noProof/>
        </w:rPr>
        <w:t>FD</w:t>
      </w:r>
      <w:r w:rsidRPr="008D255F">
        <w:rPr>
          <w:noProof/>
        </w:rPr>
        <w:t xml:space="preserve"> and </w:t>
      </w:r>
      <w:r w:rsidRPr="008D255F">
        <w:rPr>
          <w:i/>
          <w:iCs/>
          <w:noProof/>
        </w:rPr>
        <w:t>Growth</w:t>
      </w:r>
      <w:r w:rsidRPr="008D255F">
        <w:rPr>
          <w:noProof/>
        </w:rPr>
        <w:t xml:space="preserve">) correlated with </w:t>
      </w:r>
      <m:oMath>
        <m:sSub>
          <m:sSubPr>
            <m:ctrlPr>
              <w:rPr>
                <w:rFonts w:ascii="Cambria Math" w:hAnsi="Cambria Math"/>
                <w:i/>
                <w:noProof/>
              </w:rPr>
            </m:ctrlPr>
          </m:sSubPr>
          <m:e>
            <m:r>
              <w:rPr>
                <w:rFonts w:ascii="Cambria Math" w:hAnsi="Cambria Math"/>
                <w:noProof/>
              </w:rPr>
              <m:t>ε</m:t>
            </m:r>
          </m:e>
          <m:sub>
            <m:r>
              <w:rPr>
                <w:rFonts w:ascii="Cambria Math" w:hAnsi="Cambria Math"/>
                <w:noProof/>
              </w:rPr>
              <m:t>i,t</m:t>
            </m:r>
          </m:sub>
        </m:sSub>
      </m:oMath>
      <w:r w:rsidRPr="008D255F">
        <w:rPr>
          <w:noProof/>
          <w:sz w:val="20"/>
          <w:szCs w:val="18"/>
        </w:rPr>
        <w:t xml:space="preserve">. </w:t>
      </w:r>
    </w:p>
    <w:p w14:paraId="116F9B02" w14:textId="3D8FC93C" w:rsidR="0012305F" w:rsidRPr="00EE4DC7" w:rsidRDefault="0012305F" w:rsidP="0012305F">
      <w:pPr>
        <w:rPr>
          <w:noProof/>
        </w:rPr>
      </w:pPr>
      <w:r w:rsidRPr="008D255F">
        <w:t xml:space="preserve">To estimate Eq. 6,  we employ </w:t>
      </w:r>
      <w:r w:rsidRPr="008D255F">
        <w:fldChar w:fldCharType="begin" w:fldLock="1"/>
      </w:r>
      <w:r w:rsidR="002E36DB">
        <w:instrText>ADDIN CSL_CITATION {"citationItems":[{"id":"ITEM-1","itemData":{"DOI":"10.1007/S00181-012-0553-9","ISSN":"1435-8921","abstract":"We introduce a dynamic panel threshold model to estimate inflation thresholds for long-term economic growth. Advancing on Hansen (J Econom 93:345–368, 1999) and Caner and Hansen (Econom Theory 20:813–843, 2004), our model allows the estimation of threshold effects with panel data even in case of endogenous regressors. The empirical analysis is based on a large panel-dataset including 124 countries. For industrialized countries, our results confirm the inflation targets of about 2% set by many central banks. For non-industrialized countries, we estimate that inflation rates exceeding 17% are associated with lower economic growth. Below this threshold, however, the correlation remains insignificant.","author":[{"dropping-particle":"","family":"Kremer","given":"Stephanie","non-dropping-particle":"","parse-names":false,"suffix":""},{"dropping-particle":"","family":"Bick","given":"Alexander","non-dropping-particle":"","parse-names":false,"suffix":""},{"dropping-particle":"","family":"Nautz","given":"Dieter","non-dropping-particle":"","parse-names":false,"suffix":""}],"container-title":"Empirical Economics 2012 44:2","id":"ITEM-1","issue":"2","issued":{"date-parts":[["2013","3","14"]]},"page":"861-878","publisher":"Springer","title":"Inflation and growth: new evidence from a dynamic panel threshold analysis","type":"article-journal","volume":"44"},"uris":["http://www.mendeley.com/documents/?uuid=6e418c57-cfd5-3aa8-b0fd-373fdd3488c3"]}],"mendeley":{"formattedCitation":"(Kremer et al., 2013)","manualFormatting":"Kremer et al.'s (2013)","plainTextFormattedCitation":"(Kremer et al., 2013)","previouslyFormattedCitation":"(Kremer et al., 2013)"},"properties":{"noteIndex":0},"schema":"https://github.com/citation-style-language/schema/raw/master/csl-citation.json"}</w:instrText>
      </w:r>
      <w:r w:rsidRPr="008D255F">
        <w:fldChar w:fldCharType="separate"/>
      </w:r>
      <w:r w:rsidRPr="008D255F">
        <w:rPr>
          <w:noProof/>
        </w:rPr>
        <w:t>Kremer et al.</w:t>
      </w:r>
      <w:r>
        <w:rPr>
          <w:noProof/>
        </w:rPr>
        <w:t>'s</w:t>
      </w:r>
      <w:r w:rsidRPr="008D255F">
        <w:rPr>
          <w:noProof/>
        </w:rPr>
        <w:t xml:space="preserve"> (2013)</w:t>
      </w:r>
      <w:r w:rsidRPr="008D255F">
        <w:fldChar w:fldCharType="end"/>
      </w:r>
      <w:r w:rsidRPr="008D255F">
        <w:t xml:space="preserve"> estimation method, which allows estimating </w:t>
      </w:r>
      <w:r>
        <w:t xml:space="preserve">of </w:t>
      </w:r>
      <w:r w:rsidRPr="008D255F">
        <w:t xml:space="preserve">threshold effects with panel data in the case of endogenous regressors by extending </w:t>
      </w:r>
      <w:r w:rsidRPr="008D255F">
        <w:fldChar w:fldCharType="begin" w:fldLock="1"/>
      </w:r>
      <w:r w:rsidRPr="008D255F">
        <w:instrText>ADDIN CSL_CITATION {"citationItems":[{"id":"ITEM-1","itemData":{"DOI":"10.1016/S0304-4076(99)00025-1","ISSN":"0304-4076","abstract":"Threshold regression methods are developed for non-dynamic panels with individual-specific fixed effects. Least squares estimation of the threshold and regression slopes is proposed using fixed-effects transformations. A non-standard asymptotic theory of inference is developed which allows construction of confidence intervals and testing of hypotheses. The methods are applied to a 15-year sample of 565 US firms to test whether financial constraints affect investment decisions. © 1999 Elsevier Science S.A. All rights reserved.","author":[{"dropping-particle":"","family":"Hansen","given":"Bruce E.","non-dropping-particle":"","parse-names":false,"suffix":""}],"container-title":"Journal of Econometrics","id":"ITEM-1","issue":"2","issued":{"date-parts":[["1999","12","1"]]},"page":"345-368","publisher":"North-Holland","title":"Threshold effects in non-dynamic panels: Estimation, testing, and inference","type":"article-journal","volume":"93"},"uris":["http://www.mendeley.com/documents/?uuid=80fd6d17-aff8-3acf-b154-88eed05a13fa"]}],"mendeley":{"formattedCitation":"(Hansen, 1999)","manualFormatting":"Hansen's (1999)","plainTextFormattedCitation":"(Hansen, 1999)","previouslyFormattedCitation":"(Hansen, 1999)"},"properties":{"noteIndex":0},"schema":"https://github.com/citation-style-language/schema/raw/master/csl-citation.json"}</w:instrText>
      </w:r>
      <w:r w:rsidRPr="008D255F">
        <w:fldChar w:fldCharType="separate"/>
      </w:r>
      <w:r w:rsidRPr="008D255F">
        <w:rPr>
          <w:noProof/>
        </w:rPr>
        <w:t>Hansen's (1999)</w:t>
      </w:r>
      <w:r w:rsidRPr="008D255F">
        <w:fldChar w:fldCharType="end"/>
      </w:r>
      <w:r w:rsidRPr="008D255F">
        <w:t xml:space="preserve"> and </w:t>
      </w:r>
      <w:r w:rsidRPr="008D255F">
        <w:fldChar w:fldCharType="begin" w:fldLock="1"/>
      </w:r>
      <w:r w:rsidR="002E36DB">
        <w:instrText>ADDIN CSL_CITATION {"citationItems":[{"id":"ITEM-1","itemData":{"DOI":"10.1017/S0266466604205011","ISSN":"1469-4360","abstract":"Threshold models (sample splitting models) have wide application in economics. Existing estimation methods are confined to regression models, which require that all right-hand-side variables are exogenous. This paper considers a model with endogenous variables but an exogenous threshold variable. We develop a two-stage least squares estimator of the threshold parameter and a generalized method of moments estimator of the slope parameters. We show that these estimators are consistent, and we derive the asymptotic distribution of the estimators. The threshold estimate has the same distribution as for the regression case (Hansen, 2000, Econometrica 68, 575–603), with a different scale. The slope parameter estimates are asymptotically normal with conventional covariance matrices. We investigate our distribution theory with a Monte Carlo simulation that indicates the applicability of the methods.We thank the two referees and co-editor for constructive comments. Hansen thanks the National Science Foundation for financial support. Caner thanks University of Pittsburgh Central Research Development Fund for financial support.","author":[{"dropping-particle":"","family":"Caner","given":"Mehmet","non-dropping-particle":"","parse-names":false,"suffix":""},{"dropping-particle":"","family":"Hansen","given":"Bruce E.","non-dropping-particle":"","parse-names":false,"suffix":""}],"container-title":"Econometric Theory","id":"ITEM-1","issue":"5","issued":{"date-parts":[["2004","10"]]},"page":"813-843","publisher":"Cambridge University Press","title":"INSTRUMENTAL VARIABLE ESTIMATION OF A THRESHOLD MODEL","type":"article-journal","volume":"20"},"uris":["http://www.mendeley.com/documents/?uuid=44b668be-ed9d-3815-8fc3-e51408a8c77a"]}],"mendeley":{"formattedCitation":"(Caner &amp; Hansen, 2004)","manualFormatting":"Caner and Hansen's (2004)","plainTextFormattedCitation":"(Caner &amp; Hansen, 2004)","previouslyFormattedCitation":"(Caner &amp; Hansen, 2004)"},"properties":{"noteIndex":0},"schema":"https://github.com/citation-style-language/schema/raw/master/csl-citation.json"}</w:instrText>
      </w:r>
      <w:r w:rsidRPr="008D255F">
        <w:fldChar w:fldCharType="separate"/>
      </w:r>
      <w:r w:rsidRPr="008D255F">
        <w:rPr>
          <w:noProof/>
        </w:rPr>
        <w:t xml:space="preserve">Caner </w:t>
      </w:r>
      <w:r>
        <w:rPr>
          <w:noProof/>
        </w:rPr>
        <w:t>and</w:t>
      </w:r>
      <w:r w:rsidRPr="008D255F">
        <w:rPr>
          <w:noProof/>
        </w:rPr>
        <w:t xml:space="preserve"> Hansen's (2004)</w:t>
      </w:r>
      <w:r w:rsidRPr="008D255F">
        <w:fldChar w:fldCharType="end"/>
      </w:r>
      <w:r w:rsidRPr="008D255F">
        <w:t xml:space="preserve"> model. Following their method, </w:t>
      </w:r>
      <w:r w:rsidRPr="008D255F">
        <w:rPr>
          <w:noProof/>
        </w:rPr>
        <w:t>we consider the forward orthogonal deviation transformation suggested</w:t>
      </w:r>
      <w:r>
        <w:rPr>
          <w:noProof/>
        </w:rPr>
        <w:t xml:space="preserve"> by </w:t>
      </w:r>
      <w:r>
        <w:rPr>
          <w:noProof/>
        </w:rPr>
        <w:fldChar w:fldCharType="begin" w:fldLock="1"/>
      </w:r>
      <w:r w:rsidR="002E36DB">
        <w:rPr>
          <w:noProof/>
        </w:rPr>
        <w:instrText>ADDIN CSL_CITATION {"citationItems":[{"id":"ITEM-1","itemData":{"DOI":"10.1016/0304-4076(94)01642-D","ISSN":"0304-4076","abstract":"This article develops a framework for efficient IV estimators of random effects models with information in levels which can accommodate predetermined variables. Our formulation clarifies the relationship between the existing estimators and the role of transformations in panel data models. We characterize the valid transformations for relevant models and show that optimal estimators are invariant to the transformation used to remove individual effects. We present an alternative transformation for models with predetermined instruments which preserves the orthogonality among the errors. Finally, we consider models with predetermined variables that have constant correlation with the effects and illustrate their importance with simulations. © 1995.","author":[{"dropping-particle":"","family":"Arellano","given":"Manuel","non-dropping-particle":"","parse-names":false,"suffix":""},{"dropping-particle":"","family":"Bover","given":"Olympia","non-dropping-particle":"","parse-names":false,"suffix":""}],"container-title":"Journal of Econometrics","id":"ITEM-1","issue":"1","issued":{"date-parts":[["1995","7","1"]]},"page":"29-51","publisher":"North-Holland","title":"Another look at the instrumental variable estimation of error-components models","type":"article-journal","volume":"68"},"uris":["http://www.mendeley.com/documents/?uuid=ef09aab2-b9c6-3464-9c8a-ef27eb0358eb"]}],"mendeley":{"formattedCitation":"(Arellano &amp; Bover, 1995)","manualFormatting":"Arellano and Bover (1995)","plainTextFormattedCitation":"(Arellano &amp; Bover, 1995)","previouslyFormattedCitation":"(Arellano &amp; Bover, 1995)"},"properties":{"noteIndex":0},"schema":"https://github.com/citation-style-language/schema/raw/master/csl-citation.json"}</w:instrText>
      </w:r>
      <w:r>
        <w:rPr>
          <w:noProof/>
        </w:rPr>
        <w:fldChar w:fldCharType="separate"/>
      </w:r>
      <w:r w:rsidRPr="00581A8F">
        <w:rPr>
          <w:noProof/>
        </w:rPr>
        <w:t xml:space="preserve">Arellano </w:t>
      </w:r>
      <w:r>
        <w:rPr>
          <w:noProof/>
        </w:rPr>
        <w:t>and</w:t>
      </w:r>
      <w:r w:rsidRPr="00581A8F">
        <w:rPr>
          <w:noProof/>
        </w:rPr>
        <w:t xml:space="preserve"> Bover </w:t>
      </w:r>
      <w:r>
        <w:rPr>
          <w:noProof/>
        </w:rPr>
        <w:t>(</w:t>
      </w:r>
      <w:r w:rsidRPr="00581A8F">
        <w:rPr>
          <w:noProof/>
        </w:rPr>
        <w:t>1995)</w:t>
      </w:r>
      <w:r>
        <w:rPr>
          <w:noProof/>
        </w:rPr>
        <w:fldChar w:fldCharType="end"/>
      </w:r>
      <w:r>
        <w:rPr>
          <w:noProof/>
        </w:rPr>
        <w:t xml:space="preserve"> to eliminate the country-specific fixed effects and avoid </w:t>
      </w:r>
      <w:r w:rsidRPr="00581A8F">
        <w:rPr>
          <w:noProof/>
        </w:rPr>
        <w:t>th</w:t>
      </w:r>
      <w:r>
        <w:rPr>
          <w:noProof/>
        </w:rPr>
        <w:t xml:space="preserve">e </w:t>
      </w:r>
      <w:r w:rsidRPr="00581A8F">
        <w:rPr>
          <w:noProof/>
        </w:rPr>
        <w:t>serial correlation of the transformed error term</w:t>
      </w:r>
      <w:r>
        <w:rPr>
          <w:noProof/>
        </w:rPr>
        <w:t>s</w:t>
      </w:r>
      <w:r w:rsidRPr="00581A8F">
        <w:rPr>
          <w:noProof/>
        </w:rPr>
        <w:t xml:space="preserve">. </w:t>
      </w:r>
      <w:r w:rsidRPr="00907EDB">
        <w:rPr>
          <w:noProof/>
        </w:rPr>
        <w:t xml:space="preserve">According to </w:t>
      </w:r>
      <w:r w:rsidRPr="00372235">
        <w:t xml:space="preserve">Kremer et al. </w:t>
      </w:r>
      <w:r w:rsidRPr="00907EDB">
        <w:t>(</w:t>
      </w:r>
      <w:r w:rsidRPr="00372235">
        <w:t>2013</w:t>
      </w:r>
      <w:r w:rsidRPr="00907EDB">
        <w:t xml:space="preserve">), first, </w:t>
      </w:r>
      <w:r w:rsidRPr="00907EDB">
        <w:rPr>
          <w:noProof/>
        </w:rPr>
        <w:t xml:space="preserve">we estimate a reduced-form regression of the endogenous variables on their instruments </w:t>
      </w:r>
      <w:r>
        <w:rPr>
          <w:noProof/>
        </w:rPr>
        <w:t>and then replace the endogenous variables in the structural equation with</w:t>
      </w:r>
      <w:r w:rsidRPr="00D9469A">
        <w:rPr>
          <w:noProof/>
        </w:rPr>
        <w:t xml:space="preserve"> the predicted values.</w:t>
      </w:r>
      <w:r>
        <w:rPr>
          <w:noProof/>
        </w:rPr>
        <w:t xml:space="preserve"> Second</w:t>
      </w:r>
      <w:r w:rsidRPr="00D9469A">
        <w:rPr>
          <w:noProof/>
        </w:rPr>
        <w:t xml:space="preserve">, </w:t>
      </w:r>
      <w:r>
        <w:rPr>
          <w:noProof/>
        </w:rPr>
        <w:t xml:space="preserve">we estimate </w:t>
      </w:r>
      <w:r w:rsidRPr="00D9469A">
        <w:rPr>
          <w:noProof/>
        </w:rPr>
        <w:t xml:space="preserve">Eq. </w:t>
      </w:r>
      <w:r>
        <w:rPr>
          <w:noProof/>
        </w:rPr>
        <w:t>6</w:t>
      </w:r>
      <w:r w:rsidRPr="00D9469A">
        <w:rPr>
          <w:noProof/>
        </w:rPr>
        <w:t xml:space="preserve"> </w:t>
      </w:r>
      <w:r>
        <w:rPr>
          <w:noProof/>
        </w:rPr>
        <w:t>using</w:t>
      </w:r>
      <w:r w:rsidRPr="00D9469A">
        <w:rPr>
          <w:noProof/>
        </w:rPr>
        <w:t xml:space="preserve"> least squares for a fixed threshold</w:t>
      </w:r>
      <w:r w:rsidRPr="005941D8">
        <w:rPr>
          <w:noProof/>
          <w:sz w:val="32"/>
          <w:szCs w:val="28"/>
        </w:rPr>
        <w:t xml:space="preserve"> </w:t>
      </w:r>
      <m:oMath>
        <m:r>
          <w:rPr>
            <w:rFonts w:ascii="Cambria Math" w:hAnsi="Cambria Math"/>
            <w:noProof/>
          </w:rPr>
          <m:t>γ</m:t>
        </m:r>
      </m:oMath>
      <w:r w:rsidRPr="005941D8">
        <w:rPr>
          <w:i/>
          <w:iCs/>
          <w:noProof/>
          <w:sz w:val="32"/>
          <w:szCs w:val="28"/>
        </w:rPr>
        <w:t xml:space="preserve"> </w:t>
      </w:r>
      <w:r w:rsidRPr="00D9469A">
        <w:rPr>
          <w:noProof/>
        </w:rPr>
        <w:t>where the</w:t>
      </w:r>
      <w:r>
        <w:rPr>
          <w:i/>
          <w:iCs/>
          <w:noProof/>
        </w:rPr>
        <w:t xml:space="preserve"> </w:t>
      </w:r>
      <w:r w:rsidRPr="00AB2358">
        <w:rPr>
          <w:noProof/>
        </w:rPr>
        <w:t>endogenous variables</w:t>
      </w:r>
      <w:r w:rsidRPr="00D9469A">
        <w:rPr>
          <w:noProof/>
        </w:rPr>
        <w:t xml:space="preserve"> are replaced by their predicted values</w:t>
      </w:r>
      <w:r>
        <w:rPr>
          <w:noProof/>
        </w:rPr>
        <w:t xml:space="preserve"> and define </w:t>
      </w:r>
      <m:oMath>
        <m:r>
          <w:rPr>
            <w:rFonts w:ascii="Cambria Math" w:hAnsi="Cambria Math"/>
            <w:noProof/>
          </w:rPr>
          <m:t>S</m:t>
        </m:r>
        <m:d>
          <m:dPr>
            <m:ctrlPr>
              <w:rPr>
                <w:rFonts w:ascii="Cambria Math" w:hAnsi="Cambria Math"/>
                <w:i/>
                <w:noProof/>
              </w:rPr>
            </m:ctrlPr>
          </m:dPr>
          <m:e>
            <m:r>
              <w:rPr>
                <w:rFonts w:ascii="Cambria Math" w:hAnsi="Cambria Math"/>
                <w:noProof/>
              </w:rPr>
              <m:t>γ</m:t>
            </m:r>
          </m:e>
        </m:d>
      </m:oMath>
      <w:r>
        <w:rPr>
          <w:noProof/>
        </w:rPr>
        <w:t xml:space="preserve">  as sum of squared residuals. We repeat this step for a strict </w:t>
      </w:r>
      <w:r w:rsidRPr="00D9469A">
        <w:rPr>
          <w:noProof/>
        </w:rPr>
        <w:t xml:space="preserve">subset of the threshold variable </w:t>
      </w:r>
      <w:r>
        <w:rPr>
          <w:i/>
          <w:iCs/>
          <w:noProof/>
        </w:rPr>
        <w:t xml:space="preserve">Openness. </w:t>
      </w:r>
      <w:r>
        <w:rPr>
          <w:noProof/>
        </w:rPr>
        <w:t>Finally</w:t>
      </w:r>
      <w:r w:rsidRPr="005941D8">
        <w:rPr>
          <w:noProof/>
        </w:rPr>
        <w:t>,</w:t>
      </w:r>
      <w:r>
        <w:rPr>
          <w:i/>
          <w:iCs/>
          <w:noProof/>
        </w:rPr>
        <w:t xml:space="preserve"> </w:t>
      </w:r>
      <w:r w:rsidRPr="00D9469A">
        <w:rPr>
          <w:noProof/>
        </w:rPr>
        <w:t>the estimator of the</w:t>
      </w:r>
      <w:r>
        <w:rPr>
          <w:noProof/>
        </w:rPr>
        <w:t xml:space="preserve"> </w:t>
      </w:r>
      <w:r w:rsidRPr="00D9469A">
        <w:rPr>
          <w:noProof/>
        </w:rPr>
        <w:t>threshold value</w:t>
      </w:r>
      <w:r>
        <w:rPr>
          <w:noProof/>
        </w:rPr>
        <w:t xml:space="preserve"> </w:t>
      </w:r>
      <m:oMath>
        <m:r>
          <w:rPr>
            <w:rFonts w:ascii="Cambria Math" w:hAnsi="Cambria Math"/>
            <w:noProof/>
          </w:rPr>
          <m:t>γ</m:t>
        </m:r>
      </m:oMath>
      <w:r>
        <w:rPr>
          <w:noProof/>
        </w:rPr>
        <w:t xml:space="preserve"> </w:t>
      </w:r>
      <w:r w:rsidRPr="00D9469A">
        <w:rPr>
          <w:noProof/>
        </w:rPr>
        <w:t>is selected as the one associated with the smallest sum of squared</w:t>
      </w:r>
      <w:r>
        <w:rPr>
          <w:noProof/>
        </w:rPr>
        <w:t xml:space="preserve"> </w:t>
      </w:r>
      <w:r w:rsidRPr="00D9469A">
        <w:rPr>
          <w:noProof/>
          <w:szCs w:val="24"/>
        </w:rPr>
        <w:t>residuals, i.e.</w:t>
      </w:r>
      <w:r w:rsidRPr="00907EDB">
        <w:rPr>
          <w:noProof/>
          <w:szCs w:val="24"/>
        </w:rPr>
        <w:t xml:space="preserve"> </w:t>
      </w:r>
      <w:r w:rsidRPr="00D9469A">
        <w:rPr>
          <w:noProof/>
          <w:szCs w:val="24"/>
        </w:rPr>
        <w:t>,</w:t>
      </w:r>
      <w:r w:rsidRPr="00907EDB">
        <w:rPr>
          <w:noProof/>
          <w:szCs w:val="24"/>
        </w:rPr>
        <w:t xml:space="preserve"> </w:t>
      </w:r>
      <m:oMath>
        <m:acc>
          <m:accPr>
            <m:ctrlPr>
              <w:rPr>
                <w:rFonts w:ascii="Cambria Math" w:hAnsi="Cambria Math"/>
                <w:i/>
                <w:noProof/>
                <w:szCs w:val="24"/>
              </w:rPr>
            </m:ctrlPr>
          </m:accPr>
          <m:e>
            <m:r>
              <w:rPr>
                <w:rFonts w:ascii="Cambria Math" w:hAnsi="Cambria Math"/>
                <w:noProof/>
                <w:szCs w:val="24"/>
              </w:rPr>
              <m:t>γ</m:t>
            </m:r>
          </m:e>
        </m:acc>
        <m:r>
          <w:rPr>
            <w:rFonts w:ascii="Cambria Math" w:hAnsi="Cambria Math"/>
            <w:noProof/>
            <w:szCs w:val="24"/>
          </w:rPr>
          <m:t xml:space="preserve">= </m:t>
        </m:r>
        <m:f>
          <m:fPr>
            <m:type m:val="noBar"/>
            <m:ctrlPr>
              <w:rPr>
                <w:rFonts w:ascii="Cambria Math" w:hAnsi="Cambria Math"/>
                <w:i/>
                <w:noProof/>
                <w:szCs w:val="24"/>
              </w:rPr>
            </m:ctrlPr>
          </m:fPr>
          <m:num>
            <m:func>
              <m:funcPr>
                <m:ctrlPr>
                  <w:rPr>
                    <w:rFonts w:ascii="Cambria Math" w:hAnsi="Cambria Math"/>
                    <w:i/>
                    <w:noProof/>
                    <w:szCs w:val="24"/>
                  </w:rPr>
                </m:ctrlPr>
              </m:funcPr>
              <m:fName>
                <m:r>
                  <m:rPr>
                    <m:sty m:val="p"/>
                  </m:rPr>
                  <w:rPr>
                    <w:rFonts w:ascii="Cambria Math" w:hAnsi="Cambria Math"/>
                    <w:noProof/>
                    <w:szCs w:val="24"/>
                  </w:rPr>
                  <m:t>arg</m:t>
                </m:r>
              </m:fName>
              <m:e>
                <m:func>
                  <m:funcPr>
                    <m:ctrlPr>
                      <w:rPr>
                        <w:rFonts w:ascii="Cambria Math" w:hAnsi="Cambria Math"/>
                        <w:i/>
                        <w:noProof/>
                        <w:szCs w:val="24"/>
                      </w:rPr>
                    </m:ctrlPr>
                  </m:funcPr>
                  <m:fName>
                    <m:r>
                      <m:rPr>
                        <m:sty m:val="p"/>
                      </m:rPr>
                      <w:rPr>
                        <w:rFonts w:ascii="Cambria Math" w:hAnsi="Cambria Math"/>
                        <w:noProof/>
                        <w:szCs w:val="24"/>
                      </w:rPr>
                      <m:t>min</m:t>
                    </m:r>
                  </m:fName>
                  <m:e>
                    <m:sSub>
                      <m:sSubPr>
                        <m:ctrlPr>
                          <w:rPr>
                            <w:rFonts w:ascii="Cambria Math" w:hAnsi="Cambria Math"/>
                            <w:i/>
                            <w:noProof/>
                            <w:szCs w:val="24"/>
                          </w:rPr>
                        </m:ctrlPr>
                      </m:sSubPr>
                      <m:e>
                        <m:r>
                          <w:rPr>
                            <w:rFonts w:ascii="Cambria Math" w:hAnsi="Cambria Math"/>
                            <w:noProof/>
                            <w:szCs w:val="24"/>
                          </w:rPr>
                          <m:t>S</m:t>
                        </m:r>
                      </m:e>
                      <m:sub>
                        <m:r>
                          <w:rPr>
                            <w:rFonts w:ascii="Cambria Math" w:hAnsi="Cambria Math"/>
                            <w:noProof/>
                            <w:szCs w:val="24"/>
                          </w:rPr>
                          <m:t>n</m:t>
                        </m:r>
                      </m:sub>
                    </m:sSub>
                    <m:r>
                      <w:rPr>
                        <w:rFonts w:ascii="Cambria Math" w:hAnsi="Cambria Math"/>
                        <w:noProof/>
                        <w:szCs w:val="24"/>
                      </w:rPr>
                      <m:t>(γ)</m:t>
                    </m:r>
                  </m:e>
                </m:func>
              </m:e>
            </m:func>
          </m:num>
          <m:den>
            <m:r>
              <w:rPr>
                <w:rFonts w:ascii="Cambria Math" w:hAnsi="Cambria Math"/>
                <w:noProof/>
                <w:szCs w:val="24"/>
              </w:rPr>
              <m:t>γ</m:t>
            </m:r>
          </m:den>
        </m:f>
      </m:oMath>
      <w:r>
        <w:rPr>
          <w:noProof/>
          <w:szCs w:val="24"/>
        </w:rPr>
        <w:t xml:space="preserve">. In addition, </w:t>
      </w:r>
      <w:r>
        <w:rPr>
          <w:noProof/>
        </w:rPr>
        <w:t xml:space="preserve">the </w:t>
      </w:r>
      <w:r w:rsidRPr="004C61BC">
        <w:rPr>
          <w:noProof/>
        </w:rPr>
        <w:t xml:space="preserve">95% confidence interval of the threshold value </w:t>
      </w:r>
      <w:r>
        <w:rPr>
          <w:noProof/>
        </w:rPr>
        <w:t>is</w:t>
      </w:r>
      <w:r w:rsidRPr="004C61BC">
        <w:rPr>
          <w:noProof/>
        </w:rPr>
        <w:t xml:space="preserve"> </w:t>
      </w:r>
      <w:r>
        <w:rPr>
          <w:noProof/>
        </w:rPr>
        <w:t>calculated</w:t>
      </w:r>
      <w:r w:rsidRPr="004C61BC">
        <w:rPr>
          <w:noProof/>
        </w:rPr>
        <w:t xml:space="preserve"> by</w:t>
      </w:r>
      <w:r>
        <w:rPr>
          <w:noProof/>
        </w:rPr>
        <w:t xml:space="preserve"> </w:t>
      </w:r>
      <m:oMath>
        <m:r>
          <m:rPr>
            <m:sty m:val="p"/>
          </m:rPr>
          <w:rPr>
            <w:rFonts w:ascii="Cambria Math" w:hAnsi="Cambria Math"/>
            <w:noProof/>
          </w:rPr>
          <m:t>Γ</m:t>
        </m:r>
        <m:r>
          <w:rPr>
            <w:rFonts w:ascii="Cambria Math" w:hAnsi="Cambria Math"/>
            <w:noProof/>
          </w:rPr>
          <m:t>=</m:t>
        </m:r>
        <m:d>
          <m:dPr>
            <m:begChr m:val="{"/>
            <m:endChr m:val="}"/>
            <m:ctrlPr>
              <w:rPr>
                <w:rFonts w:ascii="Cambria Math" w:hAnsi="Cambria Math"/>
                <w:i/>
                <w:noProof/>
              </w:rPr>
            </m:ctrlPr>
          </m:dPr>
          <m:e>
            <m:r>
              <w:rPr>
                <w:rFonts w:ascii="Cambria Math" w:hAnsi="Cambria Math"/>
                <w:noProof/>
              </w:rPr>
              <m:t>γ:LR</m:t>
            </m:r>
            <m:d>
              <m:dPr>
                <m:ctrlPr>
                  <w:rPr>
                    <w:rFonts w:ascii="Cambria Math" w:hAnsi="Cambria Math"/>
                    <w:i/>
                    <w:noProof/>
                  </w:rPr>
                </m:ctrlPr>
              </m:dPr>
              <m:e>
                <m:r>
                  <w:rPr>
                    <w:rFonts w:ascii="Cambria Math" w:hAnsi="Cambria Math"/>
                    <w:noProof/>
                  </w:rPr>
                  <m:t>γ</m:t>
                </m:r>
              </m:e>
            </m:d>
            <m:r>
              <w:rPr>
                <w:rFonts w:ascii="Cambria Math" w:hAnsi="Cambria Math"/>
                <w:noProof/>
              </w:rPr>
              <m:t>≤C</m:t>
            </m:r>
            <m:d>
              <m:dPr>
                <m:ctrlPr>
                  <w:rPr>
                    <w:rFonts w:ascii="Cambria Math" w:hAnsi="Cambria Math"/>
                    <w:i/>
                    <w:noProof/>
                  </w:rPr>
                </m:ctrlPr>
              </m:dPr>
              <m:e>
                <m:r>
                  <w:rPr>
                    <w:rFonts w:ascii="Cambria Math" w:hAnsi="Cambria Math"/>
                    <w:noProof/>
                  </w:rPr>
                  <m:t>α</m:t>
                </m:r>
              </m:e>
            </m:d>
          </m:e>
        </m:d>
      </m:oMath>
      <w:r>
        <w:rPr>
          <w:noProof/>
        </w:rPr>
        <w:t xml:space="preserve">, where </w:t>
      </w:r>
      <m:oMath>
        <m:r>
          <w:rPr>
            <w:rFonts w:ascii="Cambria Math" w:hAnsi="Cambria Math"/>
            <w:noProof/>
          </w:rPr>
          <m:t>C</m:t>
        </m:r>
        <m:d>
          <m:dPr>
            <m:ctrlPr>
              <w:rPr>
                <w:rFonts w:ascii="Cambria Math" w:hAnsi="Cambria Math"/>
                <w:i/>
                <w:noProof/>
              </w:rPr>
            </m:ctrlPr>
          </m:dPr>
          <m:e>
            <m:r>
              <w:rPr>
                <w:rFonts w:ascii="Cambria Math" w:hAnsi="Cambria Math"/>
                <w:noProof/>
              </w:rPr>
              <m:t>α</m:t>
            </m:r>
          </m:e>
        </m:d>
      </m:oMath>
      <w:r>
        <w:rPr>
          <w:noProof/>
        </w:rPr>
        <w:t xml:space="preserve"> is the 95</w:t>
      </w:r>
      <w:r w:rsidRPr="005A599F">
        <w:rPr>
          <w:noProof/>
          <w:vertAlign w:val="superscript"/>
        </w:rPr>
        <w:t>th</w:t>
      </w:r>
      <w:r>
        <w:rPr>
          <w:noProof/>
        </w:rPr>
        <w:t xml:space="preserve">  percentile of the asymptotic distribution of the likelihood ratio statistic </w:t>
      </w:r>
      <m:oMath>
        <m:r>
          <w:rPr>
            <w:rFonts w:ascii="Cambria Math" w:hAnsi="Cambria Math"/>
            <w:noProof/>
          </w:rPr>
          <m:t>LR</m:t>
        </m:r>
        <m:d>
          <m:dPr>
            <m:ctrlPr>
              <w:rPr>
                <w:rFonts w:ascii="Cambria Math" w:hAnsi="Cambria Math"/>
                <w:i/>
                <w:noProof/>
              </w:rPr>
            </m:ctrlPr>
          </m:dPr>
          <m:e>
            <m:r>
              <w:rPr>
                <w:rFonts w:ascii="Cambria Math" w:hAnsi="Cambria Math"/>
                <w:noProof/>
              </w:rPr>
              <m:t>γ</m:t>
            </m:r>
          </m:e>
        </m:d>
      </m:oMath>
      <w:r>
        <w:rPr>
          <w:noProof/>
        </w:rPr>
        <w:t xml:space="preserve"> </w:t>
      </w:r>
      <w:r>
        <w:rPr>
          <w:noProof/>
        </w:rPr>
        <w:fldChar w:fldCharType="begin" w:fldLock="1"/>
      </w:r>
      <w:r>
        <w:rPr>
          <w:noProof/>
        </w:rPr>
        <w:instrText>ADDIN CSL_CITATION {"citationItems":[{"id":"ITEM-1","itemData":{"DOI":"10.1016/S0304-4076(99)00025-1","ISSN":"0304-4076","abstract":"Threshold regression methods are developed for non-dynamic panels with individual-specific fixed effects. Least squares estimation of the threshold and regression slopes is proposed using fixed-effects transformations. A non-standard asymptotic theory of inference is developed which allows construction of confidence intervals and testing of hypotheses. The methods are applied to a 15-year sample of 565 US firms to test whether financial constraints affect investment decisions. © 1999 Elsevier Science S.A. All rights reserved.","author":[{"dropping-particle":"","family":"Hansen","given":"Bruce E.","non-dropping-particle":"","parse-names":false,"suffix":""}],"container-title":"Journal of Econometrics","id":"ITEM-1","issue":"2","issued":{"date-parts":[["1999","12","1"]]},"page":"345-368","publisher":"North-Holland","title":"Threshold effects in non-dynamic panels: Estimation, testing, and inference","type":"article-journal","volume":"93"},"uris":["http://www.mendeley.com/documents/?uuid=80fd6d17-aff8-3acf-b154-88eed05a13fa"]},{"id":"ITEM-2","itemData":{"DOI":"10.1017/S0266466604205011","ISSN":"1469-4360","abstract":"Threshold models (sample splitting models) have wide application in economics. Existing estimation methods are confined to regression models, which require that all right-hand-side variables are exogenous. This paper considers a model with endogenous variables but an exogenous threshold variable. We develop a two-stage least squares estimator of the threshold parameter and a generalized method of moments estimator of the slope parameters. We show that these estimators are consistent, and we derive the asymptotic distribution of the estimators. The threshold estimate has the same distribution as for the regression case (Hansen, 2000, Econometrica 68, 575–603), with a different scale. The slope parameter estimates are asymptotically normal with conventional covariance matrices. We investigate our distribution theory with a Monte Carlo simulation that indicates the applicability of the methods.We thank the two referees and co-editor for constructive comments. Hansen thanks the National Science Foundation for financial support. Caner thanks University of Pittsburgh Central Research Development Fund for financial support.","author":[{"dropping-particle":"","family":"Caner","given":"Mehmet","non-dropping-particle":"","parse-names":false,"suffix":""},{"dropping-particle":"","family":"Hansen","given":"Bruce E.","non-dropping-particle":"","parse-names":false,"suffix":""}],"container-title":"Econometric Theory","id":"ITEM-2","issue":"5","issued":{"date-parts":[["2004","10"]]},"page":"813-843","publisher":"Cambridge University Press","title":"INSTRUMENTAL VARIABLE ESTIMATION OF A THRESHOLD MODEL","type":"article-journal","volume":"20"},"uris":["http://www.mendeley.com/documents/?uuid=44b668be-ed9d-3815-8fc3-e51408a8c77a"]}],"mendeley":{"formattedCitation":"(Caner &amp; Hansen, 2004; Hansen, 1999)","plainTextFormattedCitation":"(Caner &amp; Hansen, 2004; Hansen, 1999)","previouslyFormattedCitation":"(Caner &amp; Hansen, 2004; Hansen, 1999)"},"properties":{"noteIndex":0},"schema":"https://github.com/citation-style-language/schema/raw/master/csl-citation.json"}</w:instrText>
      </w:r>
      <w:r>
        <w:rPr>
          <w:noProof/>
        </w:rPr>
        <w:fldChar w:fldCharType="separate"/>
      </w:r>
      <w:r w:rsidRPr="00907EDB">
        <w:rPr>
          <w:noProof/>
        </w:rPr>
        <w:t xml:space="preserve">(Caner </w:t>
      </w:r>
      <w:r w:rsidR="00C62879">
        <w:rPr>
          <w:noProof/>
        </w:rPr>
        <w:t>and</w:t>
      </w:r>
      <w:r w:rsidRPr="00907EDB">
        <w:rPr>
          <w:noProof/>
        </w:rPr>
        <w:t xml:space="preserve"> Hansen, 2004; Hansen, 1999)</w:t>
      </w:r>
      <w:r>
        <w:rPr>
          <w:noProof/>
        </w:rPr>
        <w:fldChar w:fldCharType="end"/>
      </w:r>
      <w:r>
        <w:rPr>
          <w:noProof/>
        </w:rPr>
        <w:t xml:space="preserve">.  </w:t>
      </w:r>
      <w:r w:rsidRPr="00372235">
        <w:rPr>
          <w:noProof/>
        </w:rPr>
        <w:t>Once</w:t>
      </w:r>
      <w:r>
        <w:rPr>
          <w:noProof/>
        </w:rPr>
        <w:t xml:space="preserve"> the threshold value (</w:t>
      </w:r>
      <m:oMath>
        <m:r>
          <w:rPr>
            <w:rFonts w:ascii="Cambria Math" w:hAnsi="Cambria Math"/>
            <w:noProof/>
          </w:rPr>
          <m:t>γ)</m:t>
        </m:r>
      </m:oMath>
      <w:r w:rsidRPr="00372235">
        <w:rPr>
          <w:noProof/>
        </w:rPr>
        <w:t xml:space="preserve"> is</w:t>
      </w:r>
      <w:r>
        <w:rPr>
          <w:noProof/>
        </w:rPr>
        <w:t xml:space="preserve"> obtained</w:t>
      </w:r>
      <w:r w:rsidRPr="00372235">
        <w:rPr>
          <w:noProof/>
        </w:rPr>
        <w:t xml:space="preserve">, the slope coefficients </w:t>
      </w:r>
      <w:r>
        <w:rPr>
          <w:noProof/>
        </w:rPr>
        <w:t>are</w:t>
      </w:r>
      <w:r w:rsidRPr="00372235">
        <w:rPr>
          <w:noProof/>
        </w:rPr>
        <w:t xml:space="preserve"> estimated by the GMM for the previously</w:t>
      </w:r>
      <w:r>
        <w:rPr>
          <w:noProof/>
        </w:rPr>
        <w:t xml:space="preserve"> </w:t>
      </w:r>
      <w:r w:rsidRPr="00372235">
        <w:rPr>
          <w:noProof/>
        </w:rPr>
        <w:t xml:space="preserve">used instruments and </w:t>
      </w:r>
      <w:r w:rsidRPr="00E40AAF">
        <w:rPr>
          <w:noProof/>
        </w:rPr>
        <w:t xml:space="preserve">estimated threshold. </w:t>
      </w:r>
      <w:r w:rsidRPr="00E40AAF">
        <w:t xml:space="preserve">Following Arellano and </w:t>
      </w:r>
      <w:proofErr w:type="spellStart"/>
      <w:r w:rsidRPr="00E40AAF">
        <w:t>Bover</w:t>
      </w:r>
      <w:proofErr w:type="spellEnd"/>
      <w:r w:rsidRPr="00E40AAF">
        <w:t xml:space="preserve"> (1995), we use lags of endogenous variables</w:t>
      </w:r>
      <w:r w:rsidRPr="00E40AAF">
        <w:rPr>
          <w:i/>
          <w:iCs/>
        </w:rPr>
        <w:t xml:space="preserve"> </w:t>
      </w:r>
      <w:r w:rsidRPr="00E40AAF">
        <w:t xml:space="preserve">as instruments. </w:t>
      </w:r>
    </w:p>
    <w:p w14:paraId="019A593F" w14:textId="4C473742" w:rsidR="0012305F" w:rsidRPr="008D255F" w:rsidRDefault="0012305F" w:rsidP="007D5DFF">
      <w:pPr>
        <w:pStyle w:val="Heading1"/>
        <w:numPr>
          <w:ilvl w:val="0"/>
          <w:numId w:val="1"/>
        </w:numPr>
      </w:pPr>
      <w:r w:rsidRPr="008D255F">
        <w:t>Empirical Results</w:t>
      </w:r>
    </w:p>
    <w:p w14:paraId="195E7E3C" w14:textId="1090D8B8" w:rsidR="0012305F" w:rsidRPr="00132268" w:rsidRDefault="0012305F" w:rsidP="007D5DFF">
      <w:pPr>
        <w:ind w:firstLine="0"/>
      </w:pPr>
      <w:r w:rsidRPr="00431ADA">
        <w:t xml:space="preserve">This section starts by </w:t>
      </w:r>
      <w:r>
        <w:t xml:space="preserve">reporting the results of estimating Eq. 1, 2 and 3 on the dataset described before using dynamic GMM </w:t>
      </w:r>
      <w:r w:rsidR="00B15F46">
        <w:t>estimation and</w:t>
      </w:r>
      <w:r>
        <w:t xml:space="preserve"> outlines </w:t>
      </w:r>
      <w:r>
        <w:rPr>
          <w:lang w:val="en-US"/>
        </w:rPr>
        <w:t xml:space="preserve">their implications for the hypothesis of interest. It is followed by the result of the dynamic threshold regression that tests the existence of the threshold value of economic openness. </w:t>
      </w:r>
    </w:p>
    <w:p w14:paraId="591D8E0D" w14:textId="58F89715" w:rsidR="0012305F" w:rsidRPr="00CD2599" w:rsidRDefault="0012305F" w:rsidP="007D5DFF">
      <w:pPr>
        <w:pStyle w:val="Heading2"/>
        <w:numPr>
          <w:ilvl w:val="1"/>
          <w:numId w:val="1"/>
        </w:numPr>
        <w:ind w:left="426"/>
      </w:pPr>
      <w:r>
        <w:t>Dynamic Panel GMM estimation results</w:t>
      </w:r>
    </w:p>
    <w:p w14:paraId="5F96DBB5" w14:textId="32146FA5" w:rsidR="0012305F" w:rsidRPr="00692152" w:rsidRDefault="0012305F" w:rsidP="006B45D8">
      <w:pPr>
        <w:ind w:firstLine="0"/>
      </w:pPr>
      <w:r w:rsidRPr="006E7020">
        <w:t xml:space="preserve">Table </w:t>
      </w:r>
      <w:r>
        <w:t>3</w:t>
      </w:r>
      <w:r w:rsidRPr="006E7020">
        <w:t xml:space="preserve"> </w:t>
      </w:r>
      <w:r>
        <w:t>reports</w:t>
      </w:r>
      <w:r w:rsidRPr="006E7020">
        <w:t xml:space="preserve"> </w:t>
      </w:r>
      <w:r>
        <w:t>the result of estimating Eq. 1 for the entire sample of 71 countries using</w:t>
      </w:r>
      <w:r w:rsidRPr="006E7020">
        <w:t xml:space="preserve"> </w:t>
      </w:r>
      <w:r>
        <w:t>dynamic panel</w:t>
      </w:r>
      <w:r w:rsidRPr="006E7020">
        <w:t xml:space="preserve"> GMM </w:t>
      </w:r>
      <w:r>
        <w:t xml:space="preserve">as </w:t>
      </w:r>
      <w:r w:rsidRPr="006E7020">
        <w:t>proposed by Arellano and Bond (1991)</w:t>
      </w:r>
      <w:r>
        <w:t xml:space="preserve">, which presents the impact of FD, measured by either </w:t>
      </w:r>
      <w:proofErr w:type="spellStart"/>
      <w:r w:rsidRPr="0090527D">
        <w:rPr>
          <w:i/>
          <w:iCs/>
        </w:rPr>
        <w:t>PrivateCredit</w:t>
      </w:r>
      <w:proofErr w:type="spellEnd"/>
      <w:r>
        <w:t xml:space="preserve"> or </w:t>
      </w:r>
      <w:proofErr w:type="spellStart"/>
      <w:r w:rsidRPr="0090527D">
        <w:rPr>
          <w:i/>
          <w:iCs/>
        </w:rPr>
        <w:t>LiquidLiabilities</w:t>
      </w:r>
      <w:proofErr w:type="spellEnd"/>
      <w:r>
        <w:t xml:space="preserve"> on income inequality. All columns include country and time-fixed effects, and robust standard errors are reported in parentheses. In Columns (1) and (2), in which the primary </w:t>
      </w:r>
      <w:r w:rsidRPr="008D255F">
        <w:t xml:space="preserve">determinants of income inequality are controlled, the estimated coefficient for both </w:t>
      </w:r>
      <w:proofErr w:type="spellStart"/>
      <w:r w:rsidRPr="008D255F">
        <w:rPr>
          <w:i/>
          <w:iCs/>
        </w:rPr>
        <w:t>PrivateCredit</w:t>
      </w:r>
      <w:proofErr w:type="spellEnd"/>
      <w:r w:rsidRPr="008D255F">
        <w:t xml:space="preserve"> and </w:t>
      </w:r>
      <w:proofErr w:type="spellStart"/>
      <w:r w:rsidRPr="008D255F">
        <w:rPr>
          <w:i/>
          <w:iCs/>
        </w:rPr>
        <w:t>LiquidLiabilities</w:t>
      </w:r>
      <w:proofErr w:type="spellEnd"/>
      <w:r w:rsidRPr="008D255F">
        <w:t xml:space="preserve"> is positive and statistically significant at 5%. The effect of banking development on inequality remains positively signiﬁcant even if </w:t>
      </w:r>
      <w:r w:rsidRPr="008D255F">
        <w:rPr>
          <w:i/>
          <w:iCs/>
        </w:rPr>
        <w:t>Pop</w:t>
      </w:r>
      <w:r w:rsidRPr="008D255F">
        <w:t xml:space="preserve"> and </w:t>
      </w:r>
      <w:proofErr w:type="spellStart"/>
      <w:r w:rsidRPr="008D255F">
        <w:rPr>
          <w:i/>
          <w:iCs/>
        </w:rPr>
        <w:t>LifeExp</w:t>
      </w:r>
      <w:proofErr w:type="spellEnd"/>
      <w:r w:rsidRPr="008D255F">
        <w:t xml:space="preserve"> are controlled for in columns (3) and (4). Thus, the positive coefficient of banking development in all columns suggests that banking development will lead to an increase in income inequality; for example, according to the result in the first column, a 10</w:t>
      </w:r>
      <w:r>
        <w:t>%</w:t>
      </w:r>
      <w:r w:rsidRPr="008D255F">
        <w:t xml:space="preserve"> increase in </w:t>
      </w:r>
      <w:proofErr w:type="spellStart"/>
      <w:r w:rsidRPr="008D255F">
        <w:rPr>
          <w:i/>
          <w:iCs/>
        </w:rPr>
        <w:t>PrivateCredit</w:t>
      </w:r>
      <w:proofErr w:type="spellEnd"/>
      <w:r w:rsidRPr="008D255F">
        <w:t xml:space="preserve"> increases the gross Gini coefficient by 1.4</w:t>
      </w:r>
      <w:r>
        <w:t>%</w:t>
      </w:r>
      <w:r w:rsidRPr="008D255F">
        <w:t xml:space="preserve">. This finding is in line with </w:t>
      </w:r>
      <w:proofErr w:type="spellStart"/>
      <w:r w:rsidRPr="008D255F">
        <w:t>Gimet</w:t>
      </w:r>
      <w:proofErr w:type="spellEnd"/>
      <w:r w:rsidRPr="008D255F">
        <w:t xml:space="preserve"> and </w:t>
      </w:r>
      <w:proofErr w:type="spellStart"/>
      <w:r w:rsidRPr="008D255F">
        <w:t>Lagoarde-Segot</w:t>
      </w:r>
      <w:proofErr w:type="spellEnd"/>
      <w:r w:rsidRPr="008D255F">
        <w:t xml:space="preserve"> (2011), </w:t>
      </w:r>
      <w:proofErr w:type="spellStart"/>
      <w:r w:rsidRPr="008D255F">
        <w:t>Jauch</w:t>
      </w:r>
      <w:proofErr w:type="spellEnd"/>
      <w:r w:rsidRPr="008D255F">
        <w:t xml:space="preserve"> and </w:t>
      </w:r>
      <w:proofErr w:type="spellStart"/>
      <w:r w:rsidRPr="008D255F">
        <w:t>Watzka</w:t>
      </w:r>
      <w:proofErr w:type="spellEnd"/>
      <w:r w:rsidRPr="008D255F">
        <w:t xml:space="preserve"> (2016), De Hann and Strum (2017), </w:t>
      </w:r>
      <w:proofErr w:type="spellStart"/>
      <w:r w:rsidRPr="008D255F">
        <w:t>Blau</w:t>
      </w:r>
      <w:proofErr w:type="spellEnd"/>
      <w:r w:rsidRPr="008D255F">
        <w:t xml:space="preserve"> (2018), Hsieh et al. (2019)</w:t>
      </w:r>
      <w:r>
        <w:t>,</w:t>
      </w:r>
      <w:r w:rsidRPr="008D255F">
        <w:t xml:space="preserve"> and Kim </w:t>
      </w:r>
      <w:r>
        <w:t>(</w:t>
      </w:r>
      <w:r w:rsidRPr="008D255F">
        <w:t>2021</w:t>
      </w:r>
      <w:r>
        <w:t>)</w:t>
      </w:r>
      <w:r w:rsidRPr="008D255F">
        <w:t xml:space="preserve">. Among the rest </w:t>
      </w:r>
      <w:r w:rsidRPr="008D255F">
        <w:lastRenderedPageBreak/>
        <w:t xml:space="preserve">of the explanatory variables, column 4 shows that </w:t>
      </w:r>
      <w:r w:rsidRPr="008D255F">
        <w:rPr>
          <w:i/>
          <w:iCs/>
        </w:rPr>
        <w:t>Growth</w:t>
      </w:r>
      <w:r w:rsidRPr="008D255F">
        <w:t xml:space="preserve">, </w:t>
      </w:r>
      <w:r w:rsidRPr="008D255F">
        <w:rPr>
          <w:i/>
          <w:iCs/>
        </w:rPr>
        <w:t>FO</w:t>
      </w:r>
      <w:r w:rsidRPr="008D255F">
        <w:t xml:space="preserve"> and </w:t>
      </w:r>
      <w:proofErr w:type="spellStart"/>
      <w:r w:rsidRPr="008D255F">
        <w:rPr>
          <w:i/>
          <w:iCs/>
        </w:rPr>
        <w:t>GovExp</w:t>
      </w:r>
      <w:proofErr w:type="spellEnd"/>
      <w:r w:rsidRPr="008D255F">
        <w:t xml:space="preserve"> negatively impact income inequality. Furthermore, the identification tests show no overidentifying restrictions and no serial correlation between the instruments and</w:t>
      </w:r>
      <w:r w:rsidRPr="00FE1840">
        <w:t xml:space="preserve"> the disturbance.</w:t>
      </w:r>
      <w:r>
        <w:t xml:space="preserve"> </w:t>
      </w:r>
      <w:r w:rsidRPr="00692152">
        <w:t xml:space="preserve">A reason </w:t>
      </w:r>
      <w:r>
        <w:t>for</w:t>
      </w:r>
      <w:r w:rsidRPr="00692152">
        <w:t xml:space="preserve"> this</w:t>
      </w:r>
      <w:r>
        <w:t xml:space="preserve"> positive link between FD and income inequality</w:t>
      </w:r>
      <w:r w:rsidRPr="00692152">
        <w:t xml:space="preserve"> might be, as argued by Rajan </w:t>
      </w:r>
      <w:r>
        <w:t>and</w:t>
      </w:r>
      <w:r w:rsidRPr="00692152">
        <w:t xml:space="preserve"> Zingales (2003), </w:t>
      </w:r>
      <w:r>
        <w:t xml:space="preserve">that </w:t>
      </w:r>
      <w:r w:rsidRPr="00692152">
        <w:t xml:space="preserve">the rich </w:t>
      </w:r>
      <w:r>
        <w:t>can</w:t>
      </w:r>
      <w:r w:rsidRPr="00692152">
        <w:t xml:space="preserve"> offer collateral and </w:t>
      </w:r>
      <w:r>
        <w:t xml:space="preserve">are </w:t>
      </w:r>
      <w:r w:rsidRPr="00692152">
        <w:t>more likely to repay their loans. The poor, who do not enjoy this benefit, might find it difficult to obtain loans even in a well-developed banking sector</w:t>
      </w:r>
      <w:r>
        <w:t>.</w:t>
      </w:r>
    </w:p>
    <w:p w14:paraId="39778BE4" w14:textId="1A54EAC8" w:rsidR="0012305F" w:rsidRPr="004308FB" w:rsidRDefault="0012305F" w:rsidP="0012305F">
      <w:pPr>
        <w:pStyle w:val="Caption"/>
        <w:jc w:val="center"/>
        <w:rPr>
          <w:rFonts w:cstheme="majorBidi"/>
          <w:b/>
          <w:bCs/>
          <w:i w:val="0"/>
          <w:iCs w:val="0"/>
          <w:color w:val="auto"/>
          <w:sz w:val="32"/>
          <w:szCs w:val="32"/>
        </w:rPr>
      </w:pPr>
      <w:r w:rsidRPr="004308FB">
        <w:rPr>
          <w:rFonts w:cstheme="majorBidi"/>
          <w:b/>
          <w:bCs/>
          <w:i w:val="0"/>
          <w:iCs w:val="0"/>
          <w:color w:val="auto"/>
          <w:sz w:val="22"/>
          <w:szCs w:val="22"/>
        </w:rPr>
        <w:t xml:space="preserve">Table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Table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3</w:t>
      </w:r>
      <w:r w:rsidRPr="004308FB">
        <w:rPr>
          <w:rFonts w:cstheme="majorBidi"/>
          <w:b/>
          <w:bCs/>
          <w:i w:val="0"/>
          <w:iCs w:val="0"/>
          <w:color w:val="auto"/>
          <w:sz w:val="22"/>
          <w:szCs w:val="22"/>
        </w:rPr>
        <w:fldChar w:fldCharType="end"/>
      </w:r>
      <w:r w:rsidR="00176DAD" w:rsidRPr="004308FB">
        <w:rPr>
          <w:rFonts w:cstheme="majorBidi"/>
          <w:b/>
          <w:bCs/>
          <w:i w:val="0"/>
          <w:iCs w:val="0"/>
          <w:color w:val="auto"/>
          <w:sz w:val="22"/>
          <w:szCs w:val="22"/>
        </w:rPr>
        <w:t>.</w:t>
      </w:r>
      <w:r w:rsidRPr="004308FB">
        <w:rPr>
          <w:rFonts w:cstheme="majorBidi"/>
          <w:b/>
          <w:bCs/>
          <w:i w:val="0"/>
          <w:iCs w:val="0"/>
          <w:color w:val="auto"/>
          <w:sz w:val="22"/>
          <w:szCs w:val="22"/>
        </w:rPr>
        <w:t xml:space="preserve"> The impact of financial development on income inequality</w:t>
      </w:r>
    </w:p>
    <w:tbl>
      <w:tblPr>
        <w:tblW w:w="7571" w:type="dxa"/>
        <w:jc w:val="center"/>
        <w:tblLook w:val="04A0" w:firstRow="1" w:lastRow="0" w:firstColumn="1" w:lastColumn="0" w:noHBand="0" w:noVBand="1"/>
      </w:tblPr>
      <w:tblGrid>
        <w:gridCol w:w="2914"/>
        <w:gridCol w:w="1164"/>
        <w:gridCol w:w="1164"/>
        <w:gridCol w:w="1164"/>
        <w:gridCol w:w="1165"/>
      </w:tblGrid>
      <w:tr w:rsidR="0012305F" w:rsidRPr="00692152" w14:paraId="1E9F6F7E" w14:textId="77777777" w:rsidTr="00354437">
        <w:trPr>
          <w:trHeight w:hRule="exact" w:val="271"/>
          <w:jc w:val="center"/>
        </w:trPr>
        <w:tc>
          <w:tcPr>
            <w:tcW w:w="2914" w:type="dxa"/>
            <w:tcBorders>
              <w:top w:val="nil"/>
              <w:left w:val="nil"/>
              <w:bottom w:val="single" w:sz="4" w:space="0" w:color="auto"/>
              <w:right w:val="nil"/>
            </w:tcBorders>
            <w:shd w:val="clear" w:color="auto" w:fill="auto"/>
            <w:noWrap/>
            <w:vAlign w:val="center"/>
          </w:tcPr>
          <w:p w14:paraId="3A3E7B33" w14:textId="77777777" w:rsidR="0012305F" w:rsidRPr="0069215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4657" w:type="dxa"/>
            <w:gridSpan w:val="4"/>
            <w:tcBorders>
              <w:top w:val="single" w:sz="4" w:space="0" w:color="auto"/>
              <w:left w:val="nil"/>
              <w:bottom w:val="single" w:sz="4" w:space="0" w:color="auto"/>
              <w:right w:val="nil"/>
            </w:tcBorders>
            <w:shd w:val="clear" w:color="auto" w:fill="auto"/>
            <w:noWrap/>
            <w:vAlign w:val="center"/>
          </w:tcPr>
          <w:p w14:paraId="0A093769" w14:textId="77777777" w:rsidR="0012305F" w:rsidRPr="00692152"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roofErr w:type="spellStart"/>
            <w:r w:rsidRPr="00692152">
              <w:rPr>
                <w:rFonts w:ascii="Times New Roman" w:eastAsia="Times New Roman" w:hAnsi="Times New Roman" w:cs="Times New Roman"/>
                <w:color w:val="000000"/>
                <w:sz w:val="20"/>
                <w:szCs w:val="20"/>
                <w:lang w:eastAsia="en-NZ"/>
              </w:rPr>
              <w:t>GrossGini</w:t>
            </w:r>
            <w:proofErr w:type="spellEnd"/>
          </w:p>
        </w:tc>
      </w:tr>
      <w:tr w:rsidR="0012305F" w:rsidRPr="00692152" w14:paraId="08E56BE4" w14:textId="77777777" w:rsidTr="00354437">
        <w:trPr>
          <w:trHeight w:hRule="exact" w:val="271"/>
          <w:jc w:val="center"/>
        </w:trPr>
        <w:tc>
          <w:tcPr>
            <w:tcW w:w="2914" w:type="dxa"/>
            <w:tcBorders>
              <w:top w:val="nil"/>
              <w:left w:val="nil"/>
              <w:bottom w:val="single" w:sz="4" w:space="0" w:color="auto"/>
              <w:right w:val="nil"/>
            </w:tcBorders>
            <w:shd w:val="clear" w:color="auto" w:fill="auto"/>
            <w:noWrap/>
            <w:vAlign w:val="center"/>
            <w:hideMark/>
          </w:tcPr>
          <w:p w14:paraId="6584FF07" w14:textId="77777777" w:rsidR="0012305F" w:rsidRPr="0069215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4" w:type="dxa"/>
            <w:tcBorders>
              <w:top w:val="single" w:sz="4" w:space="0" w:color="auto"/>
              <w:left w:val="nil"/>
              <w:bottom w:val="single" w:sz="4" w:space="0" w:color="auto"/>
              <w:right w:val="nil"/>
            </w:tcBorders>
            <w:shd w:val="clear" w:color="auto" w:fill="auto"/>
            <w:noWrap/>
            <w:vAlign w:val="center"/>
            <w:hideMark/>
          </w:tcPr>
          <w:p w14:paraId="3A38899C"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(1)</w:t>
            </w:r>
          </w:p>
        </w:tc>
        <w:tc>
          <w:tcPr>
            <w:tcW w:w="1164" w:type="dxa"/>
            <w:tcBorders>
              <w:top w:val="single" w:sz="4" w:space="0" w:color="auto"/>
              <w:left w:val="nil"/>
              <w:bottom w:val="single" w:sz="4" w:space="0" w:color="auto"/>
              <w:right w:val="nil"/>
            </w:tcBorders>
            <w:vAlign w:val="center"/>
          </w:tcPr>
          <w:p w14:paraId="2603E5E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(2)</w:t>
            </w:r>
          </w:p>
        </w:tc>
        <w:tc>
          <w:tcPr>
            <w:tcW w:w="1164" w:type="dxa"/>
            <w:tcBorders>
              <w:top w:val="single" w:sz="4" w:space="0" w:color="auto"/>
              <w:left w:val="nil"/>
              <w:bottom w:val="single" w:sz="4" w:space="0" w:color="auto"/>
              <w:right w:val="nil"/>
            </w:tcBorders>
            <w:shd w:val="clear" w:color="auto" w:fill="auto"/>
            <w:noWrap/>
            <w:vAlign w:val="center"/>
          </w:tcPr>
          <w:p w14:paraId="7E97027D"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(3)</w:t>
            </w:r>
          </w:p>
        </w:tc>
        <w:tc>
          <w:tcPr>
            <w:tcW w:w="1164" w:type="dxa"/>
            <w:tcBorders>
              <w:top w:val="single" w:sz="4" w:space="0" w:color="auto"/>
              <w:left w:val="nil"/>
              <w:bottom w:val="single" w:sz="4" w:space="0" w:color="auto"/>
              <w:right w:val="nil"/>
            </w:tcBorders>
            <w:shd w:val="clear" w:color="auto" w:fill="auto"/>
            <w:noWrap/>
            <w:vAlign w:val="center"/>
            <w:hideMark/>
          </w:tcPr>
          <w:p w14:paraId="02476B20"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(4)</w:t>
            </w:r>
          </w:p>
        </w:tc>
      </w:tr>
      <w:tr w:rsidR="0012305F" w:rsidRPr="00692152" w14:paraId="19EC027E" w14:textId="77777777" w:rsidTr="00354437">
        <w:trPr>
          <w:trHeight w:hRule="exact" w:val="271"/>
          <w:jc w:val="center"/>
        </w:trPr>
        <w:tc>
          <w:tcPr>
            <w:tcW w:w="2914" w:type="dxa"/>
            <w:tcBorders>
              <w:top w:val="single" w:sz="4" w:space="0" w:color="auto"/>
              <w:left w:val="nil"/>
              <w:bottom w:val="nil"/>
              <w:right w:val="nil"/>
            </w:tcBorders>
            <w:shd w:val="clear" w:color="auto" w:fill="auto"/>
            <w:noWrap/>
            <w:vAlign w:val="center"/>
            <w:hideMark/>
          </w:tcPr>
          <w:p w14:paraId="6468C552"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692152">
              <w:rPr>
                <w:rFonts w:ascii="Times New Roman" w:eastAsia="Times New Roman" w:hAnsi="Times New Roman" w:cs="Times New Roman"/>
                <w:color w:val="000000"/>
                <w:sz w:val="20"/>
                <w:szCs w:val="20"/>
                <w:lang w:eastAsia="en-NZ"/>
              </w:rPr>
              <w:t>Lag.GrossGini</w:t>
            </w:r>
            <w:proofErr w:type="spellEnd"/>
          </w:p>
        </w:tc>
        <w:tc>
          <w:tcPr>
            <w:tcW w:w="1164" w:type="dxa"/>
            <w:tcBorders>
              <w:top w:val="single" w:sz="4" w:space="0" w:color="auto"/>
              <w:left w:val="nil"/>
              <w:bottom w:val="nil"/>
              <w:right w:val="nil"/>
            </w:tcBorders>
            <w:shd w:val="clear" w:color="auto" w:fill="auto"/>
            <w:noWrap/>
            <w:vAlign w:val="center"/>
            <w:hideMark/>
          </w:tcPr>
          <w:p w14:paraId="2266D42A"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0.6622***</w:t>
            </w:r>
          </w:p>
        </w:tc>
        <w:tc>
          <w:tcPr>
            <w:tcW w:w="1164" w:type="dxa"/>
            <w:tcBorders>
              <w:top w:val="single" w:sz="4" w:space="0" w:color="auto"/>
              <w:left w:val="nil"/>
              <w:bottom w:val="nil"/>
              <w:right w:val="nil"/>
            </w:tcBorders>
            <w:vAlign w:val="center"/>
          </w:tcPr>
          <w:p w14:paraId="5DE623B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0.6750***</w:t>
            </w:r>
          </w:p>
        </w:tc>
        <w:tc>
          <w:tcPr>
            <w:tcW w:w="1164" w:type="dxa"/>
            <w:tcBorders>
              <w:top w:val="single" w:sz="4" w:space="0" w:color="auto"/>
              <w:left w:val="nil"/>
              <w:bottom w:val="nil"/>
              <w:right w:val="nil"/>
            </w:tcBorders>
            <w:shd w:val="clear" w:color="auto" w:fill="auto"/>
            <w:noWrap/>
            <w:vAlign w:val="center"/>
          </w:tcPr>
          <w:p w14:paraId="60F47F10"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0.6417***</w:t>
            </w:r>
          </w:p>
        </w:tc>
        <w:tc>
          <w:tcPr>
            <w:tcW w:w="1164" w:type="dxa"/>
            <w:tcBorders>
              <w:top w:val="single" w:sz="4" w:space="0" w:color="auto"/>
              <w:left w:val="nil"/>
              <w:bottom w:val="nil"/>
              <w:right w:val="nil"/>
            </w:tcBorders>
            <w:shd w:val="clear" w:color="auto" w:fill="auto"/>
            <w:noWrap/>
            <w:vAlign w:val="center"/>
            <w:hideMark/>
          </w:tcPr>
          <w:p w14:paraId="1EBB7E61"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0.6878***</w:t>
            </w:r>
          </w:p>
        </w:tc>
      </w:tr>
      <w:tr w:rsidR="0012305F" w:rsidRPr="00692152" w14:paraId="41E8C726"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0E28588B"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3CD98BE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(0.1103)</w:t>
            </w:r>
          </w:p>
        </w:tc>
        <w:tc>
          <w:tcPr>
            <w:tcW w:w="1164" w:type="dxa"/>
            <w:tcBorders>
              <w:top w:val="nil"/>
              <w:left w:val="nil"/>
              <w:bottom w:val="nil"/>
              <w:right w:val="nil"/>
            </w:tcBorders>
            <w:vAlign w:val="center"/>
          </w:tcPr>
          <w:p w14:paraId="00D85092"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(0.0976)</w:t>
            </w:r>
          </w:p>
        </w:tc>
        <w:tc>
          <w:tcPr>
            <w:tcW w:w="1164" w:type="dxa"/>
            <w:tcBorders>
              <w:top w:val="nil"/>
              <w:left w:val="nil"/>
              <w:bottom w:val="nil"/>
              <w:right w:val="nil"/>
            </w:tcBorders>
            <w:shd w:val="clear" w:color="auto" w:fill="auto"/>
            <w:noWrap/>
            <w:vAlign w:val="center"/>
          </w:tcPr>
          <w:p w14:paraId="0597A0FF"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(0.1009)</w:t>
            </w:r>
          </w:p>
        </w:tc>
        <w:tc>
          <w:tcPr>
            <w:tcW w:w="1164" w:type="dxa"/>
            <w:tcBorders>
              <w:top w:val="nil"/>
              <w:left w:val="nil"/>
              <w:bottom w:val="nil"/>
              <w:right w:val="nil"/>
            </w:tcBorders>
            <w:shd w:val="clear" w:color="auto" w:fill="auto"/>
            <w:noWrap/>
            <w:vAlign w:val="center"/>
            <w:hideMark/>
          </w:tcPr>
          <w:p w14:paraId="250813B5"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(0.0703)</w:t>
            </w:r>
          </w:p>
        </w:tc>
      </w:tr>
      <w:tr w:rsidR="0012305F" w:rsidRPr="00692152" w14:paraId="450B95C8"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1A2CE6CB"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692152">
              <w:rPr>
                <w:rFonts w:ascii="Times New Roman" w:eastAsia="Times New Roman" w:hAnsi="Times New Roman" w:cs="Times New Roman"/>
                <w:color w:val="000000"/>
                <w:sz w:val="20"/>
                <w:szCs w:val="20"/>
                <w:lang w:eastAsia="en-NZ"/>
              </w:rPr>
              <w:t>PrivateCredit</w:t>
            </w:r>
            <w:proofErr w:type="spellEnd"/>
          </w:p>
        </w:tc>
        <w:tc>
          <w:tcPr>
            <w:tcW w:w="1164" w:type="dxa"/>
            <w:tcBorders>
              <w:top w:val="nil"/>
              <w:left w:val="nil"/>
              <w:bottom w:val="nil"/>
              <w:right w:val="nil"/>
            </w:tcBorders>
            <w:shd w:val="clear" w:color="auto" w:fill="auto"/>
            <w:noWrap/>
            <w:vAlign w:val="center"/>
            <w:hideMark/>
          </w:tcPr>
          <w:p w14:paraId="479EBDC8"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0.0149**</w:t>
            </w:r>
          </w:p>
        </w:tc>
        <w:tc>
          <w:tcPr>
            <w:tcW w:w="1164" w:type="dxa"/>
            <w:tcBorders>
              <w:top w:val="nil"/>
              <w:left w:val="nil"/>
              <w:bottom w:val="nil"/>
              <w:right w:val="nil"/>
            </w:tcBorders>
            <w:vAlign w:val="center"/>
          </w:tcPr>
          <w:p w14:paraId="2FE378CD"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449E0D77"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0.0095**</w:t>
            </w:r>
          </w:p>
        </w:tc>
        <w:tc>
          <w:tcPr>
            <w:tcW w:w="1164" w:type="dxa"/>
            <w:tcBorders>
              <w:top w:val="nil"/>
              <w:left w:val="nil"/>
              <w:bottom w:val="nil"/>
              <w:right w:val="nil"/>
            </w:tcBorders>
            <w:shd w:val="clear" w:color="auto" w:fill="auto"/>
            <w:noWrap/>
            <w:vAlign w:val="center"/>
            <w:hideMark/>
          </w:tcPr>
          <w:p w14:paraId="7E776285" w14:textId="77777777" w:rsidR="0012305F" w:rsidRPr="00692152" w:rsidRDefault="0012305F" w:rsidP="00354437">
            <w:pPr>
              <w:spacing w:after="0" w:line="240" w:lineRule="auto"/>
              <w:ind w:firstLine="0"/>
              <w:jc w:val="left"/>
              <w:rPr>
                <w:rFonts w:ascii="Times New Roman" w:eastAsia="Times New Roman" w:hAnsi="Times New Roman" w:cs="Times New Roman"/>
                <w:sz w:val="20"/>
                <w:szCs w:val="20"/>
                <w:lang w:eastAsia="en-NZ"/>
              </w:rPr>
            </w:pPr>
          </w:p>
        </w:tc>
      </w:tr>
      <w:tr w:rsidR="0012305F" w:rsidRPr="00692152" w14:paraId="4B514893"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687DF118" w14:textId="77777777" w:rsidR="0012305F" w:rsidRPr="0069215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4" w:type="dxa"/>
            <w:tcBorders>
              <w:top w:val="nil"/>
              <w:left w:val="nil"/>
              <w:bottom w:val="nil"/>
              <w:right w:val="nil"/>
            </w:tcBorders>
            <w:shd w:val="clear" w:color="auto" w:fill="auto"/>
            <w:noWrap/>
            <w:vAlign w:val="center"/>
            <w:hideMark/>
          </w:tcPr>
          <w:p w14:paraId="429724F2"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(0.0059)</w:t>
            </w:r>
          </w:p>
        </w:tc>
        <w:tc>
          <w:tcPr>
            <w:tcW w:w="1164" w:type="dxa"/>
            <w:tcBorders>
              <w:top w:val="nil"/>
              <w:left w:val="nil"/>
              <w:bottom w:val="nil"/>
              <w:right w:val="nil"/>
            </w:tcBorders>
            <w:vAlign w:val="center"/>
          </w:tcPr>
          <w:p w14:paraId="3B714217"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03012E99"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(0.0043)</w:t>
            </w:r>
          </w:p>
        </w:tc>
        <w:tc>
          <w:tcPr>
            <w:tcW w:w="1164" w:type="dxa"/>
            <w:tcBorders>
              <w:top w:val="nil"/>
              <w:left w:val="nil"/>
              <w:bottom w:val="nil"/>
              <w:right w:val="nil"/>
            </w:tcBorders>
            <w:shd w:val="clear" w:color="auto" w:fill="auto"/>
            <w:noWrap/>
            <w:vAlign w:val="center"/>
            <w:hideMark/>
          </w:tcPr>
          <w:p w14:paraId="5F654692" w14:textId="77777777" w:rsidR="0012305F" w:rsidRPr="00692152" w:rsidRDefault="0012305F" w:rsidP="00354437">
            <w:pPr>
              <w:spacing w:after="0" w:line="240" w:lineRule="auto"/>
              <w:ind w:firstLine="0"/>
              <w:jc w:val="left"/>
              <w:rPr>
                <w:rFonts w:ascii="Times New Roman" w:eastAsia="Times New Roman" w:hAnsi="Times New Roman" w:cs="Times New Roman"/>
                <w:sz w:val="20"/>
                <w:szCs w:val="20"/>
                <w:lang w:eastAsia="en-NZ"/>
              </w:rPr>
            </w:pPr>
          </w:p>
        </w:tc>
      </w:tr>
      <w:tr w:rsidR="0012305F" w:rsidRPr="00692152" w14:paraId="363A0C21"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085A11B6"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692152">
              <w:rPr>
                <w:rFonts w:ascii="Times New Roman" w:eastAsia="Times New Roman" w:hAnsi="Times New Roman" w:cs="Times New Roman"/>
                <w:color w:val="000000"/>
                <w:sz w:val="20"/>
                <w:szCs w:val="20"/>
                <w:lang w:eastAsia="en-NZ"/>
              </w:rPr>
              <w:t>LiquidLiabilities</w:t>
            </w:r>
            <w:proofErr w:type="spellEnd"/>
          </w:p>
        </w:tc>
        <w:tc>
          <w:tcPr>
            <w:tcW w:w="1164" w:type="dxa"/>
            <w:tcBorders>
              <w:top w:val="nil"/>
              <w:left w:val="nil"/>
              <w:bottom w:val="nil"/>
              <w:right w:val="nil"/>
            </w:tcBorders>
            <w:shd w:val="clear" w:color="auto" w:fill="auto"/>
            <w:noWrap/>
            <w:vAlign w:val="center"/>
            <w:hideMark/>
          </w:tcPr>
          <w:p w14:paraId="02663296"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vAlign w:val="center"/>
          </w:tcPr>
          <w:p w14:paraId="25AF523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0.0313**</w:t>
            </w:r>
          </w:p>
        </w:tc>
        <w:tc>
          <w:tcPr>
            <w:tcW w:w="1164" w:type="dxa"/>
            <w:tcBorders>
              <w:top w:val="nil"/>
              <w:left w:val="nil"/>
              <w:bottom w:val="nil"/>
              <w:right w:val="nil"/>
            </w:tcBorders>
            <w:shd w:val="clear" w:color="auto" w:fill="auto"/>
            <w:noWrap/>
            <w:vAlign w:val="center"/>
          </w:tcPr>
          <w:p w14:paraId="51F140BA"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2F4CF404"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0.0618***</w:t>
            </w:r>
          </w:p>
        </w:tc>
      </w:tr>
      <w:tr w:rsidR="0012305F" w:rsidRPr="00692152" w14:paraId="5395D172"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6BF01D2F"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759C940C" w14:textId="77777777" w:rsidR="0012305F" w:rsidRPr="0069215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4" w:type="dxa"/>
            <w:tcBorders>
              <w:top w:val="nil"/>
              <w:left w:val="nil"/>
              <w:bottom w:val="nil"/>
              <w:right w:val="nil"/>
            </w:tcBorders>
            <w:vAlign w:val="center"/>
          </w:tcPr>
          <w:p w14:paraId="12E899DB"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(0.0141)</w:t>
            </w:r>
          </w:p>
        </w:tc>
        <w:tc>
          <w:tcPr>
            <w:tcW w:w="1164" w:type="dxa"/>
            <w:tcBorders>
              <w:top w:val="nil"/>
              <w:left w:val="nil"/>
              <w:bottom w:val="nil"/>
              <w:right w:val="nil"/>
            </w:tcBorders>
            <w:shd w:val="clear" w:color="auto" w:fill="auto"/>
            <w:noWrap/>
            <w:vAlign w:val="center"/>
          </w:tcPr>
          <w:p w14:paraId="00632607"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76B6883F"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(-0.023)</w:t>
            </w:r>
          </w:p>
        </w:tc>
      </w:tr>
      <w:tr w:rsidR="0012305F" w:rsidRPr="00692152" w14:paraId="3D9ECCAE"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3590F4AE"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FO</w:t>
            </w:r>
          </w:p>
        </w:tc>
        <w:tc>
          <w:tcPr>
            <w:tcW w:w="1164" w:type="dxa"/>
            <w:tcBorders>
              <w:top w:val="nil"/>
              <w:left w:val="nil"/>
              <w:bottom w:val="nil"/>
              <w:right w:val="nil"/>
            </w:tcBorders>
            <w:shd w:val="clear" w:color="auto" w:fill="auto"/>
            <w:noWrap/>
            <w:vAlign w:val="center"/>
            <w:hideMark/>
          </w:tcPr>
          <w:p w14:paraId="15079121"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0.0058</w:t>
            </w:r>
          </w:p>
        </w:tc>
        <w:tc>
          <w:tcPr>
            <w:tcW w:w="1164" w:type="dxa"/>
            <w:tcBorders>
              <w:top w:val="nil"/>
              <w:left w:val="nil"/>
              <w:bottom w:val="nil"/>
              <w:right w:val="nil"/>
            </w:tcBorders>
            <w:vAlign w:val="center"/>
          </w:tcPr>
          <w:p w14:paraId="5E57514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-0.0012</w:t>
            </w:r>
          </w:p>
        </w:tc>
        <w:tc>
          <w:tcPr>
            <w:tcW w:w="1164" w:type="dxa"/>
            <w:tcBorders>
              <w:top w:val="nil"/>
              <w:left w:val="nil"/>
              <w:bottom w:val="nil"/>
              <w:right w:val="nil"/>
            </w:tcBorders>
            <w:shd w:val="clear" w:color="auto" w:fill="auto"/>
            <w:noWrap/>
            <w:vAlign w:val="center"/>
          </w:tcPr>
          <w:p w14:paraId="56D572F8"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0.0111</w:t>
            </w:r>
          </w:p>
        </w:tc>
        <w:tc>
          <w:tcPr>
            <w:tcW w:w="1164" w:type="dxa"/>
            <w:tcBorders>
              <w:top w:val="nil"/>
              <w:left w:val="nil"/>
              <w:bottom w:val="nil"/>
              <w:right w:val="nil"/>
            </w:tcBorders>
            <w:shd w:val="clear" w:color="auto" w:fill="auto"/>
            <w:noWrap/>
            <w:vAlign w:val="center"/>
            <w:hideMark/>
          </w:tcPr>
          <w:p w14:paraId="55A8890E"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-0.0444*</w:t>
            </w:r>
          </w:p>
        </w:tc>
      </w:tr>
      <w:tr w:rsidR="0012305F" w:rsidRPr="00692152" w14:paraId="3D58792D"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101F0CF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124082AC"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(0.0161)</w:t>
            </w:r>
          </w:p>
        </w:tc>
        <w:tc>
          <w:tcPr>
            <w:tcW w:w="1164" w:type="dxa"/>
            <w:tcBorders>
              <w:top w:val="nil"/>
              <w:left w:val="nil"/>
              <w:bottom w:val="nil"/>
              <w:right w:val="nil"/>
            </w:tcBorders>
            <w:vAlign w:val="center"/>
          </w:tcPr>
          <w:p w14:paraId="4FE1C365"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(0.0134)</w:t>
            </w:r>
          </w:p>
        </w:tc>
        <w:tc>
          <w:tcPr>
            <w:tcW w:w="1164" w:type="dxa"/>
            <w:tcBorders>
              <w:top w:val="nil"/>
              <w:left w:val="nil"/>
              <w:bottom w:val="nil"/>
              <w:right w:val="nil"/>
            </w:tcBorders>
            <w:shd w:val="clear" w:color="auto" w:fill="auto"/>
            <w:noWrap/>
            <w:vAlign w:val="center"/>
          </w:tcPr>
          <w:p w14:paraId="2311DB66"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(0.0196)</w:t>
            </w:r>
          </w:p>
        </w:tc>
        <w:tc>
          <w:tcPr>
            <w:tcW w:w="1164" w:type="dxa"/>
            <w:tcBorders>
              <w:top w:val="nil"/>
              <w:left w:val="nil"/>
              <w:bottom w:val="nil"/>
              <w:right w:val="nil"/>
            </w:tcBorders>
            <w:shd w:val="clear" w:color="auto" w:fill="auto"/>
            <w:noWrap/>
            <w:vAlign w:val="center"/>
            <w:hideMark/>
          </w:tcPr>
          <w:p w14:paraId="7F1AAC7F"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(0.0239)</w:t>
            </w:r>
          </w:p>
        </w:tc>
      </w:tr>
      <w:tr w:rsidR="0012305F" w:rsidRPr="00692152" w14:paraId="17EA538B"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062D82B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TO</w:t>
            </w:r>
          </w:p>
        </w:tc>
        <w:tc>
          <w:tcPr>
            <w:tcW w:w="1164" w:type="dxa"/>
            <w:tcBorders>
              <w:top w:val="nil"/>
              <w:left w:val="nil"/>
              <w:bottom w:val="nil"/>
              <w:right w:val="nil"/>
            </w:tcBorders>
            <w:shd w:val="clear" w:color="auto" w:fill="auto"/>
            <w:noWrap/>
            <w:vAlign w:val="center"/>
            <w:hideMark/>
          </w:tcPr>
          <w:p w14:paraId="1AFBCE38"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0.0192</w:t>
            </w:r>
          </w:p>
        </w:tc>
        <w:tc>
          <w:tcPr>
            <w:tcW w:w="1164" w:type="dxa"/>
            <w:tcBorders>
              <w:top w:val="nil"/>
              <w:left w:val="nil"/>
              <w:bottom w:val="nil"/>
              <w:right w:val="nil"/>
            </w:tcBorders>
            <w:vAlign w:val="center"/>
          </w:tcPr>
          <w:p w14:paraId="4922EEDE"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0.0239</w:t>
            </w:r>
          </w:p>
        </w:tc>
        <w:tc>
          <w:tcPr>
            <w:tcW w:w="1164" w:type="dxa"/>
            <w:tcBorders>
              <w:top w:val="nil"/>
              <w:left w:val="nil"/>
              <w:bottom w:val="nil"/>
              <w:right w:val="nil"/>
            </w:tcBorders>
            <w:shd w:val="clear" w:color="auto" w:fill="auto"/>
            <w:noWrap/>
            <w:vAlign w:val="center"/>
          </w:tcPr>
          <w:p w14:paraId="5C32A126"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0.0302</w:t>
            </w:r>
          </w:p>
        </w:tc>
        <w:tc>
          <w:tcPr>
            <w:tcW w:w="1164" w:type="dxa"/>
            <w:tcBorders>
              <w:top w:val="nil"/>
              <w:left w:val="nil"/>
              <w:bottom w:val="nil"/>
              <w:right w:val="nil"/>
            </w:tcBorders>
            <w:shd w:val="clear" w:color="auto" w:fill="auto"/>
            <w:noWrap/>
            <w:vAlign w:val="center"/>
            <w:hideMark/>
          </w:tcPr>
          <w:p w14:paraId="1D5D1B3A"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0.0192</w:t>
            </w:r>
          </w:p>
        </w:tc>
      </w:tr>
      <w:tr w:rsidR="0012305F" w:rsidRPr="00692152" w14:paraId="6EEC52DE"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1393BC50"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25AC011C"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(0.0259)</w:t>
            </w:r>
          </w:p>
        </w:tc>
        <w:tc>
          <w:tcPr>
            <w:tcW w:w="1164" w:type="dxa"/>
            <w:tcBorders>
              <w:top w:val="nil"/>
              <w:left w:val="nil"/>
              <w:bottom w:val="nil"/>
              <w:right w:val="nil"/>
            </w:tcBorders>
            <w:vAlign w:val="center"/>
          </w:tcPr>
          <w:p w14:paraId="52B363EA"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(0.0244)</w:t>
            </w:r>
          </w:p>
        </w:tc>
        <w:tc>
          <w:tcPr>
            <w:tcW w:w="1164" w:type="dxa"/>
            <w:tcBorders>
              <w:top w:val="nil"/>
              <w:left w:val="nil"/>
              <w:bottom w:val="nil"/>
              <w:right w:val="nil"/>
            </w:tcBorders>
            <w:shd w:val="clear" w:color="auto" w:fill="auto"/>
            <w:noWrap/>
            <w:vAlign w:val="center"/>
          </w:tcPr>
          <w:p w14:paraId="470CF28E"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(0.0270)</w:t>
            </w:r>
          </w:p>
        </w:tc>
        <w:tc>
          <w:tcPr>
            <w:tcW w:w="1164" w:type="dxa"/>
            <w:tcBorders>
              <w:top w:val="nil"/>
              <w:left w:val="nil"/>
              <w:bottom w:val="nil"/>
              <w:right w:val="nil"/>
            </w:tcBorders>
            <w:shd w:val="clear" w:color="auto" w:fill="auto"/>
            <w:noWrap/>
            <w:vAlign w:val="center"/>
            <w:hideMark/>
          </w:tcPr>
          <w:p w14:paraId="56C216AA"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(0.0264)</w:t>
            </w:r>
          </w:p>
        </w:tc>
      </w:tr>
      <w:tr w:rsidR="0012305F" w:rsidRPr="00692152" w14:paraId="09FE3A77"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7B340A0D"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Growth</w:t>
            </w:r>
          </w:p>
        </w:tc>
        <w:tc>
          <w:tcPr>
            <w:tcW w:w="1164" w:type="dxa"/>
            <w:tcBorders>
              <w:top w:val="nil"/>
              <w:left w:val="nil"/>
              <w:bottom w:val="nil"/>
              <w:right w:val="nil"/>
            </w:tcBorders>
            <w:shd w:val="clear" w:color="auto" w:fill="auto"/>
            <w:noWrap/>
            <w:vAlign w:val="center"/>
            <w:hideMark/>
          </w:tcPr>
          <w:p w14:paraId="16729B39"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-0.0628</w:t>
            </w:r>
          </w:p>
        </w:tc>
        <w:tc>
          <w:tcPr>
            <w:tcW w:w="1164" w:type="dxa"/>
            <w:tcBorders>
              <w:top w:val="nil"/>
              <w:left w:val="nil"/>
              <w:bottom w:val="nil"/>
              <w:right w:val="nil"/>
            </w:tcBorders>
            <w:vAlign w:val="center"/>
          </w:tcPr>
          <w:p w14:paraId="45B98EFB"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-0.0968</w:t>
            </w:r>
          </w:p>
        </w:tc>
        <w:tc>
          <w:tcPr>
            <w:tcW w:w="1164" w:type="dxa"/>
            <w:tcBorders>
              <w:top w:val="nil"/>
              <w:left w:val="nil"/>
              <w:bottom w:val="nil"/>
              <w:right w:val="nil"/>
            </w:tcBorders>
            <w:shd w:val="clear" w:color="auto" w:fill="auto"/>
            <w:noWrap/>
            <w:vAlign w:val="center"/>
          </w:tcPr>
          <w:p w14:paraId="7AAF12A4"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-0.0728</w:t>
            </w:r>
          </w:p>
        </w:tc>
        <w:tc>
          <w:tcPr>
            <w:tcW w:w="1164" w:type="dxa"/>
            <w:tcBorders>
              <w:top w:val="nil"/>
              <w:left w:val="nil"/>
              <w:bottom w:val="nil"/>
              <w:right w:val="nil"/>
            </w:tcBorders>
            <w:shd w:val="clear" w:color="auto" w:fill="auto"/>
            <w:noWrap/>
            <w:vAlign w:val="center"/>
            <w:hideMark/>
          </w:tcPr>
          <w:p w14:paraId="296B0727"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-0.1673**</w:t>
            </w:r>
          </w:p>
        </w:tc>
      </w:tr>
      <w:tr w:rsidR="0012305F" w:rsidRPr="00692152" w14:paraId="2BCD6865"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79158BCB"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4AA0DD29"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(0.0619)</w:t>
            </w:r>
          </w:p>
        </w:tc>
        <w:tc>
          <w:tcPr>
            <w:tcW w:w="1164" w:type="dxa"/>
            <w:tcBorders>
              <w:top w:val="nil"/>
              <w:left w:val="nil"/>
              <w:bottom w:val="nil"/>
              <w:right w:val="nil"/>
            </w:tcBorders>
            <w:vAlign w:val="center"/>
          </w:tcPr>
          <w:p w14:paraId="185155D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(-0.062)</w:t>
            </w:r>
          </w:p>
        </w:tc>
        <w:tc>
          <w:tcPr>
            <w:tcW w:w="1164" w:type="dxa"/>
            <w:tcBorders>
              <w:top w:val="nil"/>
              <w:left w:val="nil"/>
              <w:bottom w:val="nil"/>
              <w:right w:val="nil"/>
            </w:tcBorders>
            <w:shd w:val="clear" w:color="auto" w:fill="auto"/>
            <w:noWrap/>
            <w:vAlign w:val="center"/>
          </w:tcPr>
          <w:p w14:paraId="035630A9"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(0.0598)</w:t>
            </w:r>
          </w:p>
        </w:tc>
        <w:tc>
          <w:tcPr>
            <w:tcW w:w="1164" w:type="dxa"/>
            <w:tcBorders>
              <w:top w:val="nil"/>
              <w:left w:val="nil"/>
              <w:bottom w:val="nil"/>
              <w:right w:val="nil"/>
            </w:tcBorders>
            <w:shd w:val="clear" w:color="auto" w:fill="auto"/>
            <w:noWrap/>
            <w:vAlign w:val="center"/>
            <w:hideMark/>
          </w:tcPr>
          <w:p w14:paraId="1C956EEE"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(0.0667)</w:t>
            </w:r>
          </w:p>
        </w:tc>
      </w:tr>
      <w:tr w:rsidR="0012305F" w:rsidRPr="00692152" w14:paraId="22552149"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022AAC8F"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Inf</w:t>
            </w:r>
          </w:p>
        </w:tc>
        <w:tc>
          <w:tcPr>
            <w:tcW w:w="1164" w:type="dxa"/>
            <w:tcBorders>
              <w:top w:val="nil"/>
              <w:left w:val="nil"/>
              <w:bottom w:val="nil"/>
              <w:right w:val="nil"/>
            </w:tcBorders>
            <w:shd w:val="clear" w:color="auto" w:fill="auto"/>
            <w:noWrap/>
            <w:vAlign w:val="center"/>
            <w:hideMark/>
          </w:tcPr>
          <w:p w14:paraId="3A2A9077"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-0.0001</w:t>
            </w:r>
          </w:p>
        </w:tc>
        <w:tc>
          <w:tcPr>
            <w:tcW w:w="1164" w:type="dxa"/>
            <w:tcBorders>
              <w:top w:val="nil"/>
              <w:left w:val="nil"/>
              <w:bottom w:val="nil"/>
              <w:right w:val="nil"/>
            </w:tcBorders>
            <w:vAlign w:val="center"/>
          </w:tcPr>
          <w:p w14:paraId="0DF4E6A6"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-0.0002</w:t>
            </w:r>
          </w:p>
        </w:tc>
        <w:tc>
          <w:tcPr>
            <w:tcW w:w="1164" w:type="dxa"/>
            <w:tcBorders>
              <w:top w:val="nil"/>
              <w:left w:val="nil"/>
              <w:bottom w:val="nil"/>
              <w:right w:val="nil"/>
            </w:tcBorders>
            <w:shd w:val="clear" w:color="auto" w:fill="auto"/>
            <w:noWrap/>
            <w:vAlign w:val="center"/>
          </w:tcPr>
          <w:p w14:paraId="07412861"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-0.0002</w:t>
            </w:r>
          </w:p>
        </w:tc>
        <w:tc>
          <w:tcPr>
            <w:tcW w:w="1164" w:type="dxa"/>
            <w:tcBorders>
              <w:top w:val="nil"/>
              <w:left w:val="nil"/>
              <w:bottom w:val="nil"/>
              <w:right w:val="nil"/>
            </w:tcBorders>
            <w:shd w:val="clear" w:color="auto" w:fill="auto"/>
            <w:noWrap/>
            <w:vAlign w:val="center"/>
            <w:hideMark/>
          </w:tcPr>
          <w:p w14:paraId="69B6BBF2"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-0.0001</w:t>
            </w:r>
          </w:p>
        </w:tc>
      </w:tr>
      <w:tr w:rsidR="0012305F" w:rsidRPr="005F0516" w14:paraId="48F8C16A"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36EAB65A"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65626373"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(0.0002)</w:t>
            </w:r>
          </w:p>
        </w:tc>
        <w:tc>
          <w:tcPr>
            <w:tcW w:w="1164" w:type="dxa"/>
            <w:tcBorders>
              <w:top w:val="nil"/>
              <w:left w:val="nil"/>
              <w:bottom w:val="nil"/>
              <w:right w:val="nil"/>
            </w:tcBorders>
            <w:vAlign w:val="center"/>
          </w:tcPr>
          <w:p w14:paraId="0A8E1AEE"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(0.0002)</w:t>
            </w:r>
          </w:p>
        </w:tc>
        <w:tc>
          <w:tcPr>
            <w:tcW w:w="1164" w:type="dxa"/>
            <w:tcBorders>
              <w:top w:val="nil"/>
              <w:left w:val="nil"/>
              <w:bottom w:val="nil"/>
              <w:right w:val="nil"/>
            </w:tcBorders>
            <w:shd w:val="clear" w:color="auto" w:fill="auto"/>
            <w:noWrap/>
            <w:vAlign w:val="center"/>
          </w:tcPr>
          <w:p w14:paraId="08ABE25F" w14:textId="77777777" w:rsidR="0012305F" w:rsidRPr="0069215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(0.0003)</w:t>
            </w:r>
          </w:p>
        </w:tc>
        <w:tc>
          <w:tcPr>
            <w:tcW w:w="1164" w:type="dxa"/>
            <w:tcBorders>
              <w:top w:val="nil"/>
              <w:left w:val="nil"/>
              <w:bottom w:val="nil"/>
              <w:right w:val="nil"/>
            </w:tcBorders>
            <w:shd w:val="clear" w:color="auto" w:fill="auto"/>
            <w:noWrap/>
            <w:vAlign w:val="center"/>
            <w:hideMark/>
          </w:tcPr>
          <w:p w14:paraId="45181C0C"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692152">
              <w:rPr>
                <w:rFonts w:ascii="Times New Roman" w:eastAsia="Times New Roman" w:hAnsi="Times New Roman" w:cs="Times New Roman"/>
                <w:color w:val="000000"/>
                <w:sz w:val="20"/>
                <w:szCs w:val="20"/>
                <w:lang w:eastAsia="en-NZ"/>
              </w:rPr>
              <w:t>(0.0003)</w:t>
            </w:r>
          </w:p>
        </w:tc>
      </w:tr>
      <w:tr w:rsidR="0012305F" w:rsidRPr="005F0516" w14:paraId="1D3FDCA1"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0A20DD2C"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5F0516">
              <w:rPr>
                <w:rFonts w:ascii="Times New Roman" w:eastAsia="Times New Roman" w:hAnsi="Times New Roman" w:cs="Times New Roman"/>
                <w:color w:val="000000"/>
                <w:sz w:val="20"/>
                <w:szCs w:val="20"/>
                <w:lang w:eastAsia="en-NZ"/>
              </w:rPr>
              <w:t>GovExp</w:t>
            </w:r>
            <w:proofErr w:type="spellEnd"/>
          </w:p>
        </w:tc>
        <w:tc>
          <w:tcPr>
            <w:tcW w:w="1164" w:type="dxa"/>
            <w:tcBorders>
              <w:top w:val="nil"/>
              <w:left w:val="nil"/>
              <w:bottom w:val="nil"/>
              <w:right w:val="nil"/>
            </w:tcBorders>
            <w:shd w:val="clear" w:color="auto" w:fill="auto"/>
            <w:noWrap/>
            <w:vAlign w:val="center"/>
            <w:hideMark/>
          </w:tcPr>
          <w:p w14:paraId="29D1966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-0.005</w:t>
            </w:r>
          </w:p>
        </w:tc>
        <w:tc>
          <w:tcPr>
            <w:tcW w:w="1164" w:type="dxa"/>
            <w:tcBorders>
              <w:top w:val="nil"/>
              <w:left w:val="nil"/>
              <w:bottom w:val="nil"/>
              <w:right w:val="nil"/>
            </w:tcBorders>
            <w:vAlign w:val="center"/>
          </w:tcPr>
          <w:p w14:paraId="6884012D"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-0.0135</w:t>
            </w:r>
          </w:p>
        </w:tc>
        <w:tc>
          <w:tcPr>
            <w:tcW w:w="1164" w:type="dxa"/>
            <w:tcBorders>
              <w:top w:val="nil"/>
              <w:left w:val="nil"/>
              <w:bottom w:val="nil"/>
              <w:right w:val="nil"/>
            </w:tcBorders>
            <w:shd w:val="clear" w:color="auto" w:fill="auto"/>
            <w:noWrap/>
            <w:vAlign w:val="center"/>
          </w:tcPr>
          <w:p w14:paraId="2B2DFCAE"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-0.007</w:t>
            </w:r>
          </w:p>
        </w:tc>
        <w:tc>
          <w:tcPr>
            <w:tcW w:w="1164" w:type="dxa"/>
            <w:tcBorders>
              <w:top w:val="nil"/>
              <w:left w:val="nil"/>
              <w:bottom w:val="nil"/>
              <w:right w:val="nil"/>
            </w:tcBorders>
            <w:shd w:val="clear" w:color="auto" w:fill="auto"/>
            <w:noWrap/>
            <w:vAlign w:val="center"/>
            <w:hideMark/>
          </w:tcPr>
          <w:p w14:paraId="1E43772E"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-0.0302**</w:t>
            </w:r>
          </w:p>
        </w:tc>
      </w:tr>
      <w:tr w:rsidR="0012305F" w:rsidRPr="005F0516" w14:paraId="6ECC3B64"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35FFD9D1"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3353EBC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(0.0116)</w:t>
            </w:r>
          </w:p>
        </w:tc>
        <w:tc>
          <w:tcPr>
            <w:tcW w:w="1164" w:type="dxa"/>
            <w:tcBorders>
              <w:top w:val="nil"/>
              <w:left w:val="nil"/>
              <w:bottom w:val="nil"/>
              <w:right w:val="nil"/>
            </w:tcBorders>
            <w:vAlign w:val="center"/>
          </w:tcPr>
          <w:p w14:paraId="35895516"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(0.0111)</w:t>
            </w:r>
          </w:p>
        </w:tc>
        <w:tc>
          <w:tcPr>
            <w:tcW w:w="1164" w:type="dxa"/>
            <w:tcBorders>
              <w:top w:val="nil"/>
              <w:left w:val="nil"/>
              <w:bottom w:val="nil"/>
              <w:right w:val="nil"/>
            </w:tcBorders>
            <w:shd w:val="clear" w:color="auto" w:fill="auto"/>
            <w:noWrap/>
            <w:vAlign w:val="center"/>
          </w:tcPr>
          <w:p w14:paraId="70920960"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(0.0118)</w:t>
            </w:r>
          </w:p>
        </w:tc>
        <w:tc>
          <w:tcPr>
            <w:tcW w:w="1164" w:type="dxa"/>
            <w:tcBorders>
              <w:top w:val="nil"/>
              <w:left w:val="nil"/>
              <w:bottom w:val="nil"/>
              <w:right w:val="nil"/>
            </w:tcBorders>
            <w:shd w:val="clear" w:color="auto" w:fill="auto"/>
            <w:noWrap/>
            <w:vAlign w:val="center"/>
            <w:hideMark/>
          </w:tcPr>
          <w:p w14:paraId="2D7EA6A8"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(0.0141)</w:t>
            </w:r>
          </w:p>
        </w:tc>
      </w:tr>
      <w:tr w:rsidR="0012305F" w:rsidRPr="005F0516" w14:paraId="6449FC3E"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2C0F6CA8"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Pop</w:t>
            </w:r>
          </w:p>
        </w:tc>
        <w:tc>
          <w:tcPr>
            <w:tcW w:w="1164" w:type="dxa"/>
            <w:tcBorders>
              <w:top w:val="nil"/>
              <w:left w:val="nil"/>
              <w:bottom w:val="nil"/>
              <w:right w:val="nil"/>
            </w:tcBorders>
            <w:shd w:val="clear" w:color="auto" w:fill="auto"/>
            <w:noWrap/>
            <w:vAlign w:val="center"/>
            <w:hideMark/>
          </w:tcPr>
          <w:p w14:paraId="66C8304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vAlign w:val="center"/>
          </w:tcPr>
          <w:p w14:paraId="28F156C2"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4D9A1C14"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0.0319</w:t>
            </w:r>
          </w:p>
        </w:tc>
        <w:tc>
          <w:tcPr>
            <w:tcW w:w="1164" w:type="dxa"/>
            <w:tcBorders>
              <w:top w:val="nil"/>
              <w:left w:val="nil"/>
              <w:bottom w:val="nil"/>
              <w:right w:val="nil"/>
            </w:tcBorders>
            <w:shd w:val="clear" w:color="auto" w:fill="auto"/>
            <w:noWrap/>
            <w:vAlign w:val="center"/>
            <w:hideMark/>
          </w:tcPr>
          <w:p w14:paraId="2C340FAC"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-0.0553</w:t>
            </w:r>
          </w:p>
        </w:tc>
      </w:tr>
      <w:tr w:rsidR="0012305F" w:rsidRPr="005F0516" w14:paraId="3FEA2BC7"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055ED0A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hideMark/>
          </w:tcPr>
          <w:p w14:paraId="217799B8" w14:textId="77777777" w:rsidR="0012305F" w:rsidRPr="005F0516"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4" w:type="dxa"/>
            <w:tcBorders>
              <w:top w:val="nil"/>
              <w:left w:val="nil"/>
              <w:bottom w:val="nil"/>
              <w:right w:val="nil"/>
            </w:tcBorders>
            <w:vAlign w:val="center"/>
          </w:tcPr>
          <w:p w14:paraId="0450F5C6"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30F15CCF"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(0.0597)</w:t>
            </w:r>
          </w:p>
        </w:tc>
        <w:tc>
          <w:tcPr>
            <w:tcW w:w="1164" w:type="dxa"/>
            <w:tcBorders>
              <w:top w:val="nil"/>
              <w:left w:val="nil"/>
              <w:bottom w:val="nil"/>
              <w:right w:val="nil"/>
            </w:tcBorders>
            <w:shd w:val="clear" w:color="auto" w:fill="auto"/>
            <w:noWrap/>
            <w:vAlign w:val="center"/>
            <w:hideMark/>
          </w:tcPr>
          <w:p w14:paraId="36824DA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(0.0618)</w:t>
            </w:r>
          </w:p>
        </w:tc>
      </w:tr>
      <w:tr w:rsidR="0012305F" w:rsidRPr="005F0516" w14:paraId="4679E377"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159E53E7"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5F0516">
              <w:rPr>
                <w:rFonts w:ascii="Times New Roman" w:eastAsia="Times New Roman" w:hAnsi="Times New Roman" w:cs="Times New Roman"/>
                <w:color w:val="000000"/>
                <w:sz w:val="20"/>
                <w:szCs w:val="20"/>
                <w:lang w:eastAsia="en-NZ"/>
              </w:rPr>
              <w:t>LifeExp</w:t>
            </w:r>
            <w:proofErr w:type="spellEnd"/>
          </w:p>
        </w:tc>
        <w:tc>
          <w:tcPr>
            <w:tcW w:w="1164" w:type="dxa"/>
            <w:tcBorders>
              <w:top w:val="nil"/>
              <w:left w:val="nil"/>
              <w:bottom w:val="nil"/>
              <w:right w:val="nil"/>
            </w:tcBorders>
            <w:shd w:val="clear" w:color="auto" w:fill="auto"/>
            <w:noWrap/>
            <w:vAlign w:val="center"/>
            <w:hideMark/>
          </w:tcPr>
          <w:p w14:paraId="760579E4"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vAlign w:val="center"/>
          </w:tcPr>
          <w:p w14:paraId="4B2209C7"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73DDEB23"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-0.0000</w:t>
            </w:r>
          </w:p>
        </w:tc>
        <w:tc>
          <w:tcPr>
            <w:tcW w:w="1164" w:type="dxa"/>
            <w:tcBorders>
              <w:top w:val="nil"/>
              <w:left w:val="nil"/>
              <w:bottom w:val="nil"/>
              <w:right w:val="nil"/>
            </w:tcBorders>
            <w:shd w:val="clear" w:color="auto" w:fill="auto"/>
            <w:noWrap/>
            <w:vAlign w:val="center"/>
            <w:hideMark/>
          </w:tcPr>
          <w:p w14:paraId="2392815F"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-0.001</w:t>
            </w:r>
            <w:r>
              <w:rPr>
                <w:rFonts w:ascii="Times New Roman" w:eastAsia="Times New Roman" w:hAnsi="Times New Roman" w:cs="Times New Roman"/>
                <w:color w:val="000000"/>
                <w:sz w:val="20"/>
                <w:szCs w:val="20"/>
                <w:lang w:eastAsia="en-NZ"/>
              </w:rPr>
              <w:t>0</w:t>
            </w:r>
          </w:p>
        </w:tc>
      </w:tr>
      <w:tr w:rsidR="0012305F" w:rsidRPr="005F0516" w14:paraId="5C07CB4A" w14:textId="77777777" w:rsidTr="00354437">
        <w:trPr>
          <w:trHeight w:hRule="exact" w:val="271"/>
          <w:jc w:val="center"/>
        </w:trPr>
        <w:tc>
          <w:tcPr>
            <w:tcW w:w="2914" w:type="dxa"/>
            <w:tcBorders>
              <w:top w:val="nil"/>
              <w:left w:val="nil"/>
              <w:bottom w:val="nil"/>
              <w:right w:val="nil"/>
            </w:tcBorders>
            <w:shd w:val="clear" w:color="auto" w:fill="auto"/>
            <w:noWrap/>
            <w:vAlign w:val="center"/>
          </w:tcPr>
          <w:p w14:paraId="4D1830C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34145FB8" w14:textId="77777777" w:rsidR="0012305F" w:rsidRPr="005F0516"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4" w:type="dxa"/>
            <w:tcBorders>
              <w:top w:val="nil"/>
              <w:left w:val="nil"/>
              <w:bottom w:val="nil"/>
              <w:right w:val="nil"/>
            </w:tcBorders>
            <w:vAlign w:val="center"/>
          </w:tcPr>
          <w:p w14:paraId="0CA8E160"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45DAD6F3"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(0.0010)</w:t>
            </w:r>
          </w:p>
        </w:tc>
        <w:tc>
          <w:tcPr>
            <w:tcW w:w="1164" w:type="dxa"/>
            <w:tcBorders>
              <w:top w:val="nil"/>
              <w:left w:val="nil"/>
              <w:bottom w:val="nil"/>
              <w:right w:val="nil"/>
            </w:tcBorders>
            <w:shd w:val="clear" w:color="auto" w:fill="auto"/>
            <w:noWrap/>
            <w:vAlign w:val="center"/>
          </w:tcPr>
          <w:p w14:paraId="7774EF28"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(0.0012)</w:t>
            </w:r>
          </w:p>
        </w:tc>
      </w:tr>
      <w:tr w:rsidR="0012305F" w:rsidRPr="005F0516" w14:paraId="275F631F" w14:textId="77777777" w:rsidTr="00354437">
        <w:trPr>
          <w:trHeight w:hRule="exact" w:val="271"/>
          <w:jc w:val="center"/>
        </w:trPr>
        <w:tc>
          <w:tcPr>
            <w:tcW w:w="2914" w:type="dxa"/>
            <w:tcBorders>
              <w:top w:val="nil"/>
              <w:left w:val="nil"/>
              <w:bottom w:val="nil"/>
              <w:right w:val="nil"/>
            </w:tcBorders>
            <w:shd w:val="clear" w:color="auto" w:fill="auto"/>
            <w:noWrap/>
            <w:vAlign w:val="center"/>
          </w:tcPr>
          <w:p w14:paraId="320EB62B"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796F52C1" w14:textId="77777777" w:rsidR="0012305F" w:rsidRPr="005F0516"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4" w:type="dxa"/>
            <w:tcBorders>
              <w:top w:val="nil"/>
              <w:left w:val="nil"/>
              <w:bottom w:val="nil"/>
              <w:right w:val="nil"/>
            </w:tcBorders>
            <w:vAlign w:val="center"/>
          </w:tcPr>
          <w:p w14:paraId="3EC6ACBA"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66DD23B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4CB06D56"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r>
      <w:tr w:rsidR="0012305F" w:rsidRPr="005F0516" w14:paraId="17171B2D" w14:textId="77777777" w:rsidTr="00354437">
        <w:trPr>
          <w:trHeight w:hRule="exact" w:val="271"/>
          <w:jc w:val="center"/>
        </w:trPr>
        <w:tc>
          <w:tcPr>
            <w:tcW w:w="2914" w:type="dxa"/>
            <w:tcBorders>
              <w:top w:val="nil"/>
              <w:left w:val="nil"/>
              <w:bottom w:val="nil"/>
              <w:right w:val="nil"/>
            </w:tcBorders>
            <w:shd w:val="clear" w:color="auto" w:fill="auto"/>
            <w:noWrap/>
            <w:vAlign w:val="center"/>
          </w:tcPr>
          <w:p w14:paraId="116A5ECD"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Country fixed effect</w:t>
            </w:r>
          </w:p>
        </w:tc>
        <w:tc>
          <w:tcPr>
            <w:tcW w:w="1164" w:type="dxa"/>
            <w:tcBorders>
              <w:top w:val="nil"/>
              <w:left w:val="nil"/>
              <w:bottom w:val="nil"/>
              <w:right w:val="nil"/>
            </w:tcBorders>
            <w:shd w:val="clear" w:color="auto" w:fill="auto"/>
            <w:noWrap/>
            <w:vAlign w:val="center"/>
          </w:tcPr>
          <w:p w14:paraId="38C39D57" w14:textId="77777777" w:rsidR="0012305F" w:rsidRPr="005F0516" w:rsidRDefault="0012305F" w:rsidP="00354437">
            <w:pPr>
              <w:spacing w:after="0" w:line="240" w:lineRule="auto"/>
              <w:ind w:firstLine="0"/>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vAlign w:val="center"/>
          </w:tcPr>
          <w:p w14:paraId="4377D54B"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shd w:val="clear" w:color="auto" w:fill="auto"/>
            <w:noWrap/>
            <w:vAlign w:val="center"/>
          </w:tcPr>
          <w:p w14:paraId="673E6B0C"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shd w:val="clear" w:color="auto" w:fill="auto"/>
            <w:noWrap/>
            <w:vAlign w:val="center"/>
          </w:tcPr>
          <w:p w14:paraId="609D8C2A"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r>
      <w:tr w:rsidR="0012305F" w:rsidRPr="005F0516" w14:paraId="7599E410" w14:textId="77777777" w:rsidTr="00354437">
        <w:trPr>
          <w:trHeight w:hRule="exact" w:val="271"/>
          <w:jc w:val="center"/>
        </w:trPr>
        <w:tc>
          <w:tcPr>
            <w:tcW w:w="2914" w:type="dxa"/>
            <w:tcBorders>
              <w:top w:val="nil"/>
              <w:left w:val="nil"/>
              <w:bottom w:val="nil"/>
              <w:right w:val="nil"/>
            </w:tcBorders>
            <w:shd w:val="clear" w:color="auto" w:fill="auto"/>
            <w:noWrap/>
            <w:vAlign w:val="center"/>
          </w:tcPr>
          <w:p w14:paraId="6C7A40BF" w14:textId="77777777" w:rsidR="001230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Time fixed effect</w:t>
            </w:r>
          </w:p>
          <w:p w14:paraId="2912D075"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xml:space="preserve">Robust </w:t>
            </w:r>
          </w:p>
        </w:tc>
        <w:tc>
          <w:tcPr>
            <w:tcW w:w="1164" w:type="dxa"/>
            <w:tcBorders>
              <w:top w:val="nil"/>
              <w:left w:val="nil"/>
              <w:bottom w:val="nil"/>
              <w:right w:val="nil"/>
            </w:tcBorders>
            <w:shd w:val="clear" w:color="auto" w:fill="auto"/>
            <w:noWrap/>
            <w:vAlign w:val="center"/>
          </w:tcPr>
          <w:p w14:paraId="51D3CFBA" w14:textId="77777777" w:rsidR="0012305F" w:rsidRPr="005F0516" w:rsidRDefault="0012305F" w:rsidP="00354437">
            <w:pPr>
              <w:spacing w:after="0" w:line="240" w:lineRule="auto"/>
              <w:ind w:firstLine="0"/>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vAlign w:val="center"/>
          </w:tcPr>
          <w:p w14:paraId="45D4E764"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shd w:val="clear" w:color="auto" w:fill="auto"/>
            <w:noWrap/>
            <w:vAlign w:val="center"/>
          </w:tcPr>
          <w:p w14:paraId="13BDB27C"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shd w:val="clear" w:color="auto" w:fill="auto"/>
            <w:noWrap/>
            <w:vAlign w:val="center"/>
          </w:tcPr>
          <w:p w14:paraId="6F74F9A3"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r>
      <w:tr w:rsidR="0012305F" w:rsidRPr="005F0516" w14:paraId="7837B25D"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2BCF31C6"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Robust Standard Error</w:t>
            </w:r>
          </w:p>
        </w:tc>
        <w:tc>
          <w:tcPr>
            <w:tcW w:w="1164" w:type="dxa"/>
            <w:tcBorders>
              <w:top w:val="nil"/>
              <w:left w:val="nil"/>
              <w:bottom w:val="nil"/>
              <w:right w:val="nil"/>
            </w:tcBorders>
            <w:shd w:val="clear" w:color="auto" w:fill="auto"/>
            <w:noWrap/>
            <w:vAlign w:val="center"/>
            <w:hideMark/>
          </w:tcPr>
          <w:p w14:paraId="46B54B6D" w14:textId="77777777" w:rsidR="0012305F" w:rsidRPr="005F0516" w:rsidRDefault="0012305F" w:rsidP="00354437">
            <w:pPr>
              <w:spacing w:after="0" w:line="240" w:lineRule="auto"/>
              <w:ind w:firstLine="0"/>
              <w:jc w:val="left"/>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vAlign w:val="center"/>
          </w:tcPr>
          <w:p w14:paraId="341B6DEA"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shd w:val="clear" w:color="auto" w:fill="auto"/>
            <w:noWrap/>
            <w:vAlign w:val="center"/>
          </w:tcPr>
          <w:p w14:paraId="1B547144"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c>
          <w:tcPr>
            <w:tcW w:w="1164" w:type="dxa"/>
            <w:tcBorders>
              <w:top w:val="nil"/>
              <w:left w:val="nil"/>
              <w:bottom w:val="nil"/>
              <w:right w:val="nil"/>
            </w:tcBorders>
            <w:shd w:val="clear" w:color="auto" w:fill="auto"/>
            <w:noWrap/>
            <w:vAlign w:val="center"/>
          </w:tcPr>
          <w:p w14:paraId="118A0D94"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sz w:val="20"/>
                <w:szCs w:val="20"/>
                <w:lang w:eastAsia="en-NZ"/>
              </w:rPr>
              <w:t>Yes</w:t>
            </w:r>
          </w:p>
        </w:tc>
      </w:tr>
      <w:tr w:rsidR="0012305F" w:rsidRPr="005F0516" w14:paraId="70E32A08" w14:textId="77777777" w:rsidTr="00354437">
        <w:trPr>
          <w:trHeight w:hRule="exact" w:val="271"/>
          <w:jc w:val="center"/>
        </w:trPr>
        <w:tc>
          <w:tcPr>
            <w:tcW w:w="2914" w:type="dxa"/>
            <w:tcBorders>
              <w:top w:val="nil"/>
              <w:left w:val="nil"/>
              <w:bottom w:val="nil"/>
              <w:right w:val="nil"/>
            </w:tcBorders>
            <w:shd w:val="clear" w:color="auto" w:fill="auto"/>
            <w:noWrap/>
            <w:vAlign w:val="center"/>
          </w:tcPr>
          <w:p w14:paraId="0BC2A48E"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452F9E59" w14:textId="77777777" w:rsidR="0012305F" w:rsidRPr="005F0516"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4" w:type="dxa"/>
            <w:tcBorders>
              <w:top w:val="nil"/>
              <w:left w:val="nil"/>
              <w:bottom w:val="nil"/>
              <w:right w:val="nil"/>
            </w:tcBorders>
            <w:vAlign w:val="center"/>
          </w:tcPr>
          <w:p w14:paraId="4EDA901A"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31D71222"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4" w:type="dxa"/>
            <w:tcBorders>
              <w:top w:val="nil"/>
              <w:left w:val="nil"/>
              <w:bottom w:val="nil"/>
              <w:right w:val="nil"/>
            </w:tcBorders>
            <w:shd w:val="clear" w:color="auto" w:fill="auto"/>
            <w:noWrap/>
            <w:vAlign w:val="center"/>
          </w:tcPr>
          <w:p w14:paraId="22DF7047"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r>
      <w:tr w:rsidR="0012305F" w:rsidRPr="005F0516" w14:paraId="0D9DC465"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55D077BB"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Observation</w:t>
            </w:r>
          </w:p>
        </w:tc>
        <w:tc>
          <w:tcPr>
            <w:tcW w:w="1164" w:type="dxa"/>
            <w:tcBorders>
              <w:top w:val="nil"/>
              <w:left w:val="nil"/>
              <w:bottom w:val="nil"/>
              <w:right w:val="nil"/>
            </w:tcBorders>
            <w:shd w:val="clear" w:color="auto" w:fill="auto"/>
            <w:noWrap/>
            <w:vAlign w:val="center"/>
            <w:hideMark/>
          </w:tcPr>
          <w:p w14:paraId="398E2078"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426</w:t>
            </w:r>
          </w:p>
        </w:tc>
        <w:tc>
          <w:tcPr>
            <w:tcW w:w="1164" w:type="dxa"/>
            <w:tcBorders>
              <w:top w:val="nil"/>
              <w:left w:val="nil"/>
              <w:bottom w:val="nil"/>
              <w:right w:val="nil"/>
            </w:tcBorders>
            <w:vAlign w:val="center"/>
          </w:tcPr>
          <w:p w14:paraId="1C8065C6"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426</w:t>
            </w:r>
          </w:p>
        </w:tc>
        <w:tc>
          <w:tcPr>
            <w:tcW w:w="1164" w:type="dxa"/>
            <w:tcBorders>
              <w:top w:val="nil"/>
              <w:left w:val="nil"/>
              <w:bottom w:val="nil"/>
              <w:right w:val="nil"/>
            </w:tcBorders>
            <w:shd w:val="clear" w:color="auto" w:fill="auto"/>
            <w:noWrap/>
            <w:vAlign w:val="center"/>
          </w:tcPr>
          <w:p w14:paraId="04CD3007"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426</w:t>
            </w:r>
          </w:p>
        </w:tc>
        <w:tc>
          <w:tcPr>
            <w:tcW w:w="1164" w:type="dxa"/>
            <w:tcBorders>
              <w:top w:val="nil"/>
              <w:left w:val="nil"/>
              <w:bottom w:val="nil"/>
              <w:right w:val="nil"/>
            </w:tcBorders>
            <w:shd w:val="clear" w:color="auto" w:fill="auto"/>
            <w:noWrap/>
            <w:vAlign w:val="center"/>
            <w:hideMark/>
          </w:tcPr>
          <w:p w14:paraId="4EB840E1"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426</w:t>
            </w:r>
          </w:p>
        </w:tc>
      </w:tr>
      <w:tr w:rsidR="0012305F" w:rsidRPr="005F0516" w14:paraId="5FB75E9B"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78840332"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Instrument</w:t>
            </w:r>
          </w:p>
        </w:tc>
        <w:tc>
          <w:tcPr>
            <w:tcW w:w="1164" w:type="dxa"/>
            <w:tcBorders>
              <w:top w:val="nil"/>
              <w:left w:val="nil"/>
              <w:bottom w:val="nil"/>
              <w:right w:val="nil"/>
            </w:tcBorders>
            <w:shd w:val="clear" w:color="auto" w:fill="auto"/>
            <w:noWrap/>
            <w:vAlign w:val="center"/>
            <w:hideMark/>
          </w:tcPr>
          <w:p w14:paraId="7B7B9151"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35</w:t>
            </w:r>
          </w:p>
        </w:tc>
        <w:tc>
          <w:tcPr>
            <w:tcW w:w="1164" w:type="dxa"/>
            <w:tcBorders>
              <w:top w:val="nil"/>
              <w:left w:val="nil"/>
              <w:bottom w:val="nil"/>
              <w:right w:val="nil"/>
            </w:tcBorders>
            <w:vAlign w:val="center"/>
          </w:tcPr>
          <w:p w14:paraId="4E82CFE1"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35</w:t>
            </w:r>
          </w:p>
        </w:tc>
        <w:tc>
          <w:tcPr>
            <w:tcW w:w="1164" w:type="dxa"/>
            <w:tcBorders>
              <w:top w:val="nil"/>
              <w:left w:val="nil"/>
              <w:bottom w:val="nil"/>
              <w:right w:val="nil"/>
            </w:tcBorders>
            <w:shd w:val="clear" w:color="auto" w:fill="auto"/>
            <w:noWrap/>
            <w:vAlign w:val="center"/>
          </w:tcPr>
          <w:p w14:paraId="0B6DC388"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33</w:t>
            </w:r>
          </w:p>
        </w:tc>
        <w:tc>
          <w:tcPr>
            <w:tcW w:w="1164" w:type="dxa"/>
            <w:tcBorders>
              <w:top w:val="nil"/>
              <w:left w:val="nil"/>
              <w:bottom w:val="nil"/>
              <w:right w:val="nil"/>
            </w:tcBorders>
            <w:shd w:val="clear" w:color="auto" w:fill="auto"/>
            <w:noWrap/>
            <w:vAlign w:val="center"/>
            <w:hideMark/>
          </w:tcPr>
          <w:p w14:paraId="0CF2F540"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32</w:t>
            </w:r>
          </w:p>
        </w:tc>
      </w:tr>
      <w:tr w:rsidR="0012305F" w:rsidRPr="005F0516" w14:paraId="2A4FB456"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18B54FA8"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Country</w:t>
            </w:r>
          </w:p>
        </w:tc>
        <w:tc>
          <w:tcPr>
            <w:tcW w:w="1164" w:type="dxa"/>
            <w:tcBorders>
              <w:top w:val="nil"/>
              <w:left w:val="nil"/>
              <w:bottom w:val="nil"/>
              <w:right w:val="nil"/>
            </w:tcBorders>
            <w:shd w:val="clear" w:color="auto" w:fill="auto"/>
            <w:noWrap/>
            <w:vAlign w:val="center"/>
            <w:hideMark/>
          </w:tcPr>
          <w:p w14:paraId="7EBD905B"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71</w:t>
            </w:r>
          </w:p>
        </w:tc>
        <w:tc>
          <w:tcPr>
            <w:tcW w:w="1164" w:type="dxa"/>
            <w:tcBorders>
              <w:top w:val="nil"/>
              <w:left w:val="nil"/>
              <w:bottom w:val="nil"/>
              <w:right w:val="nil"/>
            </w:tcBorders>
            <w:vAlign w:val="center"/>
          </w:tcPr>
          <w:p w14:paraId="4957F954"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71</w:t>
            </w:r>
          </w:p>
        </w:tc>
        <w:tc>
          <w:tcPr>
            <w:tcW w:w="1164" w:type="dxa"/>
            <w:tcBorders>
              <w:top w:val="nil"/>
              <w:left w:val="nil"/>
              <w:bottom w:val="nil"/>
              <w:right w:val="nil"/>
            </w:tcBorders>
            <w:shd w:val="clear" w:color="auto" w:fill="auto"/>
            <w:noWrap/>
            <w:vAlign w:val="center"/>
          </w:tcPr>
          <w:p w14:paraId="4F04F889"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71</w:t>
            </w:r>
          </w:p>
        </w:tc>
        <w:tc>
          <w:tcPr>
            <w:tcW w:w="1164" w:type="dxa"/>
            <w:tcBorders>
              <w:top w:val="nil"/>
              <w:left w:val="nil"/>
              <w:bottom w:val="nil"/>
              <w:right w:val="nil"/>
            </w:tcBorders>
            <w:shd w:val="clear" w:color="auto" w:fill="auto"/>
            <w:noWrap/>
            <w:vAlign w:val="center"/>
            <w:hideMark/>
          </w:tcPr>
          <w:p w14:paraId="0CBF84A0"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71</w:t>
            </w:r>
          </w:p>
        </w:tc>
      </w:tr>
      <w:tr w:rsidR="0012305F" w:rsidRPr="005F0516" w14:paraId="602CADE6"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4EC60249"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Hansen test of over</w:t>
            </w:r>
            <w:r>
              <w:rPr>
                <w:rFonts w:ascii="Times New Roman" w:eastAsia="Times New Roman" w:hAnsi="Times New Roman" w:cs="Times New Roman"/>
                <w:color w:val="000000"/>
                <w:sz w:val="20"/>
                <w:szCs w:val="20"/>
                <w:lang w:eastAsia="en-NZ"/>
              </w:rPr>
              <w:t>-</w:t>
            </w:r>
            <w:r w:rsidRPr="005F0516">
              <w:rPr>
                <w:rFonts w:ascii="Times New Roman" w:eastAsia="Times New Roman" w:hAnsi="Times New Roman" w:cs="Times New Roman"/>
                <w:color w:val="000000"/>
                <w:sz w:val="20"/>
                <w:szCs w:val="20"/>
                <w:lang w:eastAsia="en-NZ"/>
              </w:rPr>
              <w:t>identification</w:t>
            </w:r>
          </w:p>
        </w:tc>
        <w:tc>
          <w:tcPr>
            <w:tcW w:w="1164" w:type="dxa"/>
            <w:tcBorders>
              <w:top w:val="nil"/>
              <w:left w:val="nil"/>
              <w:bottom w:val="nil"/>
              <w:right w:val="nil"/>
            </w:tcBorders>
            <w:shd w:val="clear" w:color="auto" w:fill="auto"/>
            <w:noWrap/>
            <w:vAlign w:val="center"/>
            <w:hideMark/>
          </w:tcPr>
          <w:p w14:paraId="1D528975"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0.1467</w:t>
            </w:r>
          </w:p>
        </w:tc>
        <w:tc>
          <w:tcPr>
            <w:tcW w:w="1164" w:type="dxa"/>
            <w:tcBorders>
              <w:top w:val="nil"/>
              <w:left w:val="nil"/>
              <w:bottom w:val="nil"/>
              <w:right w:val="nil"/>
            </w:tcBorders>
            <w:vAlign w:val="center"/>
          </w:tcPr>
          <w:p w14:paraId="0270064E"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0.1622</w:t>
            </w:r>
          </w:p>
        </w:tc>
        <w:tc>
          <w:tcPr>
            <w:tcW w:w="1164" w:type="dxa"/>
            <w:tcBorders>
              <w:top w:val="nil"/>
              <w:left w:val="nil"/>
              <w:bottom w:val="nil"/>
              <w:right w:val="nil"/>
            </w:tcBorders>
            <w:shd w:val="clear" w:color="auto" w:fill="auto"/>
            <w:noWrap/>
            <w:vAlign w:val="center"/>
          </w:tcPr>
          <w:p w14:paraId="1EAE85AD"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0.1186</w:t>
            </w:r>
          </w:p>
        </w:tc>
        <w:tc>
          <w:tcPr>
            <w:tcW w:w="1164" w:type="dxa"/>
            <w:tcBorders>
              <w:top w:val="nil"/>
              <w:left w:val="nil"/>
              <w:bottom w:val="nil"/>
              <w:right w:val="nil"/>
            </w:tcBorders>
            <w:shd w:val="clear" w:color="auto" w:fill="auto"/>
            <w:noWrap/>
            <w:vAlign w:val="center"/>
            <w:hideMark/>
          </w:tcPr>
          <w:p w14:paraId="284AFF30"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0.5457</w:t>
            </w:r>
          </w:p>
        </w:tc>
      </w:tr>
      <w:tr w:rsidR="0012305F" w:rsidRPr="005F0516" w14:paraId="1544FC69" w14:textId="77777777" w:rsidTr="00354437">
        <w:trPr>
          <w:trHeight w:hRule="exact" w:val="271"/>
          <w:jc w:val="center"/>
        </w:trPr>
        <w:tc>
          <w:tcPr>
            <w:tcW w:w="2914" w:type="dxa"/>
            <w:tcBorders>
              <w:top w:val="nil"/>
              <w:left w:val="nil"/>
              <w:bottom w:val="nil"/>
              <w:right w:val="nil"/>
            </w:tcBorders>
            <w:shd w:val="clear" w:color="auto" w:fill="auto"/>
            <w:noWrap/>
            <w:vAlign w:val="center"/>
            <w:hideMark/>
          </w:tcPr>
          <w:p w14:paraId="2D184C1D"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AR(1)</w:t>
            </w:r>
          </w:p>
        </w:tc>
        <w:tc>
          <w:tcPr>
            <w:tcW w:w="1164" w:type="dxa"/>
            <w:tcBorders>
              <w:top w:val="nil"/>
              <w:left w:val="nil"/>
              <w:bottom w:val="nil"/>
              <w:right w:val="nil"/>
            </w:tcBorders>
            <w:shd w:val="clear" w:color="auto" w:fill="auto"/>
            <w:noWrap/>
            <w:vAlign w:val="center"/>
            <w:hideMark/>
          </w:tcPr>
          <w:p w14:paraId="182CBC2B"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0.5816</w:t>
            </w:r>
          </w:p>
        </w:tc>
        <w:tc>
          <w:tcPr>
            <w:tcW w:w="1164" w:type="dxa"/>
            <w:tcBorders>
              <w:top w:val="nil"/>
              <w:left w:val="nil"/>
              <w:bottom w:val="nil"/>
              <w:right w:val="nil"/>
            </w:tcBorders>
            <w:vAlign w:val="center"/>
          </w:tcPr>
          <w:p w14:paraId="073B89FA"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0.6883</w:t>
            </w:r>
          </w:p>
        </w:tc>
        <w:tc>
          <w:tcPr>
            <w:tcW w:w="1164" w:type="dxa"/>
            <w:tcBorders>
              <w:top w:val="nil"/>
              <w:left w:val="nil"/>
              <w:bottom w:val="nil"/>
              <w:right w:val="nil"/>
            </w:tcBorders>
            <w:shd w:val="clear" w:color="auto" w:fill="auto"/>
            <w:noWrap/>
            <w:vAlign w:val="center"/>
          </w:tcPr>
          <w:p w14:paraId="1228F2D2"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0.6053</w:t>
            </w:r>
          </w:p>
        </w:tc>
        <w:tc>
          <w:tcPr>
            <w:tcW w:w="1164" w:type="dxa"/>
            <w:tcBorders>
              <w:top w:val="nil"/>
              <w:left w:val="nil"/>
              <w:bottom w:val="nil"/>
              <w:right w:val="nil"/>
            </w:tcBorders>
            <w:shd w:val="clear" w:color="auto" w:fill="auto"/>
            <w:noWrap/>
            <w:vAlign w:val="center"/>
            <w:hideMark/>
          </w:tcPr>
          <w:p w14:paraId="47F82234"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0.3453</w:t>
            </w:r>
          </w:p>
        </w:tc>
      </w:tr>
      <w:tr w:rsidR="0012305F" w:rsidRPr="005F0516" w14:paraId="422B93B8" w14:textId="77777777" w:rsidTr="00354437">
        <w:trPr>
          <w:trHeight w:hRule="exact" w:val="271"/>
          <w:jc w:val="center"/>
        </w:trPr>
        <w:tc>
          <w:tcPr>
            <w:tcW w:w="2914" w:type="dxa"/>
            <w:tcBorders>
              <w:top w:val="nil"/>
              <w:left w:val="nil"/>
              <w:bottom w:val="single" w:sz="4" w:space="0" w:color="auto"/>
              <w:right w:val="nil"/>
            </w:tcBorders>
            <w:shd w:val="clear" w:color="auto" w:fill="auto"/>
            <w:noWrap/>
            <w:vAlign w:val="center"/>
            <w:hideMark/>
          </w:tcPr>
          <w:p w14:paraId="1294019E"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AR(2)</w:t>
            </w:r>
          </w:p>
        </w:tc>
        <w:tc>
          <w:tcPr>
            <w:tcW w:w="1164" w:type="dxa"/>
            <w:tcBorders>
              <w:top w:val="nil"/>
              <w:left w:val="nil"/>
              <w:bottom w:val="nil"/>
              <w:right w:val="nil"/>
            </w:tcBorders>
            <w:shd w:val="clear" w:color="auto" w:fill="auto"/>
            <w:noWrap/>
            <w:vAlign w:val="center"/>
            <w:hideMark/>
          </w:tcPr>
          <w:p w14:paraId="530ECA16"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0.1241</w:t>
            </w:r>
          </w:p>
        </w:tc>
        <w:tc>
          <w:tcPr>
            <w:tcW w:w="1164" w:type="dxa"/>
            <w:tcBorders>
              <w:top w:val="nil"/>
              <w:left w:val="nil"/>
              <w:bottom w:val="nil"/>
              <w:right w:val="nil"/>
            </w:tcBorders>
            <w:vAlign w:val="center"/>
          </w:tcPr>
          <w:p w14:paraId="796B96F7"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0.2375</w:t>
            </w:r>
          </w:p>
        </w:tc>
        <w:tc>
          <w:tcPr>
            <w:tcW w:w="1164" w:type="dxa"/>
            <w:tcBorders>
              <w:top w:val="nil"/>
              <w:left w:val="nil"/>
              <w:bottom w:val="nil"/>
              <w:right w:val="nil"/>
            </w:tcBorders>
            <w:shd w:val="clear" w:color="auto" w:fill="auto"/>
            <w:noWrap/>
            <w:vAlign w:val="center"/>
          </w:tcPr>
          <w:p w14:paraId="2F8B6DEE"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0.1287</w:t>
            </w:r>
          </w:p>
        </w:tc>
        <w:tc>
          <w:tcPr>
            <w:tcW w:w="1164" w:type="dxa"/>
            <w:tcBorders>
              <w:top w:val="nil"/>
              <w:left w:val="nil"/>
              <w:bottom w:val="nil"/>
              <w:right w:val="nil"/>
            </w:tcBorders>
            <w:shd w:val="clear" w:color="auto" w:fill="auto"/>
            <w:noWrap/>
            <w:vAlign w:val="center"/>
            <w:hideMark/>
          </w:tcPr>
          <w:p w14:paraId="13050207" w14:textId="77777777" w:rsidR="0012305F" w:rsidRPr="005F051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5F0516">
              <w:rPr>
                <w:rFonts w:ascii="Times New Roman" w:eastAsia="Times New Roman" w:hAnsi="Times New Roman" w:cs="Times New Roman"/>
                <w:color w:val="000000"/>
                <w:sz w:val="20"/>
                <w:szCs w:val="20"/>
                <w:lang w:eastAsia="en-NZ"/>
              </w:rPr>
              <w:t>0.5201</w:t>
            </w:r>
          </w:p>
        </w:tc>
      </w:tr>
      <w:tr w:rsidR="0012305F" w:rsidRPr="005F0516" w14:paraId="42A13C8B" w14:textId="77777777" w:rsidTr="00354437">
        <w:trPr>
          <w:trHeight w:hRule="exact" w:val="1332"/>
          <w:jc w:val="center"/>
        </w:trPr>
        <w:tc>
          <w:tcPr>
            <w:tcW w:w="7571" w:type="dxa"/>
            <w:gridSpan w:val="5"/>
            <w:tcBorders>
              <w:top w:val="nil"/>
              <w:left w:val="nil"/>
              <w:bottom w:val="single" w:sz="4" w:space="0" w:color="auto"/>
              <w:right w:val="nil"/>
            </w:tcBorders>
            <w:shd w:val="clear" w:color="auto" w:fill="auto"/>
            <w:noWrap/>
            <w:vAlign w:val="center"/>
          </w:tcPr>
          <w:p w14:paraId="1CCED722" w14:textId="77777777" w:rsidR="0012305F" w:rsidRPr="004034B7" w:rsidRDefault="0012305F" w:rsidP="00C5618F">
            <w:pPr>
              <w:spacing w:after="0" w:line="240" w:lineRule="auto"/>
              <w:ind w:firstLine="0"/>
              <w:rPr>
                <w:rFonts w:ascii="Times New Roman" w:eastAsia="Times New Roman" w:hAnsi="Times New Roman" w:cs="Times New Roman"/>
                <w:color w:val="000000"/>
                <w:sz w:val="20"/>
                <w:szCs w:val="20"/>
                <w:lang w:eastAsia="en-NZ"/>
              </w:rPr>
            </w:pPr>
            <w:r w:rsidRPr="004034B7">
              <w:rPr>
                <w:rFonts w:ascii="Times New Roman" w:eastAsia="Times New Roman" w:hAnsi="Times New Roman" w:cs="Times New Roman"/>
                <w:color w:val="000000"/>
                <w:sz w:val="20"/>
                <w:szCs w:val="20"/>
                <w:lang w:eastAsia="en-NZ"/>
              </w:rPr>
              <w:t>Notes: Table 3 reports the impact of financial development on income inequality.</w:t>
            </w:r>
          </w:p>
          <w:p w14:paraId="461FEC4C" w14:textId="77777777" w:rsidR="0012305F" w:rsidRPr="004034B7" w:rsidRDefault="0012305F" w:rsidP="00C5618F">
            <w:pPr>
              <w:spacing w:after="0" w:line="240" w:lineRule="auto"/>
              <w:ind w:firstLine="0"/>
              <w:rPr>
                <w:rFonts w:ascii="Times New Roman" w:eastAsia="Times New Roman" w:hAnsi="Times New Roman" w:cs="Times New Roman"/>
                <w:color w:val="000000"/>
                <w:sz w:val="20"/>
                <w:szCs w:val="20"/>
                <w:lang w:eastAsia="en-NZ"/>
              </w:rPr>
            </w:pPr>
            <w:r w:rsidRPr="004034B7">
              <w:rPr>
                <w:rFonts w:ascii="Times New Roman" w:eastAsia="Times New Roman" w:hAnsi="Times New Roman" w:cs="Times New Roman"/>
                <w:color w:val="000000"/>
                <w:sz w:val="20"/>
                <w:szCs w:val="20"/>
                <w:lang w:eastAsia="en-NZ"/>
              </w:rPr>
              <w:t>Each regression includes country and time</w:t>
            </w:r>
            <w:r>
              <w:rPr>
                <w:rFonts w:ascii="Times New Roman" w:eastAsia="Times New Roman" w:hAnsi="Times New Roman" w:cs="Times New Roman"/>
                <w:color w:val="000000"/>
                <w:sz w:val="20"/>
                <w:szCs w:val="20"/>
                <w:lang w:eastAsia="en-NZ"/>
              </w:rPr>
              <w:t>-</w:t>
            </w:r>
            <w:r w:rsidRPr="004034B7">
              <w:rPr>
                <w:rFonts w:ascii="Times New Roman" w:eastAsia="Times New Roman" w:hAnsi="Times New Roman" w:cs="Times New Roman"/>
                <w:color w:val="000000"/>
                <w:sz w:val="20"/>
                <w:szCs w:val="20"/>
                <w:lang w:eastAsia="en-NZ"/>
              </w:rPr>
              <w:t>fixed effects. Robust standard errors clustered at the country level are reported in parentheses.</w:t>
            </w:r>
          </w:p>
          <w:p w14:paraId="51B8FB3F" w14:textId="77777777" w:rsidR="0012305F" w:rsidRPr="004034B7" w:rsidRDefault="0012305F" w:rsidP="00C5618F">
            <w:pPr>
              <w:spacing w:after="0" w:line="240" w:lineRule="auto"/>
              <w:ind w:firstLine="0"/>
              <w:rPr>
                <w:rFonts w:ascii="Times New Roman" w:eastAsia="Times New Roman" w:hAnsi="Times New Roman" w:cs="Times New Roman"/>
                <w:color w:val="000000"/>
                <w:sz w:val="20"/>
                <w:szCs w:val="20"/>
                <w:lang w:eastAsia="en-NZ"/>
              </w:rPr>
            </w:pPr>
            <w:r w:rsidRPr="004034B7">
              <w:rPr>
                <w:rFonts w:ascii="Times New Roman" w:eastAsia="Times New Roman" w:hAnsi="Times New Roman" w:cs="Times New Roman"/>
                <w:color w:val="000000"/>
                <w:sz w:val="20"/>
                <w:szCs w:val="20"/>
                <w:lang w:eastAsia="en-NZ"/>
              </w:rPr>
              <w:t xml:space="preserve">*, **, *** indicate significance at </w:t>
            </w:r>
            <w:r>
              <w:rPr>
                <w:rFonts w:ascii="Times New Roman" w:eastAsia="Times New Roman" w:hAnsi="Times New Roman" w:cs="Times New Roman"/>
                <w:color w:val="000000"/>
                <w:sz w:val="20"/>
                <w:szCs w:val="20"/>
                <w:lang w:eastAsia="en-NZ"/>
              </w:rPr>
              <w:t xml:space="preserve">the </w:t>
            </w:r>
            <w:r w:rsidRPr="004034B7">
              <w:rPr>
                <w:rFonts w:ascii="Times New Roman" w:eastAsia="Times New Roman" w:hAnsi="Times New Roman" w:cs="Times New Roman"/>
                <w:color w:val="000000"/>
                <w:sz w:val="20"/>
                <w:szCs w:val="20"/>
                <w:lang w:eastAsia="en-NZ"/>
              </w:rPr>
              <w:t xml:space="preserve">10%, 5% and 1% </w:t>
            </w:r>
            <w:r>
              <w:rPr>
                <w:rFonts w:ascii="Times New Roman" w:eastAsia="Times New Roman" w:hAnsi="Times New Roman" w:cs="Times New Roman"/>
                <w:color w:val="000000"/>
                <w:sz w:val="20"/>
                <w:szCs w:val="20"/>
                <w:lang w:eastAsia="en-NZ"/>
              </w:rPr>
              <w:t>l</w:t>
            </w:r>
            <w:r w:rsidRPr="004034B7">
              <w:rPr>
                <w:rFonts w:ascii="Times New Roman" w:eastAsia="Times New Roman" w:hAnsi="Times New Roman" w:cs="Times New Roman"/>
                <w:color w:val="000000"/>
                <w:sz w:val="20"/>
                <w:szCs w:val="20"/>
                <w:lang w:eastAsia="en-NZ"/>
              </w:rPr>
              <w:t>evel</w:t>
            </w:r>
            <w:r>
              <w:rPr>
                <w:rFonts w:ascii="Times New Roman" w:eastAsia="Times New Roman" w:hAnsi="Times New Roman" w:cs="Times New Roman"/>
                <w:color w:val="000000"/>
                <w:sz w:val="20"/>
                <w:szCs w:val="20"/>
                <w:lang w:eastAsia="en-NZ"/>
              </w:rPr>
              <w:t>s</w:t>
            </w:r>
            <w:r w:rsidRPr="004034B7">
              <w:rPr>
                <w:rFonts w:ascii="Times New Roman" w:eastAsia="Times New Roman" w:hAnsi="Times New Roman" w:cs="Times New Roman"/>
                <w:color w:val="000000"/>
                <w:sz w:val="20"/>
                <w:szCs w:val="20"/>
                <w:lang w:eastAsia="en-NZ"/>
              </w:rPr>
              <w:t>, respectively.</w:t>
            </w:r>
          </w:p>
          <w:p w14:paraId="408B7F58" w14:textId="77777777" w:rsidR="0012305F" w:rsidRPr="005F0516" w:rsidRDefault="0012305F" w:rsidP="00C5618F">
            <w:pPr>
              <w:spacing w:after="0" w:line="240" w:lineRule="auto"/>
              <w:ind w:firstLine="0"/>
              <w:rPr>
                <w:rFonts w:ascii="Times New Roman" w:eastAsia="Times New Roman" w:hAnsi="Times New Roman" w:cs="Times New Roman"/>
                <w:color w:val="000000"/>
                <w:sz w:val="20"/>
                <w:szCs w:val="20"/>
                <w:lang w:eastAsia="en-NZ"/>
              </w:rPr>
            </w:pPr>
            <w:r w:rsidRPr="004034B7">
              <w:rPr>
                <w:rFonts w:ascii="Times New Roman" w:eastAsia="Times New Roman" w:hAnsi="Times New Roman" w:cs="Times New Roman"/>
                <w:color w:val="000000"/>
                <w:sz w:val="20"/>
                <w:szCs w:val="20"/>
                <w:lang w:eastAsia="en-NZ"/>
              </w:rPr>
              <w:t>All variables are defined in Appendix A</w:t>
            </w:r>
          </w:p>
        </w:tc>
      </w:tr>
    </w:tbl>
    <w:p w14:paraId="3E9C77B7" w14:textId="77777777" w:rsidR="0012305F" w:rsidRDefault="0012305F" w:rsidP="0012305F">
      <w:pPr>
        <w:ind w:firstLine="0"/>
        <w:rPr>
          <w:b/>
          <w:bCs/>
          <w:i/>
          <w:iCs/>
          <w:u w:val="single"/>
        </w:rPr>
      </w:pPr>
    </w:p>
    <w:p w14:paraId="41E9B7A0" w14:textId="77777777" w:rsidR="006B45D8" w:rsidRDefault="006B45D8" w:rsidP="0012305F">
      <w:pPr>
        <w:ind w:firstLine="0"/>
        <w:rPr>
          <w:b/>
          <w:bCs/>
          <w:i/>
          <w:iCs/>
          <w:u w:val="single"/>
        </w:rPr>
      </w:pPr>
    </w:p>
    <w:p w14:paraId="13A96B72" w14:textId="77777777" w:rsidR="0012305F" w:rsidRDefault="0012305F" w:rsidP="0012305F">
      <w:pPr>
        <w:ind w:firstLine="0"/>
      </w:pPr>
      <w:r w:rsidRPr="00E510DF">
        <w:rPr>
          <w:b/>
          <w:bCs/>
          <w:i/>
          <w:iCs/>
          <w:u w:val="single"/>
        </w:rPr>
        <w:lastRenderedPageBreak/>
        <w:t>Financial Openness moderation effect</w:t>
      </w:r>
      <w:r>
        <w:rPr>
          <w:b/>
          <w:bCs/>
          <w:i/>
          <w:iCs/>
          <w:u w:val="single"/>
        </w:rPr>
        <w:t xml:space="preserve">:  </w:t>
      </w:r>
    </w:p>
    <w:p w14:paraId="658B9E39" w14:textId="77777777" w:rsidR="0012305F" w:rsidRDefault="0012305F" w:rsidP="00176DAD">
      <w:pPr>
        <w:ind w:firstLine="0"/>
      </w:pPr>
      <w:r>
        <w:t xml:space="preserve">In order to examine whether financial openness affects the relationship between financial development and income inequality, as suggested by </w:t>
      </w:r>
      <w:r w:rsidRPr="008D255F">
        <w:rPr>
          <w:rFonts w:cstheme="majorBidi"/>
          <w:szCs w:val="24"/>
        </w:rPr>
        <w:fldChar w:fldCharType="begin" w:fldLock="1"/>
      </w:r>
      <w:r w:rsidRPr="008D255F">
        <w:rPr>
          <w:rFonts w:cstheme="majorBidi"/>
          <w:szCs w:val="24"/>
        </w:rPr>
        <w:instrText>ADDIN CSL_CITATION {"citationItems":[{"id":"ITEM-1","itemData":{"DOI":"10.1017/S1365100512000843","ISSN":"1365-1005","abstract":"This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Dynamics","id":"ITEM-1","issue":"5","issued":{"date-parts":[["2014"]]},"page":"1091-1128","publisher":"Cambridge University Press","title":"FINANCE AND INEQUALITY: HOW DOES GLOBALIZATION CHANGE THEIR RELATIONSHIP?","type":"article-journal","volume":"18"},"uris":["http://www.mendeley.com/documents/?uuid=8098cfdc-f149-3010-b8b3-1439aebcb663"]}],"mendeley":{"formattedCitation":"(Kunieda et al., 2014)","manualFormatting":"Kunieda et al. (2014)","plainTextFormattedCitation":"(Kunieda et al., 2014)","previouslyFormattedCitation":"(Kunieda et al., 2014)"},"properties":{"noteIndex":0},"schema":"https://github.com/citation-style-language/schema/raw/master/csl-citation.json"}</w:instrText>
      </w:r>
      <w:r w:rsidRPr="008D255F">
        <w:rPr>
          <w:rFonts w:cstheme="majorBidi"/>
          <w:szCs w:val="24"/>
        </w:rPr>
        <w:fldChar w:fldCharType="separate"/>
      </w:r>
      <w:r w:rsidRPr="008D255F">
        <w:rPr>
          <w:rFonts w:cstheme="majorBidi"/>
          <w:noProof/>
          <w:szCs w:val="24"/>
        </w:rPr>
        <w:t>Kunieda et al. (2014)</w:t>
      </w:r>
      <w:r w:rsidRPr="008D255F">
        <w:rPr>
          <w:rFonts w:cstheme="majorBidi"/>
          <w:szCs w:val="24"/>
        </w:rPr>
        <w:fldChar w:fldCharType="end"/>
      </w:r>
      <w:r w:rsidRPr="008D255F">
        <w:t>, Table 4 presents the result of split-sampling and interaction analysis.  First, we start with split-sampling analysis, and we classify the sample into two groups: countries with strongly low</w:t>
      </w:r>
      <w:r>
        <w:t xml:space="preserve"> </w:t>
      </w:r>
      <w:r w:rsidRPr="008D255F">
        <w:t>level</w:t>
      </w:r>
      <w:r>
        <w:t>s of</w:t>
      </w:r>
      <w:r w:rsidRPr="008D255F">
        <w:t xml:space="preserve"> financial openness (FO &lt; 1</w:t>
      </w:r>
      <w:r w:rsidRPr="008D255F">
        <w:rPr>
          <w:vertAlign w:val="superscript"/>
        </w:rPr>
        <w:t>st</w:t>
      </w:r>
      <w:r w:rsidRPr="008D255F">
        <w:t xml:space="preserve"> Quantile) and Countries with high</w:t>
      </w:r>
      <w:r>
        <w:t xml:space="preserve"> </w:t>
      </w:r>
      <w:r w:rsidRPr="008D255F">
        <w:t>level</w:t>
      </w:r>
      <w:r>
        <w:t>s</w:t>
      </w:r>
      <w:r w:rsidRPr="008D255F">
        <w:t xml:space="preserve"> of financial openness (FO&gt;1</w:t>
      </w:r>
      <w:r w:rsidRPr="008D255F">
        <w:rPr>
          <w:vertAlign w:val="superscript"/>
        </w:rPr>
        <w:t>st</w:t>
      </w:r>
      <w:r w:rsidRPr="008D255F">
        <w:t xml:space="preserve"> Quantile). Then we estimate sub-sample regressions to compare the F</w:t>
      </w:r>
      <w:r>
        <w:t xml:space="preserve">D-II relationship among LFO and HFO Countries.  Columns (1) and (4) present the GMM estimation result for LFO countries. As shown, the coefficient of </w:t>
      </w:r>
      <w:proofErr w:type="spellStart"/>
      <w:r w:rsidRPr="00CC59EC">
        <w:rPr>
          <w:i/>
          <w:iCs/>
        </w:rPr>
        <w:t>PrivateCredit</w:t>
      </w:r>
      <w:proofErr w:type="spellEnd"/>
      <w:r>
        <w:t xml:space="preserve"> and </w:t>
      </w:r>
      <w:proofErr w:type="spellStart"/>
      <w:r w:rsidRPr="00CC59EC">
        <w:rPr>
          <w:i/>
          <w:iCs/>
        </w:rPr>
        <w:t>LiqiuidLiablilities</w:t>
      </w:r>
      <w:proofErr w:type="spellEnd"/>
      <w:r>
        <w:t xml:space="preserve"> is not statistically significant, suggesting that banking development has no significant impact on income inequality in financially closed countries. Next, we examine the FD-income inequality relationship for financially open countries (HFO). As shown in columns (2) and (5) of Table 4, the GMM estimation results for these 53 open countries indicate that the coefﬁcients of </w:t>
      </w:r>
      <w:proofErr w:type="spellStart"/>
      <w:r w:rsidRPr="003E6BB3">
        <w:rPr>
          <w:i/>
          <w:iCs/>
        </w:rPr>
        <w:t>PrivateCredit</w:t>
      </w:r>
      <w:proofErr w:type="spellEnd"/>
      <w:r>
        <w:t xml:space="preserve"> and </w:t>
      </w:r>
      <w:proofErr w:type="spellStart"/>
      <w:r w:rsidRPr="003E6BB3">
        <w:rPr>
          <w:i/>
          <w:iCs/>
        </w:rPr>
        <w:t>LiqiuidLiablilities</w:t>
      </w:r>
      <w:proofErr w:type="spellEnd"/>
      <w:r>
        <w:t xml:space="preserve"> are statistically significant and positive. This result suggests that FD widens income inequality in financially open countries. </w:t>
      </w:r>
    </w:p>
    <w:p w14:paraId="3841D82F" w14:textId="77777777" w:rsidR="0012305F" w:rsidRPr="0060324C" w:rsidRDefault="0012305F" w:rsidP="0012305F">
      <w:pPr>
        <w:rPr>
          <w:rFonts w:cstheme="majorBidi"/>
          <w:szCs w:val="24"/>
        </w:rPr>
      </w:pPr>
      <w:r>
        <w:t>As an alternative to split-sampling, columns 3 and 6</w:t>
      </w:r>
      <w:r w:rsidRPr="0024530C">
        <w:t xml:space="preserve"> </w:t>
      </w:r>
      <w:r>
        <w:t xml:space="preserve">report the estimation result of Eq. 2, in which </w:t>
      </w:r>
      <w:r w:rsidRPr="0024530C">
        <w:t xml:space="preserve">the interaction of </w:t>
      </w:r>
      <w:r>
        <w:t>FD</w:t>
      </w:r>
      <w:r w:rsidRPr="0024530C">
        <w:t xml:space="preserve"> and ﬁnancial openness </w:t>
      </w:r>
      <w:r>
        <w:t xml:space="preserve">is included. </w:t>
      </w:r>
      <w:r w:rsidRPr="00AC5CF9">
        <w:t xml:space="preserve">As shown in </w:t>
      </w:r>
      <w:r>
        <w:t>both c</w:t>
      </w:r>
      <w:r w:rsidRPr="00AC5CF9">
        <w:t>olumn</w:t>
      </w:r>
      <w:r>
        <w:t>s</w:t>
      </w:r>
      <w:r w:rsidRPr="00AC5CF9">
        <w:t xml:space="preserve">, </w:t>
      </w:r>
      <w:r>
        <w:t>FD</w:t>
      </w:r>
      <w:r w:rsidRPr="00AC5CF9">
        <w:t xml:space="preserve"> </w:t>
      </w:r>
      <w:r>
        <w:t xml:space="preserve">and </w:t>
      </w:r>
      <w:r w:rsidRPr="00AC5CF9">
        <w:t xml:space="preserve">its interaction with </w:t>
      </w:r>
      <w:r>
        <w:t>financial openness</w:t>
      </w:r>
      <w:r w:rsidRPr="00AC5CF9">
        <w:t xml:space="preserve"> </w:t>
      </w:r>
      <w:r>
        <w:t>significantly and positively affect</w:t>
      </w:r>
      <w:r w:rsidRPr="00AC5CF9">
        <w:t xml:space="preserve"> income inequality. This finding suggests that financial openness strength</w:t>
      </w:r>
      <w:r>
        <w:t>ens</w:t>
      </w:r>
      <w:r w:rsidRPr="00AC5CF9">
        <w:t xml:space="preserve"> the positive association between banking development and income inequality. </w:t>
      </w:r>
      <w:r>
        <w:t xml:space="preserve">To better analyse the interaction result, </w:t>
      </w:r>
      <w:r w:rsidRPr="0024530C">
        <w:t xml:space="preserve">Fig. 4 shows the marginal impact of </w:t>
      </w:r>
      <w:r>
        <w:t>FD</w:t>
      </w:r>
      <w:r w:rsidRPr="0024530C">
        <w:t xml:space="preserve"> on income inequality for diﬀerent levels of ﬁnancial openness</w:t>
      </w:r>
      <w:r>
        <w:t>,</w:t>
      </w:r>
      <w:r w:rsidRPr="007A3E2E">
        <w:t xml:space="preserve"> </w:t>
      </w:r>
      <w:r w:rsidRPr="0024530C">
        <w:t>based on the estimates reported in column</w:t>
      </w:r>
      <w:r>
        <w:t>s</w:t>
      </w:r>
      <w:r w:rsidRPr="0024530C">
        <w:t xml:space="preserve"> 3 and 6. The whiskers </w:t>
      </w:r>
      <w:r>
        <w:t xml:space="preserve">in Fig. 4 </w:t>
      </w:r>
      <w:r w:rsidRPr="0024530C">
        <w:t xml:space="preserve">show the 95% conﬁdence band. </w:t>
      </w:r>
      <w:r>
        <w:t xml:space="preserve">Fig. 4 shows no significant relationship between FD and income inequality at the lower level of financial openness. However, by increasing financial openness, </w:t>
      </w:r>
      <w:r w:rsidRPr="0024530C">
        <w:t xml:space="preserve">the impact of </w:t>
      </w:r>
      <w:r>
        <w:t>FD</w:t>
      </w:r>
      <w:r w:rsidRPr="0024530C">
        <w:t xml:space="preserve"> on the Gini coeﬃcient is </w:t>
      </w:r>
      <w:r>
        <w:t>highe</w:t>
      </w:r>
      <w:r w:rsidRPr="0024530C">
        <w:t xml:space="preserve">r and </w:t>
      </w:r>
      <w:r>
        <w:t xml:space="preserve">more </w:t>
      </w:r>
      <w:r w:rsidRPr="0024530C">
        <w:t>significant</w:t>
      </w:r>
      <w:r>
        <w:t xml:space="preserve">. </w:t>
      </w:r>
      <w:r w:rsidRPr="0024530C">
        <w:t xml:space="preserve">This </w:t>
      </w:r>
      <w:r>
        <w:t>finding</w:t>
      </w:r>
      <w:r w:rsidRPr="0024530C">
        <w:t xml:space="preserve"> holds for both measures of </w:t>
      </w:r>
      <w:r>
        <w:t>FD</w:t>
      </w:r>
      <w:r w:rsidRPr="0024530C">
        <w:t xml:space="preserve">. </w:t>
      </w:r>
      <w:r>
        <w:t xml:space="preserve">Considering </w:t>
      </w:r>
      <w:proofErr w:type="spellStart"/>
      <w:r w:rsidRPr="006F1198">
        <w:rPr>
          <w:i/>
          <w:iCs/>
        </w:rPr>
        <w:t>PrivateCredit</w:t>
      </w:r>
      <w:proofErr w:type="spellEnd"/>
      <w:r>
        <w:t xml:space="preserve"> as a measure of FD</w:t>
      </w:r>
      <w:r w:rsidRPr="006F1198">
        <w:t xml:space="preserve">, when financial openness increases from the lowest </w:t>
      </w:r>
      <w:r>
        <w:t>to the highest, FD's marginal impac</w:t>
      </w:r>
      <w:r w:rsidRPr="006F1198">
        <w:t>t on income inequality increases from -0.4% to 11.56%. To put th</w:t>
      </w:r>
      <w:r>
        <w:t xml:space="preserve">ese </w:t>
      </w:r>
      <w:r w:rsidRPr="006F1198">
        <w:t xml:space="preserve">coefficient </w:t>
      </w:r>
      <w:r w:rsidRPr="008D255F">
        <w:t>estimates into perspective, for each country, the average value of FO over 1994-2017 is calculated, and then the marginal impact of FD on income inequality for the top three financially open countries and the bottom three financially closed countries are measured. The result shows that in countries with the highest FO, including Ireland, Hong Kong, and Singapore, 10</w:t>
      </w:r>
      <w:r>
        <w:t>%</w:t>
      </w:r>
      <w:r w:rsidRPr="008D255F">
        <w:t xml:space="preserve"> increases in </w:t>
      </w:r>
      <w:proofErr w:type="spellStart"/>
      <w:r w:rsidRPr="008D255F">
        <w:rPr>
          <w:i/>
          <w:iCs/>
        </w:rPr>
        <w:t>PrivateCredit</w:t>
      </w:r>
      <w:proofErr w:type="spellEnd"/>
      <w:r w:rsidRPr="008D255F">
        <w:t xml:space="preserve"> lead to 0.99, 0.98 and 0.94</w:t>
      </w:r>
      <w:r>
        <w:t>%</w:t>
      </w:r>
      <w:r w:rsidRPr="008D255F">
        <w:t xml:space="preserve"> rise</w:t>
      </w:r>
      <w:r>
        <w:t>s</w:t>
      </w:r>
      <w:r w:rsidRPr="008D255F">
        <w:t xml:space="preserve"> in </w:t>
      </w:r>
      <w:r w:rsidRPr="0060324C">
        <w:t xml:space="preserve">income inequality, respectively. However, in countries with </w:t>
      </w:r>
      <w:r>
        <w:t xml:space="preserve">the </w:t>
      </w:r>
      <w:r w:rsidRPr="0060324C">
        <w:t xml:space="preserve">lowest FO, such as Kenya, Iran, and Bangladesh, the FD-II relationship is insignificant. </w:t>
      </w:r>
    </w:p>
    <w:p w14:paraId="510F56FE" w14:textId="77777777" w:rsidR="0012305F" w:rsidRPr="0060324C" w:rsidRDefault="0012305F" w:rsidP="0012305F">
      <w:r w:rsidRPr="0060324C">
        <w:t xml:space="preserve">This finding is partially in line with </w:t>
      </w:r>
      <w:r w:rsidRPr="0060324C">
        <w:fldChar w:fldCharType="begin" w:fldLock="1"/>
      </w:r>
      <w:r w:rsidRPr="0060324C">
        <w:instrText>ADDIN CSL_CITATION {"citationItems":[{"id":"ITEM-1","itemData":{"DOI":"10.1017/S1365100512000843","ISSN":"1365-1005","abstract":"This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Dynamics","id":"ITEM-1","issue":"5","issued":{"date-parts":[["2014"]]},"page":"1091-1128","publisher":"Cambridge University Press","title":"FINANCE AND INEQUALITY: HOW DOES GLOBALIZATION CHANGE THEIR RELATIONSHIP?","type":"article-journal","volume":"18"},"uris":["http://www.mendeley.com/documents/?uuid=8098cfdc-f149-3010-b8b3-1439aebcb663"]}],"mendeley":{"formattedCitation":"(Kunieda et al., 2014)","manualFormatting":"Kunieda et al. (2014)","plainTextFormattedCitation":"(Kunieda et al., 2014)","previouslyFormattedCitation":"(Kunieda et al., 2014)"},"properties":{"noteIndex":0},"schema":"https://github.com/citation-style-language/schema/raw/master/csl-citation.json"}</w:instrText>
      </w:r>
      <w:r w:rsidRPr="0060324C">
        <w:fldChar w:fldCharType="separate"/>
      </w:r>
      <w:r w:rsidRPr="0060324C">
        <w:rPr>
          <w:noProof/>
        </w:rPr>
        <w:t>Kunieda et al. (2014)</w:t>
      </w:r>
      <w:r w:rsidRPr="0060324C">
        <w:fldChar w:fldCharType="end"/>
      </w:r>
      <w:r w:rsidRPr="0060324C">
        <w:t>, who argue that financial openness change</w:t>
      </w:r>
      <w:r>
        <w:t>s the</w:t>
      </w:r>
      <w:r w:rsidRPr="0060324C">
        <w:t xml:space="preserve"> FD-income inequality relationship. In countries with higher financial openness, our result is consistent with their study asserting that the development of the financial system leads to a rise in income inequality in financially open countries. According to their theoretical model, when the domestic financial market develops and credit constraints relax in financially open countries, investors borrow financial capital in the world market with a </w:t>
      </w:r>
      <w:r w:rsidRPr="0060324C">
        <w:lastRenderedPageBreak/>
        <w:t xml:space="preserve">constant interest rate that is low relative to their abilities. On the other hand, the lenders in the country do not beneﬁt from the development of the domestic ﬁnancial market since the interest rate does not increase. Therefore, inequality increases as the domestic ﬁnancial market develops. In countries with lower financial openness, our results do not support their prediction asserting </w:t>
      </w:r>
      <w:r>
        <w:t>a</w:t>
      </w:r>
      <w:r w:rsidRPr="0060324C">
        <w:t xml:space="preserve"> negative relationship between income inequality and FD in financially close</w:t>
      </w:r>
      <w:r>
        <w:t>d</w:t>
      </w:r>
      <w:r w:rsidRPr="0060324C">
        <w:t xml:space="preserve"> countries. In fact, our findings show that there is no significant inequality impact of FD in countries with lower financial openness. Therefore, our results show that financial openness strengthen</w:t>
      </w:r>
      <w:r>
        <w:t>s</w:t>
      </w:r>
      <w:r w:rsidRPr="0060324C">
        <w:t xml:space="preserve"> the pro-inequality impact of FD</w:t>
      </w:r>
      <w:bookmarkStart w:id="10" w:name="_Hlk118201350"/>
      <w:r w:rsidRPr="0060324C">
        <w:t>.</w:t>
      </w:r>
    </w:p>
    <w:p w14:paraId="548938E5" w14:textId="116F7240" w:rsidR="0012305F" w:rsidRPr="004308FB" w:rsidRDefault="0012305F" w:rsidP="0012305F">
      <w:pPr>
        <w:pStyle w:val="Caption"/>
        <w:jc w:val="center"/>
        <w:rPr>
          <w:rFonts w:cstheme="majorBidi"/>
          <w:b/>
          <w:bCs/>
          <w:i w:val="0"/>
          <w:iCs w:val="0"/>
          <w:color w:val="auto"/>
          <w:sz w:val="32"/>
          <w:szCs w:val="32"/>
        </w:rPr>
      </w:pPr>
      <w:r w:rsidRPr="004308FB">
        <w:rPr>
          <w:rFonts w:cstheme="majorBidi"/>
          <w:b/>
          <w:bCs/>
          <w:i w:val="0"/>
          <w:iCs w:val="0"/>
          <w:color w:val="auto"/>
          <w:sz w:val="22"/>
          <w:szCs w:val="22"/>
        </w:rPr>
        <w:t xml:space="preserve">Table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Table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4</w:t>
      </w:r>
      <w:r w:rsidRPr="004308FB">
        <w:rPr>
          <w:rFonts w:cstheme="majorBidi"/>
          <w:b/>
          <w:bCs/>
          <w:i w:val="0"/>
          <w:iCs w:val="0"/>
          <w:color w:val="auto"/>
          <w:sz w:val="22"/>
          <w:szCs w:val="22"/>
        </w:rPr>
        <w:fldChar w:fldCharType="end"/>
      </w:r>
      <w:r w:rsidR="00B15F46">
        <w:rPr>
          <w:rFonts w:cstheme="majorBidi"/>
          <w:b/>
          <w:bCs/>
          <w:i w:val="0"/>
          <w:iCs w:val="0"/>
          <w:color w:val="auto"/>
          <w:sz w:val="22"/>
          <w:szCs w:val="22"/>
        </w:rPr>
        <w:t>.</w:t>
      </w:r>
      <w:r w:rsidRPr="004308FB">
        <w:rPr>
          <w:rFonts w:cstheme="majorBidi"/>
          <w:b/>
          <w:bCs/>
          <w:i w:val="0"/>
          <w:iCs w:val="0"/>
          <w:color w:val="auto"/>
          <w:sz w:val="22"/>
          <w:szCs w:val="22"/>
        </w:rPr>
        <w:t xml:space="preserve"> Income inequality, FD and financial openness</w:t>
      </w:r>
    </w:p>
    <w:bookmarkEnd w:id="10"/>
    <w:tbl>
      <w:tblPr>
        <w:tblW w:w="9832" w:type="dxa"/>
        <w:jc w:val="center"/>
        <w:tblLook w:val="04A0" w:firstRow="1" w:lastRow="0" w:firstColumn="1" w:lastColumn="0" w:noHBand="0" w:noVBand="1"/>
      </w:tblPr>
      <w:tblGrid>
        <w:gridCol w:w="2988"/>
        <w:gridCol w:w="1066"/>
        <w:gridCol w:w="1156"/>
        <w:gridCol w:w="1156"/>
        <w:gridCol w:w="1156"/>
        <w:gridCol w:w="1156"/>
        <w:gridCol w:w="1156"/>
      </w:tblGrid>
      <w:tr w:rsidR="0012305F" w:rsidRPr="000A1A53" w14:paraId="72DED995" w14:textId="77777777" w:rsidTr="00354437">
        <w:trPr>
          <w:trHeight w:hRule="exact" w:val="247"/>
          <w:jc w:val="center"/>
        </w:trPr>
        <w:tc>
          <w:tcPr>
            <w:tcW w:w="2988" w:type="dxa"/>
            <w:tcBorders>
              <w:top w:val="nil"/>
              <w:left w:val="nil"/>
              <w:bottom w:val="nil"/>
              <w:right w:val="nil"/>
            </w:tcBorders>
            <w:shd w:val="clear" w:color="auto" w:fill="auto"/>
            <w:noWrap/>
            <w:vAlign w:val="bottom"/>
          </w:tcPr>
          <w:p w14:paraId="2F58953D"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6844" w:type="dxa"/>
            <w:gridSpan w:val="6"/>
            <w:tcBorders>
              <w:top w:val="nil"/>
              <w:left w:val="nil"/>
              <w:bottom w:val="nil"/>
              <w:right w:val="nil"/>
            </w:tcBorders>
            <w:shd w:val="clear" w:color="auto" w:fill="auto"/>
            <w:noWrap/>
            <w:vAlign w:val="center"/>
          </w:tcPr>
          <w:p w14:paraId="74621C26" w14:textId="77777777" w:rsidR="0012305F" w:rsidRPr="000A1A53"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roofErr w:type="spellStart"/>
            <w:r w:rsidRPr="005F0516">
              <w:rPr>
                <w:rFonts w:ascii="Times New Roman" w:eastAsia="Times New Roman" w:hAnsi="Times New Roman" w:cs="Times New Roman"/>
                <w:color w:val="000000"/>
                <w:sz w:val="20"/>
                <w:szCs w:val="20"/>
                <w:lang w:eastAsia="en-NZ"/>
              </w:rPr>
              <w:t>logGrossGini</w:t>
            </w:r>
            <w:proofErr w:type="spellEnd"/>
          </w:p>
        </w:tc>
      </w:tr>
      <w:tr w:rsidR="0012305F" w:rsidRPr="000A1A53" w14:paraId="1EAAB5CE" w14:textId="77777777" w:rsidTr="00354437">
        <w:trPr>
          <w:trHeight w:hRule="exact" w:val="595"/>
          <w:jc w:val="center"/>
        </w:trPr>
        <w:tc>
          <w:tcPr>
            <w:tcW w:w="2988" w:type="dxa"/>
            <w:tcBorders>
              <w:top w:val="nil"/>
              <w:left w:val="nil"/>
              <w:bottom w:val="single" w:sz="4" w:space="0" w:color="auto"/>
              <w:right w:val="nil"/>
            </w:tcBorders>
            <w:shd w:val="clear" w:color="auto" w:fill="auto"/>
            <w:noWrap/>
            <w:vAlign w:val="bottom"/>
            <w:hideMark/>
          </w:tcPr>
          <w:p w14:paraId="6A4E2C07"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061" w:type="dxa"/>
            <w:tcBorders>
              <w:top w:val="single" w:sz="4" w:space="0" w:color="auto"/>
              <w:left w:val="nil"/>
              <w:bottom w:val="single" w:sz="4" w:space="0" w:color="auto"/>
              <w:right w:val="nil"/>
            </w:tcBorders>
            <w:shd w:val="clear" w:color="auto" w:fill="auto"/>
            <w:noWrap/>
            <w:vAlign w:val="center"/>
            <w:hideMark/>
          </w:tcPr>
          <w:p w14:paraId="53FBEEF8"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(1)</w:t>
            </w:r>
          </w:p>
          <w:p w14:paraId="030B858D"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FO&lt;Q1</w:t>
            </w:r>
          </w:p>
        </w:tc>
        <w:tc>
          <w:tcPr>
            <w:tcW w:w="1156" w:type="dxa"/>
            <w:tcBorders>
              <w:top w:val="single" w:sz="4" w:space="0" w:color="auto"/>
              <w:left w:val="nil"/>
              <w:bottom w:val="single" w:sz="4" w:space="0" w:color="auto"/>
              <w:right w:val="nil"/>
            </w:tcBorders>
            <w:shd w:val="clear" w:color="auto" w:fill="auto"/>
            <w:noWrap/>
            <w:vAlign w:val="center"/>
            <w:hideMark/>
          </w:tcPr>
          <w:p w14:paraId="6C0F2373"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(2)</w:t>
            </w:r>
          </w:p>
          <w:p w14:paraId="1BCFD995"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FO&gt;Q1</w:t>
            </w:r>
          </w:p>
        </w:tc>
        <w:tc>
          <w:tcPr>
            <w:tcW w:w="1156" w:type="dxa"/>
            <w:tcBorders>
              <w:top w:val="single" w:sz="4" w:space="0" w:color="auto"/>
              <w:left w:val="nil"/>
              <w:bottom w:val="single" w:sz="4" w:space="0" w:color="auto"/>
              <w:right w:val="nil"/>
            </w:tcBorders>
            <w:shd w:val="clear" w:color="auto" w:fill="auto"/>
            <w:noWrap/>
            <w:vAlign w:val="center"/>
            <w:hideMark/>
          </w:tcPr>
          <w:p w14:paraId="0FDAFBC7"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(3)</w:t>
            </w:r>
          </w:p>
          <w:p w14:paraId="5EF9C22E"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Interaction</w:t>
            </w:r>
          </w:p>
        </w:tc>
        <w:tc>
          <w:tcPr>
            <w:tcW w:w="1156" w:type="dxa"/>
            <w:tcBorders>
              <w:top w:val="single" w:sz="4" w:space="0" w:color="auto"/>
              <w:left w:val="nil"/>
              <w:bottom w:val="single" w:sz="4" w:space="0" w:color="auto"/>
              <w:right w:val="nil"/>
            </w:tcBorders>
            <w:shd w:val="clear" w:color="auto" w:fill="auto"/>
            <w:noWrap/>
            <w:vAlign w:val="center"/>
            <w:hideMark/>
          </w:tcPr>
          <w:p w14:paraId="2E9B4417"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(4)</w:t>
            </w:r>
          </w:p>
          <w:p w14:paraId="158FF6FB"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FO&lt;Q1</w:t>
            </w:r>
          </w:p>
        </w:tc>
        <w:tc>
          <w:tcPr>
            <w:tcW w:w="1156" w:type="dxa"/>
            <w:tcBorders>
              <w:top w:val="single" w:sz="4" w:space="0" w:color="auto"/>
              <w:left w:val="nil"/>
              <w:bottom w:val="single" w:sz="4" w:space="0" w:color="auto"/>
              <w:right w:val="nil"/>
            </w:tcBorders>
            <w:shd w:val="clear" w:color="auto" w:fill="auto"/>
            <w:noWrap/>
            <w:vAlign w:val="center"/>
            <w:hideMark/>
          </w:tcPr>
          <w:p w14:paraId="4F02BFBE"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(5)</w:t>
            </w:r>
          </w:p>
          <w:p w14:paraId="3782BD95"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FO&gt;Q1</w:t>
            </w:r>
          </w:p>
        </w:tc>
        <w:tc>
          <w:tcPr>
            <w:tcW w:w="1156" w:type="dxa"/>
            <w:tcBorders>
              <w:top w:val="single" w:sz="4" w:space="0" w:color="auto"/>
              <w:left w:val="nil"/>
              <w:bottom w:val="single" w:sz="4" w:space="0" w:color="auto"/>
              <w:right w:val="nil"/>
            </w:tcBorders>
            <w:shd w:val="clear" w:color="auto" w:fill="auto"/>
            <w:noWrap/>
            <w:vAlign w:val="center"/>
            <w:hideMark/>
          </w:tcPr>
          <w:p w14:paraId="2DAFC3A3"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(6)</w:t>
            </w:r>
          </w:p>
          <w:p w14:paraId="4AF11B22"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Interaction</w:t>
            </w:r>
          </w:p>
        </w:tc>
      </w:tr>
      <w:tr w:rsidR="0012305F" w:rsidRPr="000A1A53" w14:paraId="6C530AD7" w14:textId="77777777" w:rsidTr="00354437">
        <w:trPr>
          <w:trHeight w:hRule="exact" w:val="247"/>
          <w:jc w:val="center"/>
        </w:trPr>
        <w:tc>
          <w:tcPr>
            <w:tcW w:w="2988" w:type="dxa"/>
            <w:tcBorders>
              <w:top w:val="single" w:sz="4" w:space="0" w:color="auto"/>
              <w:left w:val="nil"/>
              <w:bottom w:val="nil"/>
              <w:right w:val="nil"/>
            </w:tcBorders>
            <w:shd w:val="clear" w:color="auto" w:fill="auto"/>
            <w:noWrap/>
            <w:vAlign w:val="bottom"/>
            <w:hideMark/>
          </w:tcPr>
          <w:p w14:paraId="160D5A2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0A1A53">
              <w:rPr>
                <w:rFonts w:ascii="Times New Roman" w:eastAsia="Times New Roman" w:hAnsi="Times New Roman" w:cs="Times New Roman"/>
                <w:color w:val="000000"/>
                <w:sz w:val="20"/>
                <w:szCs w:val="20"/>
                <w:lang w:eastAsia="en-NZ"/>
              </w:rPr>
              <w:t>Lag.GrossGini</w:t>
            </w:r>
            <w:proofErr w:type="spellEnd"/>
          </w:p>
        </w:tc>
        <w:tc>
          <w:tcPr>
            <w:tcW w:w="1061" w:type="dxa"/>
            <w:tcBorders>
              <w:top w:val="single" w:sz="4" w:space="0" w:color="auto"/>
              <w:left w:val="nil"/>
              <w:bottom w:val="nil"/>
              <w:right w:val="nil"/>
            </w:tcBorders>
            <w:shd w:val="clear" w:color="auto" w:fill="auto"/>
            <w:noWrap/>
            <w:vAlign w:val="center"/>
            <w:hideMark/>
          </w:tcPr>
          <w:p w14:paraId="194789F8"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0.7720***</w:t>
            </w:r>
          </w:p>
        </w:tc>
        <w:tc>
          <w:tcPr>
            <w:tcW w:w="1156" w:type="dxa"/>
            <w:tcBorders>
              <w:top w:val="single" w:sz="4" w:space="0" w:color="auto"/>
              <w:left w:val="nil"/>
              <w:bottom w:val="nil"/>
              <w:right w:val="nil"/>
            </w:tcBorders>
            <w:shd w:val="clear" w:color="auto" w:fill="auto"/>
            <w:noWrap/>
            <w:vAlign w:val="center"/>
            <w:hideMark/>
          </w:tcPr>
          <w:p w14:paraId="6884AAB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0.6422***</w:t>
            </w:r>
          </w:p>
        </w:tc>
        <w:tc>
          <w:tcPr>
            <w:tcW w:w="1156" w:type="dxa"/>
            <w:tcBorders>
              <w:top w:val="single" w:sz="4" w:space="0" w:color="auto"/>
              <w:left w:val="nil"/>
              <w:bottom w:val="nil"/>
              <w:right w:val="nil"/>
            </w:tcBorders>
            <w:shd w:val="clear" w:color="auto" w:fill="auto"/>
            <w:noWrap/>
            <w:vAlign w:val="center"/>
            <w:hideMark/>
          </w:tcPr>
          <w:p w14:paraId="4496DE9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0.6642***</w:t>
            </w:r>
          </w:p>
        </w:tc>
        <w:tc>
          <w:tcPr>
            <w:tcW w:w="1156" w:type="dxa"/>
            <w:tcBorders>
              <w:top w:val="single" w:sz="4" w:space="0" w:color="auto"/>
              <w:left w:val="nil"/>
              <w:bottom w:val="nil"/>
              <w:right w:val="nil"/>
            </w:tcBorders>
            <w:shd w:val="clear" w:color="auto" w:fill="auto"/>
            <w:noWrap/>
            <w:vAlign w:val="center"/>
            <w:hideMark/>
          </w:tcPr>
          <w:p w14:paraId="6AE7119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0.6985***</w:t>
            </w:r>
          </w:p>
        </w:tc>
        <w:tc>
          <w:tcPr>
            <w:tcW w:w="1156" w:type="dxa"/>
            <w:tcBorders>
              <w:top w:val="single" w:sz="4" w:space="0" w:color="auto"/>
              <w:left w:val="nil"/>
              <w:bottom w:val="nil"/>
              <w:right w:val="nil"/>
            </w:tcBorders>
            <w:shd w:val="clear" w:color="auto" w:fill="auto"/>
            <w:noWrap/>
            <w:vAlign w:val="center"/>
            <w:hideMark/>
          </w:tcPr>
          <w:p w14:paraId="3D9A9E8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0.6492***</w:t>
            </w:r>
          </w:p>
        </w:tc>
        <w:tc>
          <w:tcPr>
            <w:tcW w:w="1156" w:type="dxa"/>
            <w:tcBorders>
              <w:top w:val="single" w:sz="4" w:space="0" w:color="auto"/>
              <w:left w:val="nil"/>
              <w:bottom w:val="nil"/>
              <w:right w:val="nil"/>
            </w:tcBorders>
            <w:shd w:val="clear" w:color="auto" w:fill="auto"/>
            <w:noWrap/>
            <w:vAlign w:val="center"/>
            <w:hideMark/>
          </w:tcPr>
          <w:p w14:paraId="6FC1793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0.7040***</w:t>
            </w:r>
          </w:p>
        </w:tc>
      </w:tr>
      <w:tr w:rsidR="0012305F" w:rsidRPr="000A1A53" w14:paraId="3BA9D977"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48D3C33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7EF5824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(0.1018)</w:t>
            </w:r>
          </w:p>
        </w:tc>
        <w:tc>
          <w:tcPr>
            <w:tcW w:w="1156" w:type="dxa"/>
            <w:tcBorders>
              <w:top w:val="nil"/>
              <w:left w:val="nil"/>
              <w:bottom w:val="nil"/>
              <w:right w:val="nil"/>
            </w:tcBorders>
            <w:shd w:val="clear" w:color="auto" w:fill="auto"/>
            <w:noWrap/>
            <w:vAlign w:val="center"/>
            <w:hideMark/>
          </w:tcPr>
          <w:p w14:paraId="2B93C17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(0.066</w:t>
            </w:r>
            <w:r>
              <w:rPr>
                <w:rFonts w:ascii="Times New Roman" w:eastAsia="Times New Roman" w:hAnsi="Times New Roman" w:cs="Times New Roman"/>
                <w:color w:val="000000"/>
                <w:sz w:val="20"/>
                <w:szCs w:val="20"/>
                <w:lang w:eastAsia="en-NZ"/>
              </w:rPr>
              <w:t>0</w:t>
            </w:r>
            <w:r w:rsidRPr="000A1A53">
              <w:rPr>
                <w:rFonts w:ascii="Times New Roman" w:eastAsia="Times New Roman" w:hAnsi="Times New Roman" w:cs="Times New Roman"/>
                <w:color w:val="000000"/>
                <w:sz w:val="20"/>
                <w:szCs w:val="20"/>
                <w:lang w:eastAsia="en-NZ"/>
              </w:rPr>
              <w:t>)</w:t>
            </w:r>
          </w:p>
        </w:tc>
        <w:tc>
          <w:tcPr>
            <w:tcW w:w="1156" w:type="dxa"/>
            <w:tcBorders>
              <w:top w:val="nil"/>
              <w:left w:val="nil"/>
              <w:bottom w:val="nil"/>
              <w:right w:val="nil"/>
            </w:tcBorders>
            <w:shd w:val="clear" w:color="auto" w:fill="auto"/>
            <w:noWrap/>
            <w:vAlign w:val="center"/>
            <w:hideMark/>
          </w:tcPr>
          <w:p w14:paraId="5E7122B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(0.0614)</w:t>
            </w:r>
          </w:p>
        </w:tc>
        <w:tc>
          <w:tcPr>
            <w:tcW w:w="1156" w:type="dxa"/>
            <w:tcBorders>
              <w:top w:val="nil"/>
              <w:left w:val="nil"/>
              <w:bottom w:val="nil"/>
              <w:right w:val="nil"/>
            </w:tcBorders>
            <w:shd w:val="clear" w:color="auto" w:fill="auto"/>
            <w:noWrap/>
            <w:vAlign w:val="center"/>
            <w:hideMark/>
          </w:tcPr>
          <w:p w14:paraId="354E447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(0.0822)</w:t>
            </w:r>
          </w:p>
        </w:tc>
        <w:tc>
          <w:tcPr>
            <w:tcW w:w="1156" w:type="dxa"/>
            <w:tcBorders>
              <w:top w:val="nil"/>
              <w:left w:val="nil"/>
              <w:bottom w:val="nil"/>
              <w:right w:val="nil"/>
            </w:tcBorders>
            <w:shd w:val="clear" w:color="auto" w:fill="auto"/>
            <w:noWrap/>
            <w:vAlign w:val="center"/>
            <w:hideMark/>
          </w:tcPr>
          <w:p w14:paraId="16A6401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(0.0638)</w:t>
            </w:r>
          </w:p>
        </w:tc>
        <w:tc>
          <w:tcPr>
            <w:tcW w:w="1156" w:type="dxa"/>
            <w:tcBorders>
              <w:top w:val="nil"/>
              <w:left w:val="nil"/>
              <w:bottom w:val="nil"/>
              <w:right w:val="nil"/>
            </w:tcBorders>
            <w:shd w:val="clear" w:color="auto" w:fill="auto"/>
            <w:noWrap/>
            <w:vAlign w:val="center"/>
            <w:hideMark/>
          </w:tcPr>
          <w:p w14:paraId="02F63DB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(0.0762)</w:t>
            </w:r>
          </w:p>
        </w:tc>
      </w:tr>
      <w:tr w:rsidR="0012305F" w:rsidRPr="000A1A53" w14:paraId="2E61BB2A"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7E08711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PrivateCredit</w:t>
            </w:r>
            <w:proofErr w:type="spellEnd"/>
          </w:p>
        </w:tc>
        <w:tc>
          <w:tcPr>
            <w:tcW w:w="1061" w:type="dxa"/>
            <w:tcBorders>
              <w:top w:val="nil"/>
              <w:left w:val="nil"/>
              <w:bottom w:val="nil"/>
              <w:right w:val="nil"/>
            </w:tcBorders>
            <w:shd w:val="clear" w:color="auto" w:fill="auto"/>
            <w:noWrap/>
            <w:vAlign w:val="center"/>
            <w:hideMark/>
          </w:tcPr>
          <w:p w14:paraId="24E84FE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0.066</w:t>
            </w:r>
          </w:p>
        </w:tc>
        <w:tc>
          <w:tcPr>
            <w:tcW w:w="1156" w:type="dxa"/>
            <w:tcBorders>
              <w:top w:val="nil"/>
              <w:left w:val="nil"/>
              <w:bottom w:val="nil"/>
              <w:right w:val="nil"/>
            </w:tcBorders>
            <w:shd w:val="clear" w:color="auto" w:fill="auto"/>
            <w:noWrap/>
            <w:vAlign w:val="center"/>
            <w:hideMark/>
          </w:tcPr>
          <w:p w14:paraId="7F4F5AF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0.0129**</w:t>
            </w:r>
          </w:p>
        </w:tc>
        <w:tc>
          <w:tcPr>
            <w:tcW w:w="1156" w:type="dxa"/>
            <w:tcBorders>
              <w:top w:val="nil"/>
              <w:left w:val="nil"/>
              <w:bottom w:val="nil"/>
              <w:right w:val="nil"/>
            </w:tcBorders>
            <w:shd w:val="clear" w:color="auto" w:fill="auto"/>
            <w:noWrap/>
            <w:vAlign w:val="center"/>
            <w:hideMark/>
          </w:tcPr>
          <w:p w14:paraId="2261991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0.0225**</w:t>
            </w:r>
          </w:p>
        </w:tc>
        <w:tc>
          <w:tcPr>
            <w:tcW w:w="1156" w:type="dxa"/>
            <w:tcBorders>
              <w:top w:val="nil"/>
              <w:left w:val="nil"/>
              <w:bottom w:val="nil"/>
              <w:right w:val="nil"/>
            </w:tcBorders>
            <w:shd w:val="clear" w:color="auto" w:fill="auto"/>
            <w:noWrap/>
            <w:vAlign w:val="center"/>
            <w:hideMark/>
          </w:tcPr>
          <w:p w14:paraId="153AB57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hideMark/>
          </w:tcPr>
          <w:p w14:paraId="084F585E"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66FDB6F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               </w:t>
            </w:r>
          </w:p>
        </w:tc>
      </w:tr>
      <w:tr w:rsidR="0012305F" w:rsidRPr="000A1A53" w14:paraId="79BDFA2D"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7655F70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5AF286E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(0.0439)</w:t>
            </w:r>
          </w:p>
        </w:tc>
        <w:tc>
          <w:tcPr>
            <w:tcW w:w="1156" w:type="dxa"/>
            <w:tcBorders>
              <w:top w:val="nil"/>
              <w:left w:val="nil"/>
              <w:bottom w:val="nil"/>
              <w:right w:val="nil"/>
            </w:tcBorders>
            <w:shd w:val="clear" w:color="auto" w:fill="auto"/>
            <w:noWrap/>
            <w:vAlign w:val="center"/>
            <w:hideMark/>
          </w:tcPr>
          <w:p w14:paraId="252F4C1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(0.0062)</w:t>
            </w:r>
          </w:p>
        </w:tc>
        <w:tc>
          <w:tcPr>
            <w:tcW w:w="1156" w:type="dxa"/>
            <w:tcBorders>
              <w:top w:val="nil"/>
              <w:left w:val="nil"/>
              <w:bottom w:val="nil"/>
              <w:right w:val="nil"/>
            </w:tcBorders>
            <w:shd w:val="clear" w:color="auto" w:fill="auto"/>
            <w:noWrap/>
            <w:vAlign w:val="center"/>
            <w:hideMark/>
          </w:tcPr>
          <w:p w14:paraId="2286592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(0.0097)</w:t>
            </w:r>
          </w:p>
        </w:tc>
        <w:tc>
          <w:tcPr>
            <w:tcW w:w="1156" w:type="dxa"/>
            <w:tcBorders>
              <w:top w:val="nil"/>
              <w:left w:val="nil"/>
              <w:bottom w:val="nil"/>
              <w:right w:val="nil"/>
            </w:tcBorders>
            <w:shd w:val="clear" w:color="auto" w:fill="auto"/>
            <w:noWrap/>
            <w:vAlign w:val="center"/>
            <w:hideMark/>
          </w:tcPr>
          <w:p w14:paraId="17172EB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hideMark/>
          </w:tcPr>
          <w:p w14:paraId="6F6824DA"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095AC18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               </w:t>
            </w:r>
          </w:p>
        </w:tc>
      </w:tr>
      <w:tr w:rsidR="0012305F" w:rsidRPr="000A1A53" w14:paraId="17851CE7"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083396C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PrivateCredit</w:t>
            </w:r>
            <w:proofErr w:type="spellEnd"/>
            <w:r w:rsidRPr="000A1A53">
              <w:rPr>
                <w:rFonts w:ascii="Times New Roman" w:eastAsia="Times New Roman" w:hAnsi="Times New Roman" w:cs="Times New Roman"/>
                <w:color w:val="000000"/>
                <w:sz w:val="20"/>
                <w:szCs w:val="20"/>
                <w:lang w:eastAsia="en-NZ"/>
              </w:rPr>
              <w:t xml:space="preserve"> * FO</w:t>
            </w:r>
          </w:p>
        </w:tc>
        <w:tc>
          <w:tcPr>
            <w:tcW w:w="1061" w:type="dxa"/>
            <w:tcBorders>
              <w:top w:val="nil"/>
              <w:left w:val="nil"/>
              <w:bottom w:val="nil"/>
              <w:right w:val="nil"/>
            </w:tcBorders>
            <w:shd w:val="clear" w:color="auto" w:fill="auto"/>
            <w:noWrap/>
            <w:vAlign w:val="center"/>
            <w:hideMark/>
          </w:tcPr>
          <w:p w14:paraId="3E2BD85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hideMark/>
          </w:tcPr>
          <w:p w14:paraId="33163940"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769F0AF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0.0266***</w:t>
            </w:r>
          </w:p>
        </w:tc>
        <w:tc>
          <w:tcPr>
            <w:tcW w:w="1156" w:type="dxa"/>
            <w:tcBorders>
              <w:top w:val="nil"/>
              <w:left w:val="nil"/>
              <w:bottom w:val="nil"/>
              <w:right w:val="nil"/>
            </w:tcBorders>
            <w:shd w:val="clear" w:color="auto" w:fill="auto"/>
            <w:noWrap/>
            <w:vAlign w:val="center"/>
            <w:hideMark/>
          </w:tcPr>
          <w:p w14:paraId="4E7480D8"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hideMark/>
          </w:tcPr>
          <w:p w14:paraId="667FB383"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4C1688A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               </w:t>
            </w:r>
          </w:p>
        </w:tc>
      </w:tr>
      <w:tr w:rsidR="0012305F" w:rsidRPr="000A1A53" w14:paraId="3E0A9FD9"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68B2802A"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22EBB895"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4814E021"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63E72E1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(0.0098)</w:t>
            </w:r>
          </w:p>
        </w:tc>
        <w:tc>
          <w:tcPr>
            <w:tcW w:w="1156" w:type="dxa"/>
            <w:tcBorders>
              <w:top w:val="nil"/>
              <w:left w:val="nil"/>
              <w:bottom w:val="nil"/>
              <w:right w:val="nil"/>
            </w:tcBorders>
            <w:shd w:val="clear" w:color="auto" w:fill="auto"/>
            <w:noWrap/>
            <w:vAlign w:val="center"/>
            <w:hideMark/>
          </w:tcPr>
          <w:p w14:paraId="36DF71C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hideMark/>
          </w:tcPr>
          <w:p w14:paraId="351DE30C"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569C1CD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               </w:t>
            </w:r>
          </w:p>
        </w:tc>
      </w:tr>
      <w:tr w:rsidR="0012305F" w:rsidRPr="000A1A53" w14:paraId="78D4E059"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38A30F77"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692152">
              <w:rPr>
                <w:rFonts w:ascii="Times New Roman" w:eastAsia="Times New Roman" w:hAnsi="Times New Roman" w:cs="Times New Roman"/>
                <w:color w:val="000000"/>
                <w:sz w:val="20"/>
                <w:szCs w:val="20"/>
                <w:lang w:eastAsia="en-NZ"/>
              </w:rPr>
              <w:t>LiquidLiabilities</w:t>
            </w:r>
            <w:proofErr w:type="spellEnd"/>
          </w:p>
        </w:tc>
        <w:tc>
          <w:tcPr>
            <w:tcW w:w="1061" w:type="dxa"/>
            <w:tcBorders>
              <w:top w:val="nil"/>
              <w:left w:val="nil"/>
              <w:bottom w:val="nil"/>
              <w:right w:val="nil"/>
            </w:tcBorders>
            <w:shd w:val="clear" w:color="auto" w:fill="auto"/>
            <w:noWrap/>
            <w:vAlign w:val="center"/>
            <w:hideMark/>
          </w:tcPr>
          <w:p w14:paraId="6295149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hideMark/>
          </w:tcPr>
          <w:p w14:paraId="0C43757E"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12FF22B1"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60E2917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-0.0197</w:t>
            </w:r>
          </w:p>
        </w:tc>
        <w:tc>
          <w:tcPr>
            <w:tcW w:w="1156" w:type="dxa"/>
            <w:tcBorders>
              <w:top w:val="nil"/>
              <w:left w:val="nil"/>
              <w:bottom w:val="nil"/>
              <w:right w:val="nil"/>
            </w:tcBorders>
            <w:shd w:val="clear" w:color="auto" w:fill="auto"/>
            <w:noWrap/>
            <w:vAlign w:val="center"/>
            <w:hideMark/>
          </w:tcPr>
          <w:p w14:paraId="6EF2EEF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0.0699***</w:t>
            </w:r>
          </w:p>
        </w:tc>
        <w:tc>
          <w:tcPr>
            <w:tcW w:w="1156" w:type="dxa"/>
            <w:tcBorders>
              <w:top w:val="nil"/>
              <w:left w:val="nil"/>
              <w:bottom w:val="nil"/>
              <w:right w:val="nil"/>
            </w:tcBorders>
            <w:shd w:val="clear" w:color="auto" w:fill="auto"/>
            <w:noWrap/>
            <w:vAlign w:val="center"/>
            <w:hideMark/>
          </w:tcPr>
          <w:p w14:paraId="78C6AC8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0.0405** </w:t>
            </w:r>
          </w:p>
        </w:tc>
      </w:tr>
      <w:tr w:rsidR="0012305F" w:rsidRPr="000A1A53" w14:paraId="6A5D2419"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19AFB08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041481DE"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21C6CC0F"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628F2DF2"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29E2763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(0.0529)</w:t>
            </w:r>
          </w:p>
        </w:tc>
        <w:tc>
          <w:tcPr>
            <w:tcW w:w="1156" w:type="dxa"/>
            <w:tcBorders>
              <w:top w:val="nil"/>
              <w:left w:val="nil"/>
              <w:bottom w:val="nil"/>
              <w:right w:val="nil"/>
            </w:tcBorders>
            <w:shd w:val="clear" w:color="auto" w:fill="auto"/>
            <w:noWrap/>
            <w:vAlign w:val="center"/>
            <w:hideMark/>
          </w:tcPr>
          <w:p w14:paraId="6FDE7CB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(0.0251)</w:t>
            </w:r>
          </w:p>
        </w:tc>
        <w:tc>
          <w:tcPr>
            <w:tcW w:w="1156" w:type="dxa"/>
            <w:tcBorders>
              <w:top w:val="nil"/>
              <w:left w:val="nil"/>
              <w:bottom w:val="nil"/>
              <w:right w:val="nil"/>
            </w:tcBorders>
            <w:shd w:val="clear" w:color="auto" w:fill="auto"/>
            <w:noWrap/>
            <w:vAlign w:val="center"/>
            <w:hideMark/>
          </w:tcPr>
          <w:p w14:paraId="4562622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(0.0179)</w:t>
            </w:r>
          </w:p>
        </w:tc>
      </w:tr>
      <w:tr w:rsidR="0012305F" w:rsidRPr="000A1A53" w14:paraId="3003E667"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123EC56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692152">
              <w:rPr>
                <w:rFonts w:ascii="Times New Roman" w:eastAsia="Times New Roman" w:hAnsi="Times New Roman" w:cs="Times New Roman"/>
                <w:color w:val="000000"/>
                <w:sz w:val="20"/>
                <w:szCs w:val="20"/>
                <w:lang w:eastAsia="en-NZ"/>
              </w:rPr>
              <w:t>LiquidLiabilities</w:t>
            </w:r>
            <w:proofErr w:type="spellEnd"/>
            <w:r w:rsidRPr="000A1A53">
              <w:rPr>
                <w:rFonts w:ascii="Times New Roman" w:eastAsia="Times New Roman" w:hAnsi="Times New Roman" w:cs="Times New Roman"/>
                <w:color w:val="000000"/>
                <w:sz w:val="20"/>
                <w:szCs w:val="20"/>
                <w:lang w:eastAsia="en-NZ"/>
              </w:rPr>
              <w:t xml:space="preserve"> *FO</w:t>
            </w:r>
          </w:p>
        </w:tc>
        <w:tc>
          <w:tcPr>
            <w:tcW w:w="1061" w:type="dxa"/>
            <w:tcBorders>
              <w:top w:val="nil"/>
              <w:left w:val="nil"/>
              <w:bottom w:val="nil"/>
              <w:right w:val="nil"/>
            </w:tcBorders>
            <w:shd w:val="clear" w:color="auto" w:fill="auto"/>
            <w:noWrap/>
            <w:vAlign w:val="center"/>
            <w:hideMark/>
          </w:tcPr>
          <w:p w14:paraId="0D28A11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hideMark/>
          </w:tcPr>
          <w:p w14:paraId="6AB9D06A"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757D6E83"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68058907"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3766D20C"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7E94DD8A"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0.0155** </w:t>
            </w:r>
          </w:p>
        </w:tc>
      </w:tr>
      <w:tr w:rsidR="0012305F" w:rsidRPr="000A1A53" w14:paraId="292CB020"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20AACD38"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538FA1FA"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4845DC58"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3B2304B8"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4978DE23"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3CEEAFA5" w14:textId="77777777" w:rsidR="0012305F" w:rsidRPr="000A1A53"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56" w:type="dxa"/>
            <w:tcBorders>
              <w:top w:val="nil"/>
              <w:left w:val="nil"/>
              <w:bottom w:val="nil"/>
              <w:right w:val="nil"/>
            </w:tcBorders>
            <w:shd w:val="clear" w:color="auto" w:fill="auto"/>
            <w:noWrap/>
            <w:vAlign w:val="center"/>
            <w:hideMark/>
          </w:tcPr>
          <w:p w14:paraId="2BD518F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(0.0074)</w:t>
            </w:r>
          </w:p>
        </w:tc>
      </w:tr>
      <w:tr w:rsidR="0012305F" w:rsidRPr="000A1A53" w14:paraId="26D60CDC"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326D8C0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FO</w:t>
            </w:r>
          </w:p>
        </w:tc>
        <w:tc>
          <w:tcPr>
            <w:tcW w:w="1061" w:type="dxa"/>
            <w:tcBorders>
              <w:top w:val="nil"/>
              <w:left w:val="nil"/>
              <w:bottom w:val="nil"/>
              <w:right w:val="nil"/>
            </w:tcBorders>
            <w:shd w:val="clear" w:color="auto" w:fill="auto"/>
            <w:noWrap/>
            <w:vAlign w:val="center"/>
            <w:hideMark/>
          </w:tcPr>
          <w:p w14:paraId="2FA1983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-0.0553</w:t>
            </w:r>
          </w:p>
        </w:tc>
        <w:tc>
          <w:tcPr>
            <w:tcW w:w="1156" w:type="dxa"/>
            <w:tcBorders>
              <w:top w:val="nil"/>
              <w:left w:val="nil"/>
              <w:bottom w:val="nil"/>
              <w:right w:val="nil"/>
            </w:tcBorders>
            <w:shd w:val="clear" w:color="auto" w:fill="auto"/>
            <w:noWrap/>
            <w:vAlign w:val="center"/>
            <w:hideMark/>
          </w:tcPr>
          <w:p w14:paraId="6558A41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0.0196</w:t>
            </w:r>
          </w:p>
        </w:tc>
        <w:tc>
          <w:tcPr>
            <w:tcW w:w="1156" w:type="dxa"/>
            <w:tcBorders>
              <w:top w:val="nil"/>
              <w:left w:val="nil"/>
              <w:bottom w:val="nil"/>
              <w:right w:val="nil"/>
            </w:tcBorders>
            <w:shd w:val="clear" w:color="auto" w:fill="auto"/>
            <w:noWrap/>
            <w:vAlign w:val="center"/>
            <w:hideMark/>
          </w:tcPr>
          <w:p w14:paraId="149BA56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-0.0613</w:t>
            </w:r>
          </w:p>
        </w:tc>
        <w:tc>
          <w:tcPr>
            <w:tcW w:w="1156" w:type="dxa"/>
            <w:tcBorders>
              <w:top w:val="nil"/>
              <w:left w:val="nil"/>
              <w:bottom w:val="nil"/>
              <w:right w:val="nil"/>
            </w:tcBorders>
            <w:shd w:val="clear" w:color="auto" w:fill="auto"/>
            <w:noWrap/>
            <w:vAlign w:val="center"/>
            <w:hideMark/>
          </w:tcPr>
          <w:p w14:paraId="3224355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-0.0468</w:t>
            </w:r>
          </w:p>
        </w:tc>
        <w:tc>
          <w:tcPr>
            <w:tcW w:w="1156" w:type="dxa"/>
            <w:tcBorders>
              <w:top w:val="nil"/>
              <w:left w:val="nil"/>
              <w:bottom w:val="nil"/>
              <w:right w:val="nil"/>
            </w:tcBorders>
            <w:shd w:val="clear" w:color="auto" w:fill="auto"/>
            <w:noWrap/>
            <w:vAlign w:val="center"/>
            <w:hideMark/>
          </w:tcPr>
          <w:p w14:paraId="321FC9F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-0.0546</w:t>
            </w:r>
          </w:p>
        </w:tc>
        <w:tc>
          <w:tcPr>
            <w:tcW w:w="1156" w:type="dxa"/>
            <w:tcBorders>
              <w:top w:val="nil"/>
              <w:left w:val="nil"/>
              <w:bottom w:val="nil"/>
              <w:right w:val="nil"/>
            </w:tcBorders>
            <w:shd w:val="clear" w:color="auto" w:fill="auto"/>
            <w:noWrap/>
            <w:vAlign w:val="center"/>
            <w:hideMark/>
          </w:tcPr>
          <w:p w14:paraId="0893BD6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-0.0678*  </w:t>
            </w:r>
          </w:p>
        </w:tc>
      </w:tr>
      <w:tr w:rsidR="0012305F" w:rsidRPr="000A1A53" w14:paraId="5EC47A3C"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7CB811B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3C8D53E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(0.0357)</w:t>
            </w:r>
          </w:p>
        </w:tc>
        <w:tc>
          <w:tcPr>
            <w:tcW w:w="1156" w:type="dxa"/>
            <w:tcBorders>
              <w:top w:val="nil"/>
              <w:left w:val="nil"/>
              <w:bottom w:val="nil"/>
              <w:right w:val="nil"/>
            </w:tcBorders>
            <w:shd w:val="clear" w:color="auto" w:fill="auto"/>
            <w:noWrap/>
            <w:vAlign w:val="center"/>
            <w:hideMark/>
          </w:tcPr>
          <w:p w14:paraId="14D7BEE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(0.0329)</w:t>
            </w:r>
          </w:p>
        </w:tc>
        <w:tc>
          <w:tcPr>
            <w:tcW w:w="1156" w:type="dxa"/>
            <w:tcBorders>
              <w:top w:val="nil"/>
              <w:left w:val="nil"/>
              <w:bottom w:val="nil"/>
              <w:right w:val="nil"/>
            </w:tcBorders>
            <w:shd w:val="clear" w:color="auto" w:fill="auto"/>
            <w:noWrap/>
            <w:vAlign w:val="center"/>
            <w:hideMark/>
          </w:tcPr>
          <w:p w14:paraId="33C24C9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(0.0436)</w:t>
            </w:r>
          </w:p>
        </w:tc>
        <w:tc>
          <w:tcPr>
            <w:tcW w:w="1156" w:type="dxa"/>
            <w:tcBorders>
              <w:top w:val="nil"/>
              <w:left w:val="nil"/>
              <w:bottom w:val="nil"/>
              <w:right w:val="nil"/>
            </w:tcBorders>
            <w:shd w:val="clear" w:color="auto" w:fill="auto"/>
            <w:noWrap/>
            <w:vAlign w:val="center"/>
            <w:hideMark/>
          </w:tcPr>
          <w:p w14:paraId="40007BE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(0.0293)</w:t>
            </w:r>
          </w:p>
        </w:tc>
        <w:tc>
          <w:tcPr>
            <w:tcW w:w="1156" w:type="dxa"/>
            <w:tcBorders>
              <w:top w:val="nil"/>
              <w:left w:val="nil"/>
              <w:bottom w:val="nil"/>
              <w:right w:val="nil"/>
            </w:tcBorders>
            <w:shd w:val="clear" w:color="auto" w:fill="auto"/>
            <w:noWrap/>
            <w:vAlign w:val="center"/>
            <w:hideMark/>
          </w:tcPr>
          <w:p w14:paraId="6D9DC78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(0.0459)</w:t>
            </w:r>
          </w:p>
        </w:tc>
        <w:tc>
          <w:tcPr>
            <w:tcW w:w="1156" w:type="dxa"/>
            <w:tcBorders>
              <w:top w:val="nil"/>
              <w:left w:val="nil"/>
              <w:bottom w:val="nil"/>
              <w:right w:val="nil"/>
            </w:tcBorders>
            <w:shd w:val="clear" w:color="auto" w:fill="auto"/>
            <w:noWrap/>
            <w:vAlign w:val="center"/>
            <w:hideMark/>
          </w:tcPr>
          <w:p w14:paraId="58FC368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(0.0384)</w:t>
            </w:r>
          </w:p>
        </w:tc>
      </w:tr>
      <w:tr w:rsidR="0012305F" w:rsidRPr="000A1A53" w14:paraId="1AE95567"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32923B8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TO</w:t>
            </w:r>
          </w:p>
        </w:tc>
        <w:tc>
          <w:tcPr>
            <w:tcW w:w="1061" w:type="dxa"/>
            <w:tcBorders>
              <w:top w:val="nil"/>
              <w:left w:val="nil"/>
              <w:bottom w:val="nil"/>
              <w:right w:val="nil"/>
            </w:tcBorders>
            <w:shd w:val="clear" w:color="auto" w:fill="auto"/>
            <w:noWrap/>
            <w:vAlign w:val="center"/>
            <w:hideMark/>
          </w:tcPr>
          <w:p w14:paraId="2F0324F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0.0198</w:t>
            </w:r>
          </w:p>
        </w:tc>
        <w:tc>
          <w:tcPr>
            <w:tcW w:w="1156" w:type="dxa"/>
            <w:tcBorders>
              <w:top w:val="nil"/>
              <w:left w:val="nil"/>
              <w:bottom w:val="nil"/>
              <w:right w:val="nil"/>
            </w:tcBorders>
            <w:shd w:val="clear" w:color="auto" w:fill="auto"/>
            <w:noWrap/>
            <w:vAlign w:val="center"/>
            <w:hideMark/>
          </w:tcPr>
          <w:p w14:paraId="26AE70BA"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0.0551*</w:t>
            </w:r>
          </w:p>
        </w:tc>
        <w:tc>
          <w:tcPr>
            <w:tcW w:w="1156" w:type="dxa"/>
            <w:tcBorders>
              <w:top w:val="nil"/>
              <w:left w:val="nil"/>
              <w:bottom w:val="nil"/>
              <w:right w:val="nil"/>
            </w:tcBorders>
            <w:shd w:val="clear" w:color="auto" w:fill="auto"/>
            <w:noWrap/>
            <w:vAlign w:val="center"/>
            <w:hideMark/>
          </w:tcPr>
          <w:p w14:paraId="0D27444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0.0412</w:t>
            </w:r>
          </w:p>
        </w:tc>
        <w:tc>
          <w:tcPr>
            <w:tcW w:w="1156" w:type="dxa"/>
            <w:tcBorders>
              <w:top w:val="nil"/>
              <w:left w:val="nil"/>
              <w:bottom w:val="nil"/>
              <w:right w:val="nil"/>
            </w:tcBorders>
            <w:shd w:val="clear" w:color="auto" w:fill="auto"/>
            <w:noWrap/>
            <w:vAlign w:val="center"/>
            <w:hideMark/>
          </w:tcPr>
          <w:p w14:paraId="3671F2F7"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-0.0116</w:t>
            </w:r>
          </w:p>
        </w:tc>
        <w:tc>
          <w:tcPr>
            <w:tcW w:w="1156" w:type="dxa"/>
            <w:tcBorders>
              <w:top w:val="nil"/>
              <w:left w:val="nil"/>
              <w:bottom w:val="nil"/>
              <w:right w:val="nil"/>
            </w:tcBorders>
            <w:shd w:val="clear" w:color="auto" w:fill="auto"/>
            <w:noWrap/>
            <w:vAlign w:val="center"/>
            <w:hideMark/>
          </w:tcPr>
          <w:p w14:paraId="4C82AB8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0.0113</w:t>
            </w:r>
          </w:p>
        </w:tc>
        <w:tc>
          <w:tcPr>
            <w:tcW w:w="1156" w:type="dxa"/>
            <w:tcBorders>
              <w:top w:val="nil"/>
              <w:left w:val="nil"/>
              <w:bottom w:val="nil"/>
              <w:right w:val="nil"/>
            </w:tcBorders>
            <w:shd w:val="clear" w:color="auto" w:fill="auto"/>
            <w:noWrap/>
            <w:vAlign w:val="center"/>
            <w:hideMark/>
          </w:tcPr>
          <w:p w14:paraId="4BFBEE1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0.0141</w:t>
            </w:r>
          </w:p>
        </w:tc>
      </w:tr>
      <w:tr w:rsidR="0012305F" w:rsidRPr="000A1A53" w14:paraId="7965934A"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047E059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71AA56E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(0.0491)</w:t>
            </w:r>
          </w:p>
        </w:tc>
        <w:tc>
          <w:tcPr>
            <w:tcW w:w="1156" w:type="dxa"/>
            <w:tcBorders>
              <w:top w:val="nil"/>
              <w:left w:val="nil"/>
              <w:bottom w:val="nil"/>
              <w:right w:val="nil"/>
            </w:tcBorders>
            <w:shd w:val="clear" w:color="auto" w:fill="auto"/>
            <w:noWrap/>
            <w:vAlign w:val="center"/>
            <w:hideMark/>
          </w:tcPr>
          <w:p w14:paraId="2ED4302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(0.0328)</w:t>
            </w:r>
          </w:p>
        </w:tc>
        <w:tc>
          <w:tcPr>
            <w:tcW w:w="1156" w:type="dxa"/>
            <w:tcBorders>
              <w:top w:val="nil"/>
              <w:left w:val="nil"/>
              <w:bottom w:val="nil"/>
              <w:right w:val="nil"/>
            </w:tcBorders>
            <w:shd w:val="clear" w:color="auto" w:fill="auto"/>
            <w:noWrap/>
            <w:vAlign w:val="center"/>
            <w:hideMark/>
          </w:tcPr>
          <w:p w14:paraId="1D486BB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(0.0281)</w:t>
            </w:r>
          </w:p>
        </w:tc>
        <w:tc>
          <w:tcPr>
            <w:tcW w:w="1156" w:type="dxa"/>
            <w:tcBorders>
              <w:top w:val="nil"/>
              <w:left w:val="nil"/>
              <w:bottom w:val="nil"/>
              <w:right w:val="nil"/>
            </w:tcBorders>
            <w:shd w:val="clear" w:color="auto" w:fill="auto"/>
            <w:noWrap/>
            <w:vAlign w:val="center"/>
            <w:hideMark/>
          </w:tcPr>
          <w:p w14:paraId="7E59F92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(0.0577)</w:t>
            </w:r>
          </w:p>
        </w:tc>
        <w:tc>
          <w:tcPr>
            <w:tcW w:w="1156" w:type="dxa"/>
            <w:tcBorders>
              <w:top w:val="nil"/>
              <w:left w:val="nil"/>
              <w:bottom w:val="nil"/>
              <w:right w:val="nil"/>
            </w:tcBorders>
            <w:shd w:val="clear" w:color="auto" w:fill="auto"/>
            <w:noWrap/>
            <w:vAlign w:val="center"/>
            <w:hideMark/>
          </w:tcPr>
          <w:p w14:paraId="5CB7BED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(0.0246)</w:t>
            </w:r>
          </w:p>
        </w:tc>
        <w:tc>
          <w:tcPr>
            <w:tcW w:w="1156" w:type="dxa"/>
            <w:tcBorders>
              <w:top w:val="nil"/>
              <w:left w:val="nil"/>
              <w:bottom w:val="nil"/>
              <w:right w:val="nil"/>
            </w:tcBorders>
            <w:shd w:val="clear" w:color="auto" w:fill="auto"/>
            <w:noWrap/>
            <w:vAlign w:val="center"/>
            <w:hideMark/>
          </w:tcPr>
          <w:p w14:paraId="1021BD3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(0.0256)</w:t>
            </w:r>
          </w:p>
        </w:tc>
      </w:tr>
      <w:tr w:rsidR="0012305F" w:rsidRPr="000A1A53" w14:paraId="072165DA"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48D07EA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Growth</w:t>
            </w:r>
          </w:p>
        </w:tc>
        <w:tc>
          <w:tcPr>
            <w:tcW w:w="1061" w:type="dxa"/>
            <w:tcBorders>
              <w:top w:val="nil"/>
              <w:left w:val="nil"/>
              <w:bottom w:val="nil"/>
              <w:right w:val="nil"/>
            </w:tcBorders>
            <w:shd w:val="clear" w:color="auto" w:fill="auto"/>
            <w:noWrap/>
            <w:vAlign w:val="center"/>
            <w:hideMark/>
          </w:tcPr>
          <w:p w14:paraId="0198E2B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0.1028</w:t>
            </w:r>
          </w:p>
        </w:tc>
        <w:tc>
          <w:tcPr>
            <w:tcW w:w="1156" w:type="dxa"/>
            <w:tcBorders>
              <w:top w:val="nil"/>
              <w:left w:val="nil"/>
              <w:bottom w:val="nil"/>
              <w:right w:val="nil"/>
            </w:tcBorders>
            <w:shd w:val="clear" w:color="auto" w:fill="auto"/>
            <w:noWrap/>
            <w:vAlign w:val="center"/>
            <w:hideMark/>
          </w:tcPr>
          <w:p w14:paraId="613DF92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-0.1287</w:t>
            </w:r>
          </w:p>
        </w:tc>
        <w:tc>
          <w:tcPr>
            <w:tcW w:w="1156" w:type="dxa"/>
            <w:tcBorders>
              <w:top w:val="nil"/>
              <w:left w:val="nil"/>
              <w:bottom w:val="nil"/>
              <w:right w:val="nil"/>
            </w:tcBorders>
            <w:shd w:val="clear" w:color="auto" w:fill="auto"/>
            <w:noWrap/>
            <w:vAlign w:val="center"/>
            <w:hideMark/>
          </w:tcPr>
          <w:p w14:paraId="218BCD8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0.0242</w:t>
            </w:r>
          </w:p>
        </w:tc>
        <w:tc>
          <w:tcPr>
            <w:tcW w:w="1156" w:type="dxa"/>
            <w:tcBorders>
              <w:top w:val="nil"/>
              <w:left w:val="nil"/>
              <w:bottom w:val="nil"/>
              <w:right w:val="nil"/>
            </w:tcBorders>
            <w:shd w:val="clear" w:color="auto" w:fill="auto"/>
            <w:noWrap/>
            <w:vAlign w:val="center"/>
            <w:hideMark/>
          </w:tcPr>
          <w:p w14:paraId="0B592F48"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0.1013</w:t>
            </w:r>
          </w:p>
        </w:tc>
        <w:tc>
          <w:tcPr>
            <w:tcW w:w="1156" w:type="dxa"/>
            <w:tcBorders>
              <w:top w:val="nil"/>
              <w:left w:val="nil"/>
              <w:bottom w:val="nil"/>
              <w:right w:val="nil"/>
            </w:tcBorders>
            <w:shd w:val="clear" w:color="auto" w:fill="auto"/>
            <w:noWrap/>
            <w:vAlign w:val="center"/>
            <w:hideMark/>
          </w:tcPr>
          <w:p w14:paraId="7777923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-0.1700**</w:t>
            </w:r>
          </w:p>
        </w:tc>
        <w:tc>
          <w:tcPr>
            <w:tcW w:w="1156" w:type="dxa"/>
            <w:tcBorders>
              <w:top w:val="nil"/>
              <w:left w:val="nil"/>
              <w:bottom w:val="nil"/>
              <w:right w:val="nil"/>
            </w:tcBorders>
            <w:shd w:val="clear" w:color="auto" w:fill="auto"/>
            <w:noWrap/>
            <w:vAlign w:val="center"/>
            <w:hideMark/>
          </w:tcPr>
          <w:p w14:paraId="4130C5C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-0.1253** </w:t>
            </w:r>
          </w:p>
        </w:tc>
      </w:tr>
      <w:tr w:rsidR="0012305F" w:rsidRPr="000A1A53" w14:paraId="58BA9635"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274D12E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52DAA598"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(0.2627)</w:t>
            </w:r>
          </w:p>
        </w:tc>
        <w:tc>
          <w:tcPr>
            <w:tcW w:w="1156" w:type="dxa"/>
            <w:tcBorders>
              <w:top w:val="nil"/>
              <w:left w:val="nil"/>
              <w:bottom w:val="nil"/>
              <w:right w:val="nil"/>
            </w:tcBorders>
            <w:shd w:val="clear" w:color="auto" w:fill="auto"/>
            <w:noWrap/>
            <w:vAlign w:val="center"/>
            <w:hideMark/>
          </w:tcPr>
          <w:p w14:paraId="290FA03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(0.1043)</w:t>
            </w:r>
          </w:p>
        </w:tc>
        <w:tc>
          <w:tcPr>
            <w:tcW w:w="1156" w:type="dxa"/>
            <w:tcBorders>
              <w:top w:val="nil"/>
              <w:left w:val="nil"/>
              <w:bottom w:val="nil"/>
              <w:right w:val="nil"/>
            </w:tcBorders>
            <w:shd w:val="clear" w:color="auto" w:fill="auto"/>
            <w:noWrap/>
            <w:vAlign w:val="center"/>
            <w:hideMark/>
          </w:tcPr>
          <w:p w14:paraId="578262A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(0.0989)</w:t>
            </w:r>
          </w:p>
        </w:tc>
        <w:tc>
          <w:tcPr>
            <w:tcW w:w="1156" w:type="dxa"/>
            <w:tcBorders>
              <w:top w:val="nil"/>
              <w:left w:val="nil"/>
              <w:bottom w:val="nil"/>
              <w:right w:val="nil"/>
            </w:tcBorders>
            <w:shd w:val="clear" w:color="auto" w:fill="auto"/>
            <w:noWrap/>
            <w:vAlign w:val="center"/>
            <w:hideMark/>
          </w:tcPr>
          <w:p w14:paraId="40107AF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(0.2283)</w:t>
            </w:r>
          </w:p>
        </w:tc>
        <w:tc>
          <w:tcPr>
            <w:tcW w:w="1156" w:type="dxa"/>
            <w:tcBorders>
              <w:top w:val="nil"/>
              <w:left w:val="nil"/>
              <w:bottom w:val="nil"/>
              <w:right w:val="nil"/>
            </w:tcBorders>
            <w:shd w:val="clear" w:color="auto" w:fill="auto"/>
            <w:noWrap/>
            <w:vAlign w:val="center"/>
            <w:hideMark/>
          </w:tcPr>
          <w:p w14:paraId="534B0437"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(0.0776)</w:t>
            </w:r>
          </w:p>
        </w:tc>
        <w:tc>
          <w:tcPr>
            <w:tcW w:w="1156" w:type="dxa"/>
            <w:tcBorders>
              <w:top w:val="nil"/>
              <w:left w:val="nil"/>
              <w:bottom w:val="nil"/>
              <w:right w:val="nil"/>
            </w:tcBorders>
            <w:shd w:val="clear" w:color="auto" w:fill="auto"/>
            <w:noWrap/>
            <w:vAlign w:val="center"/>
            <w:hideMark/>
          </w:tcPr>
          <w:p w14:paraId="7FED96A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(-0.049)</w:t>
            </w:r>
          </w:p>
        </w:tc>
      </w:tr>
      <w:tr w:rsidR="0012305F" w:rsidRPr="000A1A53" w14:paraId="6C34C825"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092158F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Inf</w:t>
            </w:r>
          </w:p>
        </w:tc>
        <w:tc>
          <w:tcPr>
            <w:tcW w:w="1061" w:type="dxa"/>
            <w:tcBorders>
              <w:top w:val="nil"/>
              <w:left w:val="nil"/>
              <w:bottom w:val="nil"/>
              <w:right w:val="nil"/>
            </w:tcBorders>
            <w:shd w:val="clear" w:color="auto" w:fill="auto"/>
            <w:noWrap/>
            <w:vAlign w:val="center"/>
            <w:hideMark/>
          </w:tcPr>
          <w:p w14:paraId="5F5F53F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0.0005</w:t>
            </w:r>
          </w:p>
        </w:tc>
        <w:tc>
          <w:tcPr>
            <w:tcW w:w="1156" w:type="dxa"/>
            <w:tcBorders>
              <w:top w:val="nil"/>
              <w:left w:val="nil"/>
              <w:bottom w:val="nil"/>
              <w:right w:val="nil"/>
            </w:tcBorders>
            <w:shd w:val="clear" w:color="auto" w:fill="auto"/>
            <w:noWrap/>
            <w:vAlign w:val="center"/>
            <w:hideMark/>
          </w:tcPr>
          <w:p w14:paraId="6725598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-0.0005</w:t>
            </w:r>
          </w:p>
        </w:tc>
        <w:tc>
          <w:tcPr>
            <w:tcW w:w="1156" w:type="dxa"/>
            <w:tcBorders>
              <w:top w:val="nil"/>
              <w:left w:val="nil"/>
              <w:bottom w:val="nil"/>
              <w:right w:val="nil"/>
            </w:tcBorders>
            <w:shd w:val="clear" w:color="auto" w:fill="auto"/>
            <w:noWrap/>
            <w:vAlign w:val="center"/>
            <w:hideMark/>
          </w:tcPr>
          <w:p w14:paraId="1EE8D40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-0.0002</w:t>
            </w:r>
          </w:p>
        </w:tc>
        <w:tc>
          <w:tcPr>
            <w:tcW w:w="1156" w:type="dxa"/>
            <w:tcBorders>
              <w:top w:val="nil"/>
              <w:left w:val="nil"/>
              <w:bottom w:val="nil"/>
              <w:right w:val="nil"/>
            </w:tcBorders>
            <w:shd w:val="clear" w:color="auto" w:fill="auto"/>
            <w:noWrap/>
            <w:vAlign w:val="center"/>
            <w:hideMark/>
          </w:tcPr>
          <w:p w14:paraId="651BFD8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0.0004</w:t>
            </w:r>
          </w:p>
        </w:tc>
        <w:tc>
          <w:tcPr>
            <w:tcW w:w="1156" w:type="dxa"/>
            <w:tcBorders>
              <w:top w:val="nil"/>
              <w:left w:val="nil"/>
              <w:bottom w:val="nil"/>
              <w:right w:val="nil"/>
            </w:tcBorders>
            <w:shd w:val="clear" w:color="auto" w:fill="auto"/>
            <w:noWrap/>
            <w:vAlign w:val="center"/>
            <w:hideMark/>
          </w:tcPr>
          <w:p w14:paraId="7DD9A86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0.0002</w:t>
            </w:r>
          </w:p>
        </w:tc>
        <w:tc>
          <w:tcPr>
            <w:tcW w:w="1156" w:type="dxa"/>
            <w:tcBorders>
              <w:top w:val="nil"/>
              <w:left w:val="nil"/>
              <w:bottom w:val="nil"/>
              <w:right w:val="nil"/>
            </w:tcBorders>
            <w:shd w:val="clear" w:color="auto" w:fill="auto"/>
            <w:noWrap/>
            <w:vAlign w:val="center"/>
            <w:hideMark/>
          </w:tcPr>
          <w:p w14:paraId="221DCC5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-0.0003</w:t>
            </w:r>
          </w:p>
        </w:tc>
      </w:tr>
      <w:tr w:rsidR="0012305F" w:rsidRPr="000A1A53" w14:paraId="13BB2453"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3FEF2987"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5519041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(0.0005)</w:t>
            </w:r>
          </w:p>
        </w:tc>
        <w:tc>
          <w:tcPr>
            <w:tcW w:w="1156" w:type="dxa"/>
            <w:tcBorders>
              <w:top w:val="nil"/>
              <w:left w:val="nil"/>
              <w:bottom w:val="nil"/>
              <w:right w:val="nil"/>
            </w:tcBorders>
            <w:shd w:val="clear" w:color="auto" w:fill="auto"/>
            <w:noWrap/>
            <w:vAlign w:val="center"/>
            <w:hideMark/>
          </w:tcPr>
          <w:p w14:paraId="3BBE133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(0.0005)</w:t>
            </w:r>
          </w:p>
        </w:tc>
        <w:tc>
          <w:tcPr>
            <w:tcW w:w="1156" w:type="dxa"/>
            <w:tcBorders>
              <w:top w:val="nil"/>
              <w:left w:val="nil"/>
              <w:bottom w:val="nil"/>
              <w:right w:val="nil"/>
            </w:tcBorders>
            <w:shd w:val="clear" w:color="auto" w:fill="auto"/>
            <w:noWrap/>
            <w:vAlign w:val="center"/>
            <w:hideMark/>
          </w:tcPr>
          <w:p w14:paraId="05F2DA7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(0.0003)</w:t>
            </w:r>
          </w:p>
        </w:tc>
        <w:tc>
          <w:tcPr>
            <w:tcW w:w="1156" w:type="dxa"/>
            <w:tcBorders>
              <w:top w:val="nil"/>
              <w:left w:val="nil"/>
              <w:bottom w:val="nil"/>
              <w:right w:val="nil"/>
            </w:tcBorders>
            <w:shd w:val="clear" w:color="auto" w:fill="auto"/>
            <w:noWrap/>
            <w:vAlign w:val="center"/>
            <w:hideMark/>
          </w:tcPr>
          <w:p w14:paraId="50B34897"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(0.0005)</w:t>
            </w:r>
          </w:p>
        </w:tc>
        <w:tc>
          <w:tcPr>
            <w:tcW w:w="1156" w:type="dxa"/>
            <w:tcBorders>
              <w:top w:val="nil"/>
              <w:left w:val="nil"/>
              <w:bottom w:val="nil"/>
              <w:right w:val="nil"/>
            </w:tcBorders>
            <w:shd w:val="clear" w:color="auto" w:fill="auto"/>
            <w:noWrap/>
            <w:vAlign w:val="center"/>
            <w:hideMark/>
          </w:tcPr>
          <w:p w14:paraId="08F4A86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(0.0003)</w:t>
            </w:r>
          </w:p>
        </w:tc>
        <w:tc>
          <w:tcPr>
            <w:tcW w:w="1156" w:type="dxa"/>
            <w:tcBorders>
              <w:top w:val="nil"/>
              <w:left w:val="nil"/>
              <w:bottom w:val="nil"/>
              <w:right w:val="nil"/>
            </w:tcBorders>
            <w:shd w:val="clear" w:color="auto" w:fill="auto"/>
            <w:noWrap/>
            <w:vAlign w:val="center"/>
            <w:hideMark/>
          </w:tcPr>
          <w:p w14:paraId="2CECCE8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(0.0003)</w:t>
            </w:r>
          </w:p>
        </w:tc>
      </w:tr>
      <w:tr w:rsidR="0012305F" w:rsidRPr="000A1A53" w14:paraId="3A576850"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0D6D487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0A1A53">
              <w:rPr>
                <w:rFonts w:ascii="Times New Roman" w:eastAsia="Times New Roman" w:hAnsi="Times New Roman" w:cs="Times New Roman"/>
                <w:color w:val="000000"/>
                <w:sz w:val="20"/>
                <w:szCs w:val="20"/>
                <w:lang w:eastAsia="en-NZ"/>
              </w:rPr>
              <w:t>GovExp</w:t>
            </w:r>
            <w:proofErr w:type="spellEnd"/>
          </w:p>
        </w:tc>
        <w:tc>
          <w:tcPr>
            <w:tcW w:w="1061" w:type="dxa"/>
            <w:tcBorders>
              <w:top w:val="nil"/>
              <w:left w:val="nil"/>
              <w:bottom w:val="nil"/>
              <w:right w:val="nil"/>
            </w:tcBorders>
            <w:shd w:val="clear" w:color="auto" w:fill="auto"/>
            <w:noWrap/>
            <w:vAlign w:val="center"/>
            <w:hideMark/>
          </w:tcPr>
          <w:p w14:paraId="3482B01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-0.0111</w:t>
            </w:r>
          </w:p>
        </w:tc>
        <w:tc>
          <w:tcPr>
            <w:tcW w:w="1156" w:type="dxa"/>
            <w:tcBorders>
              <w:top w:val="nil"/>
              <w:left w:val="nil"/>
              <w:bottom w:val="nil"/>
              <w:right w:val="nil"/>
            </w:tcBorders>
            <w:shd w:val="clear" w:color="auto" w:fill="auto"/>
            <w:noWrap/>
            <w:vAlign w:val="center"/>
            <w:hideMark/>
          </w:tcPr>
          <w:p w14:paraId="14A928B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-0.0298</w:t>
            </w:r>
          </w:p>
        </w:tc>
        <w:tc>
          <w:tcPr>
            <w:tcW w:w="1156" w:type="dxa"/>
            <w:tcBorders>
              <w:top w:val="nil"/>
              <w:left w:val="nil"/>
              <w:bottom w:val="nil"/>
              <w:right w:val="nil"/>
            </w:tcBorders>
            <w:shd w:val="clear" w:color="auto" w:fill="auto"/>
            <w:noWrap/>
            <w:vAlign w:val="center"/>
            <w:hideMark/>
          </w:tcPr>
          <w:p w14:paraId="388A975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-0.005</w:t>
            </w:r>
          </w:p>
        </w:tc>
        <w:tc>
          <w:tcPr>
            <w:tcW w:w="1156" w:type="dxa"/>
            <w:tcBorders>
              <w:top w:val="nil"/>
              <w:left w:val="nil"/>
              <w:bottom w:val="nil"/>
              <w:right w:val="nil"/>
            </w:tcBorders>
            <w:shd w:val="clear" w:color="auto" w:fill="auto"/>
            <w:noWrap/>
            <w:vAlign w:val="center"/>
            <w:hideMark/>
          </w:tcPr>
          <w:p w14:paraId="37DDCA2A"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-0.0066</w:t>
            </w:r>
          </w:p>
        </w:tc>
        <w:tc>
          <w:tcPr>
            <w:tcW w:w="1156" w:type="dxa"/>
            <w:tcBorders>
              <w:top w:val="nil"/>
              <w:left w:val="nil"/>
              <w:bottom w:val="nil"/>
              <w:right w:val="nil"/>
            </w:tcBorders>
            <w:shd w:val="clear" w:color="auto" w:fill="auto"/>
            <w:noWrap/>
            <w:vAlign w:val="center"/>
            <w:hideMark/>
          </w:tcPr>
          <w:p w14:paraId="52A17F0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-0.0318**</w:t>
            </w:r>
          </w:p>
        </w:tc>
        <w:tc>
          <w:tcPr>
            <w:tcW w:w="1156" w:type="dxa"/>
            <w:tcBorders>
              <w:top w:val="nil"/>
              <w:left w:val="nil"/>
              <w:bottom w:val="nil"/>
              <w:right w:val="nil"/>
            </w:tcBorders>
            <w:shd w:val="clear" w:color="auto" w:fill="auto"/>
            <w:noWrap/>
            <w:vAlign w:val="center"/>
            <w:hideMark/>
          </w:tcPr>
          <w:p w14:paraId="189229B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 xml:space="preserve">-0.0279** </w:t>
            </w:r>
          </w:p>
        </w:tc>
      </w:tr>
      <w:tr w:rsidR="0012305F" w:rsidRPr="000A1A53" w14:paraId="204EE26E"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4649913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0F53CD4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(0.0256)</w:t>
            </w:r>
          </w:p>
        </w:tc>
        <w:tc>
          <w:tcPr>
            <w:tcW w:w="1156" w:type="dxa"/>
            <w:tcBorders>
              <w:top w:val="nil"/>
              <w:left w:val="nil"/>
              <w:bottom w:val="nil"/>
              <w:right w:val="nil"/>
            </w:tcBorders>
            <w:shd w:val="clear" w:color="auto" w:fill="auto"/>
            <w:noWrap/>
            <w:vAlign w:val="center"/>
            <w:hideMark/>
          </w:tcPr>
          <w:p w14:paraId="1CF6294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(0.0261)</w:t>
            </w:r>
          </w:p>
        </w:tc>
        <w:tc>
          <w:tcPr>
            <w:tcW w:w="1156" w:type="dxa"/>
            <w:tcBorders>
              <w:top w:val="nil"/>
              <w:left w:val="nil"/>
              <w:bottom w:val="nil"/>
              <w:right w:val="nil"/>
            </w:tcBorders>
            <w:shd w:val="clear" w:color="auto" w:fill="auto"/>
            <w:noWrap/>
            <w:vAlign w:val="center"/>
            <w:hideMark/>
          </w:tcPr>
          <w:p w14:paraId="2A99790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(0.0169)</w:t>
            </w:r>
          </w:p>
        </w:tc>
        <w:tc>
          <w:tcPr>
            <w:tcW w:w="1156" w:type="dxa"/>
            <w:tcBorders>
              <w:top w:val="nil"/>
              <w:left w:val="nil"/>
              <w:bottom w:val="nil"/>
              <w:right w:val="nil"/>
            </w:tcBorders>
            <w:shd w:val="clear" w:color="auto" w:fill="auto"/>
            <w:noWrap/>
            <w:vAlign w:val="center"/>
            <w:hideMark/>
          </w:tcPr>
          <w:p w14:paraId="5CC405C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(0.0133)</w:t>
            </w:r>
          </w:p>
        </w:tc>
        <w:tc>
          <w:tcPr>
            <w:tcW w:w="1156" w:type="dxa"/>
            <w:tcBorders>
              <w:top w:val="nil"/>
              <w:left w:val="nil"/>
              <w:bottom w:val="nil"/>
              <w:right w:val="nil"/>
            </w:tcBorders>
            <w:shd w:val="clear" w:color="auto" w:fill="auto"/>
            <w:noWrap/>
            <w:vAlign w:val="center"/>
            <w:hideMark/>
          </w:tcPr>
          <w:p w14:paraId="671DE0F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(0.0154)</w:t>
            </w:r>
          </w:p>
        </w:tc>
        <w:tc>
          <w:tcPr>
            <w:tcW w:w="1156" w:type="dxa"/>
            <w:tcBorders>
              <w:top w:val="nil"/>
              <w:left w:val="nil"/>
              <w:bottom w:val="nil"/>
              <w:right w:val="nil"/>
            </w:tcBorders>
            <w:shd w:val="clear" w:color="auto" w:fill="auto"/>
            <w:noWrap/>
            <w:vAlign w:val="center"/>
            <w:hideMark/>
          </w:tcPr>
          <w:p w14:paraId="004CE08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(0.0132)</w:t>
            </w:r>
          </w:p>
        </w:tc>
      </w:tr>
      <w:tr w:rsidR="0012305F" w:rsidRPr="000A1A53" w14:paraId="64AB70A3"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0D5156B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Pop</w:t>
            </w:r>
          </w:p>
        </w:tc>
        <w:tc>
          <w:tcPr>
            <w:tcW w:w="1061" w:type="dxa"/>
            <w:tcBorders>
              <w:top w:val="nil"/>
              <w:left w:val="nil"/>
              <w:bottom w:val="nil"/>
              <w:right w:val="nil"/>
            </w:tcBorders>
            <w:shd w:val="clear" w:color="auto" w:fill="auto"/>
            <w:noWrap/>
            <w:vAlign w:val="center"/>
            <w:hideMark/>
          </w:tcPr>
          <w:p w14:paraId="0477F6D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0.0811</w:t>
            </w:r>
          </w:p>
        </w:tc>
        <w:tc>
          <w:tcPr>
            <w:tcW w:w="1156" w:type="dxa"/>
            <w:tcBorders>
              <w:top w:val="nil"/>
              <w:left w:val="nil"/>
              <w:bottom w:val="nil"/>
              <w:right w:val="nil"/>
            </w:tcBorders>
            <w:shd w:val="clear" w:color="auto" w:fill="auto"/>
            <w:noWrap/>
            <w:vAlign w:val="center"/>
            <w:hideMark/>
          </w:tcPr>
          <w:p w14:paraId="094603A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0.1276</w:t>
            </w:r>
          </w:p>
        </w:tc>
        <w:tc>
          <w:tcPr>
            <w:tcW w:w="1156" w:type="dxa"/>
            <w:tcBorders>
              <w:top w:val="nil"/>
              <w:left w:val="nil"/>
              <w:bottom w:val="nil"/>
              <w:right w:val="nil"/>
            </w:tcBorders>
            <w:shd w:val="clear" w:color="auto" w:fill="auto"/>
            <w:noWrap/>
            <w:vAlign w:val="center"/>
            <w:hideMark/>
          </w:tcPr>
          <w:p w14:paraId="5E0609A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0.1296</w:t>
            </w:r>
          </w:p>
        </w:tc>
        <w:tc>
          <w:tcPr>
            <w:tcW w:w="1156" w:type="dxa"/>
            <w:tcBorders>
              <w:top w:val="nil"/>
              <w:left w:val="nil"/>
              <w:bottom w:val="nil"/>
              <w:right w:val="nil"/>
            </w:tcBorders>
            <w:shd w:val="clear" w:color="auto" w:fill="auto"/>
            <w:noWrap/>
            <w:vAlign w:val="center"/>
            <w:hideMark/>
          </w:tcPr>
          <w:p w14:paraId="28AE626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-0.1063</w:t>
            </w:r>
          </w:p>
        </w:tc>
        <w:tc>
          <w:tcPr>
            <w:tcW w:w="1156" w:type="dxa"/>
            <w:tcBorders>
              <w:top w:val="nil"/>
              <w:left w:val="nil"/>
              <w:bottom w:val="nil"/>
              <w:right w:val="nil"/>
            </w:tcBorders>
            <w:shd w:val="clear" w:color="auto" w:fill="auto"/>
            <w:noWrap/>
            <w:vAlign w:val="center"/>
            <w:hideMark/>
          </w:tcPr>
          <w:p w14:paraId="4500FAFB"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-0.1005</w:t>
            </w:r>
          </w:p>
        </w:tc>
        <w:tc>
          <w:tcPr>
            <w:tcW w:w="1156" w:type="dxa"/>
            <w:tcBorders>
              <w:top w:val="nil"/>
              <w:left w:val="nil"/>
              <w:bottom w:val="nil"/>
              <w:right w:val="nil"/>
            </w:tcBorders>
            <w:shd w:val="clear" w:color="auto" w:fill="auto"/>
            <w:noWrap/>
            <w:vAlign w:val="center"/>
            <w:hideMark/>
          </w:tcPr>
          <w:p w14:paraId="51A93D8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0.0486</w:t>
            </w:r>
          </w:p>
        </w:tc>
      </w:tr>
      <w:tr w:rsidR="0012305F" w:rsidRPr="000A1A53" w14:paraId="608757DE"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200D075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2EDE69B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(0.085</w:t>
            </w:r>
            <w:r>
              <w:rPr>
                <w:rFonts w:ascii="Times New Roman" w:eastAsia="Times New Roman" w:hAnsi="Times New Roman" w:cs="Times New Roman"/>
                <w:color w:val="000000"/>
                <w:sz w:val="20"/>
                <w:szCs w:val="20"/>
                <w:lang w:eastAsia="en-NZ"/>
              </w:rPr>
              <w:t>0</w:t>
            </w:r>
            <w:r w:rsidRPr="000A1A53">
              <w:rPr>
                <w:rFonts w:ascii="Times New Roman" w:eastAsia="Times New Roman" w:hAnsi="Times New Roman" w:cs="Times New Roman"/>
                <w:color w:val="000000"/>
                <w:sz w:val="20"/>
                <w:szCs w:val="20"/>
                <w:lang w:eastAsia="en-NZ"/>
              </w:rPr>
              <w:t>)</w:t>
            </w:r>
          </w:p>
        </w:tc>
        <w:tc>
          <w:tcPr>
            <w:tcW w:w="1156" w:type="dxa"/>
            <w:tcBorders>
              <w:top w:val="nil"/>
              <w:left w:val="nil"/>
              <w:bottom w:val="nil"/>
              <w:right w:val="nil"/>
            </w:tcBorders>
            <w:shd w:val="clear" w:color="auto" w:fill="auto"/>
            <w:noWrap/>
            <w:vAlign w:val="center"/>
            <w:hideMark/>
          </w:tcPr>
          <w:p w14:paraId="25899F2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(0.1205)</w:t>
            </w:r>
          </w:p>
        </w:tc>
        <w:tc>
          <w:tcPr>
            <w:tcW w:w="1156" w:type="dxa"/>
            <w:tcBorders>
              <w:top w:val="nil"/>
              <w:left w:val="nil"/>
              <w:bottom w:val="nil"/>
              <w:right w:val="nil"/>
            </w:tcBorders>
            <w:shd w:val="clear" w:color="auto" w:fill="auto"/>
            <w:noWrap/>
            <w:vAlign w:val="center"/>
            <w:hideMark/>
          </w:tcPr>
          <w:p w14:paraId="2BAAFAE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(0.0872)</w:t>
            </w:r>
          </w:p>
        </w:tc>
        <w:tc>
          <w:tcPr>
            <w:tcW w:w="1156" w:type="dxa"/>
            <w:tcBorders>
              <w:top w:val="nil"/>
              <w:left w:val="nil"/>
              <w:bottom w:val="nil"/>
              <w:right w:val="nil"/>
            </w:tcBorders>
            <w:shd w:val="clear" w:color="auto" w:fill="auto"/>
            <w:noWrap/>
            <w:vAlign w:val="center"/>
            <w:hideMark/>
          </w:tcPr>
          <w:p w14:paraId="5967323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(0.1361)</w:t>
            </w:r>
          </w:p>
        </w:tc>
        <w:tc>
          <w:tcPr>
            <w:tcW w:w="1156" w:type="dxa"/>
            <w:tcBorders>
              <w:top w:val="nil"/>
              <w:left w:val="nil"/>
              <w:bottom w:val="nil"/>
              <w:right w:val="nil"/>
            </w:tcBorders>
            <w:shd w:val="clear" w:color="auto" w:fill="auto"/>
            <w:noWrap/>
            <w:vAlign w:val="center"/>
            <w:hideMark/>
          </w:tcPr>
          <w:p w14:paraId="66FDABA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(0.0746)</w:t>
            </w:r>
          </w:p>
        </w:tc>
        <w:tc>
          <w:tcPr>
            <w:tcW w:w="1156" w:type="dxa"/>
            <w:tcBorders>
              <w:top w:val="nil"/>
              <w:left w:val="nil"/>
              <w:bottom w:val="nil"/>
              <w:right w:val="nil"/>
            </w:tcBorders>
            <w:shd w:val="clear" w:color="auto" w:fill="auto"/>
            <w:noWrap/>
            <w:vAlign w:val="center"/>
            <w:hideMark/>
          </w:tcPr>
          <w:p w14:paraId="2CAF6A2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(0.0503)</w:t>
            </w:r>
          </w:p>
        </w:tc>
      </w:tr>
      <w:tr w:rsidR="0012305F" w:rsidRPr="000A1A53" w14:paraId="55638E66"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4342BE5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LifeExp</w:t>
            </w:r>
            <w:proofErr w:type="spellEnd"/>
          </w:p>
        </w:tc>
        <w:tc>
          <w:tcPr>
            <w:tcW w:w="1061" w:type="dxa"/>
            <w:tcBorders>
              <w:top w:val="nil"/>
              <w:left w:val="nil"/>
              <w:bottom w:val="nil"/>
              <w:right w:val="nil"/>
            </w:tcBorders>
            <w:shd w:val="clear" w:color="auto" w:fill="auto"/>
            <w:noWrap/>
            <w:vAlign w:val="center"/>
            <w:hideMark/>
          </w:tcPr>
          <w:p w14:paraId="728D99A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-0.0063</w:t>
            </w:r>
          </w:p>
        </w:tc>
        <w:tc>
          <w:tcPr>
            <w:tcW w:w="1156" w:type="dxa"/>
            <w:tcBorders>
              <w:top w:val="nil"/>
              <w:left w:val="nil"/>
              <w:bottom w:val="nil"/>
              <w:right w:val="nil"/>
            </w:tcBorders>
            <w:shd w:val="clear" w:color="auto" w:fill="auto"/>
            <w:noWrap/>
            <w:vAlign w:val="center"/>
            <w:hideMark/>
          </w:tcPr>
          <w:p w14:paraId="3D4D5BE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-0.0005</w:t>
            </w:r>
          </w:p>
        </w:tc>
        <w:tc>
          <w:tcPr>
            <w:tcW w:w="1156" w:type="dxa"/>
            <w:tcBorders>
              <w:top w:val="nil"/>
              <w:left w:val="nil"/>
              <w:bottom w:val="nil"/>
              <w:right w:val="nil"/>
            </w:tcBorders>
            <w:shd w:val="clear" w:color="auto" w:fill="auto"/>
            <w:noWrap/>
            <w:vAlign w:val="center"/>
            <w:hideMark/>
          </w:tcPr>
          <w:p w14:paraId="5BCBE05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-0.0016</w:t>
            </w:r>
          </w:p>
        </w:tc>
        <w:tc>
          <w:tcPr>
            <w:tcW w:w="1156" w:type="dxa"/>
            <w:tcBorders>
              <w:top w:val="nil"/>
              <w:left w:val="nil"/>
              <w:bottom w:val="nil"/>
              <w:right w:val="nil"/>
            </w:tcBorders>
            <w:shd w:val="clear" w:color="auto" w:fill="auto"/>
            <w:noWrap/>
            <w:vAlign w:val="center"/>
            <w:hideMark/>
          </w:tcPr>
          <w:p w14:paraId="376B777A"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0.0018</w:t>
            </w:r>
          </w:p>
        </w:tc>
        <w:tc>
          <w:tcPr>
            <w:tcW w:w="1156" w:type="dxa"/>
            <w:tcBorders>
              <w:top w:val="nil"/>
              <w:left w:val="nil"/>
              <w:bottom w:val="nil"/>
              <w:right w:val="nil"/>
            </w:tcBorders>
            <w:shd w:val="clear" w:color="auto" w:fill="auto"/>
            <w:noWrap/>
            <w:vAlign w:val="center"/>
            <w:hideMark/>
          </w:tcPr>
          <w:p w14:paraId="30D34A6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-0.0019</w:t>
            </w:r>
          </w:p>
        </w:tc>
        <w:tc>
          <w:tcPr>
            <w:tcW w:w="1156" w:type="dxa"/>
            <w:tcBorders>
              <w:top w:val="nil"/>
              <w:left w:val="nil"/>
              <w:bottom w:val="nil"/>
              <w:right w:val="nil"/>
            </w:tcBorders>
            <w:shd w:val="clear" w:color="auto" w:fill="auto"/>
            <w:noWrap/>
            <w:vAlign w:val="center"/>
            <w:hideMark/>
          </w:tcPr>
          <w:p w14:paraId="34DB1FE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-0.0025</w:t>
            </w:r>
          </w:p>
        </w:tc>
      </w:tr>
      <w:tr w:rsidR="0012305F" w:rsidRPr="000A1A53" w14:paraId="5BF85FFD"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675AC2B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hideMark/>
          </w:tcPr>
          <w:p w14:paraId="1FEC89E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(0.0052)</w:t>
            </w:r>
          </w:p>
        </w:tc>
        <w:tc>
          <w:tcPr>
            <w:tcW w:w="1156" w:type="dxa"/>
            <w:tcBorders>
              <w:top w:val="nil"/>
              <w:left w:val="nil"/>
              <w:bottom w:val="nil"/>
              <w:right w:val="nil"/>
            </w:tcBorders>
            <w:shd w:val="clear" w:color="auto" w:fill="auto"/>
            <w:noWrap/>
            <w:vAlign w:val="center"/>
            <w:hideMark/>
          </w:tcPr>
          <w:p w14:paraId="5073F95A"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(0.0019)</w:t>
            </w:r>
          </w:p>
        </w:tc>
        <w:tc>
          <w:tcPr>
            <w:tcW w:w="1156" w:type="dxa"/>
            <w:tcBorders>
              <w:top w:val="nil"/>
              <w:left w:val="nil"/>
              <w:bottom w:val="nil"/>
              <w:right w:val="nil"/>
            </w:tcBorders>
            <w:shd w:val="clear" w:color="auto" w:fill="auto"/>
            <w:noWrap/>
            <w:vAlign w:val="center"/>
            <w:hideMark/>
          </w:tcPr>
          <w:p w14:paraId="0C31CAA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(0.0013)</w:t>
            </w:r>
          </w:p>
        </w:tc>
        <w:tc>
          <w:tcPr>
            <w:tcW w:w="1156" w:type="dxa"/>
            <w:tcBorders>
              <w:top w:val="nil"/>
              <w:left w:val="nil"/>
              <w:bottom w:val="nil"/>
              <w:right w:val="nil"/>
            </w:tcBorders>
            <w:shd w:val="clear" w:color="auto" w:fill="auto"/>
            <w:noWrap/>
            <w:vAlign w:val="center"/>
            <w:hideMark/>
          </w:tcPr>
          <w:p w14:paraId="6D3799F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(0.0037)</w:t>
            </w:r>
          </w:p>
        </w:tc>
        <w:tc>
          <w:tcPr>
            <w:tcW w:w="1156" w:type="dxa"/>
            <w:tcBorders>
              <w:top w:val="nil"/>
              <w:left w:val="nil"/>
              <w:bottom w:val="nil"/>
              <w:right w:val="nil"/>
            </w:tcBorders>
            <w:shd w:val="clear" w:color="auto" w:fill="auto"/>
            <w:noWrap/>
            <w:vAlign w:val="center"/>
            <w:hideMark/>
          </w:tcPr>
          <w:p w14:paraId="091B89C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(-0.002)</w:t>
            </w:r>
          </w:p>
        </w:tc>
        <w:tc>
          <w:tcPr>
            <w:tcW w:w="1156" w:type="dxa"/>
            <w:tcBorders>
              <w:top w:val="nil"/>
              <w:left w:val="nil"/>
              <w:bottom w:val="nil"/>
              <w:right w:val="nil"/>
            </w:tcBorders>
            <w:shd w:val="clear" w:color="auto" w:fill="auto"/>
            <w:noWrap/>
            <w:vAlign w:val="center"/>
            <w:hideMark/>
          </w:tcPr>
          <w:p w14:paraId="00807AE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(0.0016)</w:t>
            </w:r>
          </w:p>
        </w:tc>
      </w:tr>
      <w:tr w:rsidR="0012305F" w:rsidRPr="000A1A53" w14:paraId="6C896EF2" w14:textId="77777777" w:rsidTr="00354437">
        <w:trPr>
          <w:trHeight w:hRule="exact" w:val="247"/>
          <w:jc w:val="center"/>
        </w:trPr>
        <w:tc>
          <w:tcPr>
            <w:tcW w:w="2988" w:type="dxa"/>
            <w:tcBorders>
              <w:top w:val="nil"/>
              <w:left w:val="nil"/>
              <w:bottom w:val="nil"/>
              <w:right w:val="nil"/>
            </w:tcBorders>
            <w:shd w:val="clear" w:color="auto" w:fill="auto"/>
            <w:noWrap/>
            <w:vAlign w:val="bottom"/>
          </w:tcPr>
          <w:p w14:paraId="628745D9"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061" w:type="dxa"/>
            <w:tcBorders>
              <w:top w:val="nil"/>
              <w:left w:val="nil"/>
              <w:bottom w:val="nil"/>
              <w:right w:val="nil"/>
            </w:tcBorders>
            <w:shd w:val="clear" w:color="auto" w:fill="auto"/>
            <w:noWrap/>
            <w:vAlign w:val="center"/>
          </w:tcPr>
          <w:p w14:paraId="7A8F926F"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tcPr>
          <w:p w14:paraId="70F1AF2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tcPr>
          <w:p w14:paraId="02D92458"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tcPr>
          <w:p w14:paraId="5F53E7D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tcPr>
          <w:p w14:paraId="30F2BCFD"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56" w:type="dxa"/>
            <w:tcBorders>
              <w:top w:val="nil"/>
              <w:left w:val="nil"/>
              <w:bottom w:val="nil"/>
              <w:right w:val="nil"/>
            </w:tcBorders>
            <w:shd w:val="clear" w:color="auto" w:fill="auto"/>
            <w:noWrap/>
            <w:vAlign w:val="center"/>
          </w:tcPr>
          <w:p w14:paraId="6B490D20"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r>
      <w:tr w:rsidR="0012305F" w:rsidRPr="000A1A53" w14:paraId="5D7B612D"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6F72308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Observation</w:t>
            </w:r>
          </w:p>
        </w:tc>
        <w:tc>
          <w:tcPr>
            <w:tcW w:w="1061" w:type="dxa"/>
            <w:tcBorders>
              <w:top w:val="nil"/>
              <w:left w:val="nil"/>
              <w:bottom w:val="nil"/>
              <w:right w:val="nil"/>
            </w:tcBorders>
            <w:shd w:val="clear" w:color="auto" w:fill="auto"/>
            <w:noWrap/>
            <w:vAlign w:val="center"/>
            <w:hideMark/>
          </w:tcPr>
          <w:p w14:paraId="0ABC733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108</w:t>
            </w:r>
          </w:p>
        </w:tc>
        <w:tc>
          <w:tcPr>
            <w:tcW w:w="1156" w:type="dxa"/>
            <w:tcBorders>
              <w:top w:val="nil"/>
              <w:left w:val="nil"/>
              <w:bottom w:val="nil"/>
              <w:right w:val="nil"/>
            </w:tcBorders>
            <w:shd w:val="clear" w:color="auto" w:fill="auto"/>
            <w:noWrap/>
            <w:vAlign w:val="center"/>
            <w:hideMark/>
          </w:tcPr>
          <w:p w14:paraId="7A9C425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318</w:t>
            </w:r>
          </w:p>
        </w:tc>
        <w:tc>
          <w:tcPr>
            <w:tcW w:w="1156" w:type="dxa"/>
            <w:tcBorders>
              <w:top w:val="nil"/>
              <w:left w:val="nil"/>
              <w:bottom w:val="nil"/>
              <w:right w:val="nil"/>
            </w:tcBorders>
            <w:shd w:val="clear" w:color="auto" w:fill="auto"/>
            <w:noWrap/>
            <w:vAlign w:val="center"/>
            <w:hideMark/>
          </w:tcPr>
          <w:p w14:paraId="57AAFDF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426</w:t>
            </w:r>
          </w:p>
        </w:tc>
        <w:tc>
          <w:tcPr>
            <w:tcW w:w="1156" w:type="dxa"/>
            <w:tcBorders>
              <w:top w:val="nil"/>
              <w:left w:val="nil"/>
              <w:bottom w:val="nil"/>
              <w:right w:val="nil"/>
            </w:tcBorders>
            <w:shd w:val="clear" w:color="auto" w:fill="auto"/>
            <w:noWrap/>
            <w:vAlign w:val="center"/>
            <w:hideMark/>
          </w:tcPr>
          <w:p w14:paraId="55DEDE33"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108</w:t>
            </w:r>
          </w:p>
        </w:tc>
        <w:tc>
          <w:tcPr>
            <w:tcW w:w="1156" w:type="dxa"/>
            <w:tcBorders>
              <w:top w:val="nil"/>
              <w:left w:val="nil"/>
              <w:bottom w:val="nil"/>
              <w:right w:val="nil"/>
            </w:tcBorders>
            <w:shd w:val="clear" w:color="auto" w:fill="auto"/>
            <w:noWrap/>
            <w:vAlign w:val="center"/>
            <w:hideMark/>
          </w:tcPr>
          <w:p w14:paraId="61FF3E1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318</w:t>
            </w:r>
          </w:p>
        </w:tc>
        <w:tc>
          <w:tcPr>
            <w:tcW w:w="1156" w:type="dxa"/>
            <w:tcBorders>
              <w:top w:val="nil"/>
              <w:left w:val="nil"/>
              <w:bottom w:val="nil"/>
              <w:right w:val="nil"/>
            </w:tcBorders>
            <w:shd w:val="clear" w:color="auto" w:fill="auto"/>
            <w:noWrap/>
            <w:vAlign w:val="center"/>
            <w:hideMark/>
          </w:tcPr>
          <w:p w14:paraId="17FCEF77"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426</w:t>
            </w:r>
          </w:p>
        </w:tc>
      </w:tr>
      <w:tr w:rsidR="0012305F" w:rsidRPr="000A1A53" w14:paraId="0D70703E"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614BD6F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Instrument</w:t>
            </w:r>
          </w:p>
        </w:tc>
        <w:tc>
          <w:tcPr>
            <w:tcW w:w="1061" w:type="dxa"/>
            <w:tcBorders>
              <w:top w:val="nil"/>
              <w:left w:val="nil"/>
              <w:bottom w:val="nil"/>
              <w:right w:val="nil"/>
            </w:tcBorders>
            <w:shd w:val="clear" w:color="auto" w:fill="auto"/>
            <w:noWrap/>
            <w:vAlign w:val="center"/>
            <w:hideMark/>
          </w:tcPr>
          <w:p w14:paraId="35836102"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16</w:t>
            </w:r>
          </w:p>
        </w:tc>
        <w:tc>
          <w:tcPr>
            <w:tcW w:w="1156" w:type="dxa"/>
            <w:tcBorders>
              <w:top w:val="nil"/>
              <w:left w:val="nil"/>
              <w:bottom w:val="nil"/>
              <w:right w:val="nil"/>
            </w:tcBorders>
            <w:shd w:val="clear" w:color="auto" w:fill="auto"/>
            <w:noWrap/>
            <w:vAlign w:val="center"/>
            <w:hideMark/>
          </w:tcPr>
          <w:p w14:paraId="0C2D4CF1"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28</w:t>
            </w:r>
          </w:p>
        </w:tc>
        <w:tc>
          <w:tcPr>
            <w:tcW w:w="1156" w:type="dxa"/>
            <w:tcBorders>
              <w:top w:val="nil"/>
              <w:left w:val="nil"/>
              <w:bottom w:val="nil"/>
              <w:right w:val="nil"/>
            </w:tcBorders>
            <w:shd w:val="clear" w:color="auto" w:fill="auto"/>
            <w:noWrap/>
            <w:vAlign w:val="center"/>
            <w:hideMark/>
          </w:tcPr>
          <w:p w14:paraId="40ED6A68"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21</w:t>
            </w:r>
          </w:p>
        </w:tc>
        <w:tc>
          <w:tcPr>
            <w:tcW w:w="1156" w:type="dxa"/>
            <w:tcBorders>
              <w:top w:val="nil"/>
              <w:left w:val="nil"/>
              <w:bottom w:val="nil"/>
              <w:right w:val="nil"/>
            </w:tcBorders>
            <w:shd w:val="clear" w:color="auto" w:fill="auto"/>
            <w:noWrap/>
            <w:vAlign w:val="center"/>
            <w:hideMark/>
          </w:tcPr>
          <w:p w14:paraId="6F17DBBD"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17</w:t>
            </w:r>
          </w:p>
        </w:tc>
        <w:tc>
          <w:tcPr>
            <w:tcW w:w="1156" w:type="dxa"/>
            <w:tcBorders>
              <w:top w:val="nil"/>
              <w:left w:val="nil"/>
              <w:bottom w:val="nil"/>
              <w:right w:val="nil"/>
            </w:tcBorders>
            <w:shd w:val="clear" w:color="auto" w:fill="auto"/>
            <w:noWrap/>
            <w:vAlign w:val="center"/>
            <w:hideMark/>
          </w:tcPr>
          <w:p w14:paraId="0155D833"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32</w:t>
            </w:r>
          </w:p>
        </w:tc>
        <w:tc>
          <w:tcPr>
            <w:tcW w:w="1156" w:type="dxa"/>
            <w:tcBorders>
              <w:top w:val="nil"/>
              <w:left w:val="nil"/>
              <w:bottom w:val="nil"/>
              <w:right w:val="nil"/>
            </w:tcBorders>
            <w:shd w:val="clear" w:color="auto" w:fill="auto"/>
            <w:noWrap/>
            <w:vAlign w:val="center"/>
            <w:hideMark/>
          </w:tcPr>
          <w:p w14:paraId="5553DDCA"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36</w:t>
            </w:r>
          </w:p>
        </w:tc>
      </w:tr>
      <w:tr w:rsidR="0012305F" w:rsidRPr="000A1A53" w14:paraId="67AFCDDF"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2D8EC202"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Country</w:t>
            </w:r>
          </w:p>
        </w:tc>
        <w:tc>
          <w:tcPr>
            <w:tcW w:w="1061" w:type="dxa"/>
            <w:tcBorders>
              <w:top w:val="nil"/>
              <w:left w:val="nil"/>
              <w:bottom w:val="nil"/>
              <w:right w:val="nil"/>
            </w:tcBorders>
            <w:shd w:val="clear" w:color="auto" w:fill="auto"/>
            <w:noWrap/>
            <w:vAlign w:val="center"/>
            <w:hideMark/>
          </w:tcPr>
          <w:p w14:paraId="58B58524"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18</w:t>
            </w:r>
          </w:p>
        </w:tc>
        <w:tc>
          <w:tcPr>
            <w:tcW w:w="1156" w:type="dxa"/>
            <w:tcBorders>
              <w:top w:val="nil"/>
              <w:left w:val="nil"/>
              <w:bottom w:val="nil"/>
              <w:right w:val="nil"/>
            </w:tcBorders>
            <w:shd w:val="clear" w:color="auto" w:fill="auto"/>
            <w:noWrap/>
            <w:vAlign w:val="center"/>
            <w:hideMark/>
          </w:tcPr>
          <w:p w14:paraId="46C19BAE"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53</w:t>
            </w:r>
          </w:p>
        </w:tc>
        <w:tc>
          <w:tcPr>
            <w:tcW w:w="1156" w:type="dxa"/>
            <w:tcBorders>
              <w:top w:val="nil"/>
              <w:left w:val="nil"/>
              <w:bottom w:val="nil"/>
              <w:right w:val="nil"/>
            </w:tcBorders>
            <w:shd w:val="clear" w:color="auto" w:fill="auto"/>
            <w:noWrap/>
            <w:vAlign w:val="center"/>
            <w:hideMark/>
          </w:tcPr>
          <w:p w14:paraId="0C7E47BE"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71</w:t>
            </w:r>
          </w:p>
        </w:tc>
        <w:tc>
          <w:tcPr>
            <w:tcW w:w="1156" w:type="dxa"/>
            <w:tcBorders>
              <w:top w:val="nil"/>
              <w:left w:val="nil"/>
              <w:bottom w:val="nil"/>
              <w:right w:val="nil"/>
            </w:tcBorders>
            <w:shd w:val="clear" w:color="auto" w:fill="auto"/>
            <w:noWrap/>
            <w:vAlign w:val="center"/>
            <w:hideMark/>
          </w:tcPr>
          <w:p w14:paraId="6392FC38"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18</w:t>
            </w:r>
          </w:p>
        </w:tc>
        <w:tc>
          <w:tcPr>
            <w:tcW w:w="1156" w:type="dxa"/>
            <w:tcBorders>
              <w:top w:val="nil"/>
              <w:left w:val="nil"/>
              <w:bottom w:val="nil"/>
              <w:right w:val="nil"/>
            </w:tcBorders>
            <w:shd w:val="clear" w:color="auto" w:fill="auto"/>
            <w:noWrap/>
            <w:vAlign w:val="center"/>
            <w:hideMark/>
          </w:tcPr>
          <w:p w14:paraId="18E2D307"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53</w:t>
            </w:r>
          </w:p>
        </w:tc>
        <w:tc>
          <w:tcPr>
            <w:tcW w:w="1156" w:type="dxa"/>
            <w:tcBorders>
              <w:top w:val="nil"/>
              <w:left w:val="nil"/>
              <w:bottom w:val="nil"/>
              <w:right w:val="nil"/>
            </w:tcBorders>
            <w:shd w:val="clear" w:color="auto" w:fill="auto"/>
            <w:noWrap/>
            <w:vAlign w:val="center"/>
            <w:hideMark/>
          </w:tcPr>
          <w:p w14:paraId="50C66F7C"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71</w:t>
            </w:r>
          </w:p>
        </w:tc>
      </w:tr>
      <w:tr w:rsidR="0012305F" w:rsidRPr="000A1A53" w14:paraId="0E25DBD8"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5E79DE71"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Hansen test of over</w:t>
            </w:r>
            <w:r>
              <w:rPr>
                <w:rFonts w:ascii="Times New Roman" w:eastAsia="Times New Roman" w:hAnsi="Times New Roman" w:cs="Times New Roman"/>
                <w:color w:val="000000"/>
                <w:sz w:val="20"/>
                <w:szCs w:val="20"/>
                <w:lang w:eastAsia="en-NZ"/>
              </w:rPr>
              <w:t>-</w:t>
            </w:r>
            <w:r w:rsidRPr="000A1A53">
              <w:rPr>
                <w:rFonts w:ascii="Times New Roman" w:eastAsia="Times New Roman" w:hAnsi="Times New Roman" w:cs="Times New Roman"/>
                <w:color w:val="000000"/>
                <w:sz w:val="20"/>
                <w:szCs w:val="20"/>
                <w:lang w:eastAsia="en-NZ"/>
              </w:rPr>
              <w:t>identification</w:t>
            </w:r>
          </w:p>
        </w:tc>
        <w:tc>
          <w:tcPr>
            <w:tcW w:w="1061" w:type="dxa"/>
            <w:tcBorders>
              <w:top w:val="nil"/>
              <w:left w:val="nil"/>
              <w:bottom w:val="nil"/>
              <w:right w:val="nil"/>
            </w:tcBorders>
            <w:shd w:val="clear" w:color="auto" w:fill="auto"/>
            <w:noWrap/>
            <w:vAlign w:val="center"/>
            <w:hideMark/>
          </w:tcPr>
          <w:p w14:paraId="04578D9D"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0.4774</w:t>
            </w:r>
          </w:p>
        </w:tc>
        <w:tc>
          <w:tcPr>
            <w:tcW w:w="1156" w:type="dxa"/>
            <w:tcBorders>
              <w:top w:val="nil"/>
              <w:left w:val="nil"/>
              <w:bottom w:val="nil"/>
              <w:right w:val="nil"/>
            </w:tcBorders>
            <w:shd w:val="clear" w:color="auto" w:fill="auto"/>
            <w:noWrap/>
            <w:vAlign w:val="center"/>
            <w:hideMark/>
          </w:tcPr>
          <w:p w14:paraId="2DE07D7A"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0.4161</w:t>
            </w:r>
          </w:p>
        </w:tc>
        <w:tc>
          <w:tcPr>
            <w:tcW w:w="1156" w:type="dxa"/>
            <w:tcBorders>
              <w:top w:val="nil"/>
              <w:left w:val="nil"/>
              <w:bottom w:val="nil"/>
              <w:right w:val="nil"/>
            </w:tcBorders>
            <w:shd w:val="clear" w:color="auto" w:fill="auto"/>
            <w:noWrap/>
            <w:vAlign w:val="center"/>
            <w:hideMark/>
          </w:tcPr>
          <w:p w14:paraId="183A8910"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0.7003</w:t>
            </w:r>
          </w:p>
        </w:tc>
        <w:tc>
          <w:tcPr>
            <w:tcW w:w="1156" w:type="dxa"/>
            <w:tcBorders>
              <w:top w:val="nil"/>
              <w:left w:val="nil"/>
              <w:bottom w:val="nil"/>
              <w:right w:val="nil"/>
            </w:tcBorders>
            <w:shd w:val="clear" w:color="auto" w:fill="auto"/>
            <w:noWrap/>
            <w:vAlign w:val="center"/>
            <w:hideMark/>
          </w:tcPr>
          <w:p w14:paraId="18A8F931"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0.1186</w:t>
            </w:r>
          </w:p>
        </w:tc>
        <w:tc>
          <w:tcPr>
            <w:tcW w:w="1156" w:type="dxa"/>
            <w:tcBorders>
              <w:top w:val="nil"/>
              <w:left w:val="nil"/>
              <w:bottom w:val="nil"/>
              <w:right w:val="nil"/>
            </w:tcBorders>
            <w:shd w:val="clear" w:color="auto" w:fill="auto"/>
            <w:noWrap/>
            <w:vAlign w:val="center"/>
            <w:hideMark/>
          </w:tcPr>
          <w:p w14:paraId="256C8021"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0.4342</w:t>
            </w:r>
          </w:p>
        </w:tc>
        <w:tc>
          <w:tcPr>
            <w:tcW w:w="1156" w:type="dxa"/>
            <w:tcBorders>
              <w:top w:val="nil"/>
              <w:left w:val="nil"/>
              <w:bottom w:val="nil"/>
              <w:right w:val="nil"/>
            </w:tcBorders>
            <w:shd w:val="clear" w:color="auto" w:fill="auto"/>
            <w:noWrap/>
            <w:vAlign w:val="center"/>
            <w:hideMark/>
          </w:tcPr>
          <w:p w14:paraId="4E7C35B9"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0.1746</w:t>
            </w:r>
          </w:p>
        </w:tc>
      </w:tr>
      <w:tr w:rsidR="0012305F" w:rsidRPr="000A1A53" w14:paraId="50A89AF2" w14:textId="77777777" w:rsidTr="00354437">
        <w:trPr>
          <w:trHeight w:hRule="exact" w:val="247"/>
          <w:jc w:val="center"/>
        </w:trPr>
        <w:tc>
          <w:tcPr>
            <w:tcW w:w="2988" w:type="dxa"/>
            <w:tcBorders>
              <w:top w:val="nil"/>
              <w:left w:val="nil"/>
              <w:bottom w:val="nil"/>
              <w:right w:val="nil"/>
            </w:tcBorders>
            <w:shd w:val="clear" w:color="auto" w:fill="auto"/>
            <w:noWrap/>
            <w:vAlign w:val="bottom"/>
            <w:hideMark/>
          </w:tcPr>
          <w:p w14:paraId="5D6F949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AR(1)</w:t>
            </w:r>
          </w:p>
        </w:tc>
        <w:tc>
          <w:tcPr>
            <w:tcW w:w="1061" w:type="dxa"/>
            <w:tcBorders>
              <w:top w:val="nil"/>
              <w:left w:val="nil"/>
              <w:bottom w:val="nil"/>
              <w:right w:val="nil"/>
            </w:tcBorders>
            <w:shd w:val="clear" w:color="auto" w:fill="auto"/>
            <w:noWrap/>
            <w:vAlign w:val="center"/>
            <w:hideMark/>
          </w:tcPr>
          <w:p w14:paraId="1CA3EAED"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0.4595</w:t>
            </w:r>
          </w:p>
        </w:tc>
        <w:tc>
          <w:tcPr>
            <w:tcW w:w="1156" w:type="dxa"/>
            <w:tcBorders>
              <w:top w:val="nil"/>
              <w:left w:val="nil"/>
              <w:bottom w:val="nil"/>
              <w:right w:val="nil"/>
            </w:tcBorders>
            <w:shd w:val="clear" w:color="auto" w:fill="auto"/>
            <w:noWrap/>
            <w:vAlign w:val="center"/>
            <w:hideMark/>
          </w:tcPr>
          <w:p w14:paraId="577854EC"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0.9633</w:t>
            </w:r>
          </w:p>
        </w:tc>
        <w:tc>
          <w:tcPr>
            <w:tcW w:w="1156" w:type="dxa"/>
            <w:tcBorders>
              <w:top w:val="nil"/>
              <w:left w:val="nil"/>
              <w:bottom w:val="nil"/>
              <w:right w:val="nil"/>
            </w:tcBorders>
            <w:shd w:val="clear" w:color="auto" w:fill="auto"/>
            <w:noWrap/>
            <w:vAlign w:val="center"/>
            <w:hideMark/>
          </w:tcPr>
          <w:p w14:paraId="3E5EBEDF"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0.386</w:t>
            </w:r>
          </w:p>
        </w:tc>
        <w:tc>
          <w:tcPr>
            <w:tcW w:w="1156" w:type="dxa"/>
            <w:tcBorders>
              <w:top w:val="nil"/>
              <w:left w:val="nil"/>
              <w:bottom w:val="nil"/>
              <w:right w:val="nil"/>
            </w:tcBorders>
            <w:shd w:val="clear" w:color="auto" w:fill="auto"/>
            <w:noWrap/>
            <w:vAlign w:val="center"/>
            <w:hideMark/>
          </w:tcPr>
          <w:p w14:paraId="53CD4262"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0.956</w:t>
            </w:r>
          </w:p>
        </w:tc>
        <w:tc>
          <w:tcPr>
            <w:tcW w:w="1156" w:type="dxa"/>
            <w:tcBorders>
              <w:top w:val="nil"/>
              <w:left w:val="nil"/>
              <w:bottom w:val="nil"/>
              <w:right w:val="nil"/>
            </w:tcBorders>
            <w:shd w:val="clear" w:color="auto" w:fill="auto"/>
            <w:noWrap/>
            <w:vAlign w:val="center"/>
            <w:hideMark/>
          </w:tcPr>
          <w:p w14:paraId="04788D7C"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0.0643</w:t>
            </w:r>
          </w:p>
        </w:tc>
        <w:tc>
          <w:tcPr>
            <w:tcW w:w="1156" w:type="dxa"/>
            <w:tcBorders>
              <w:top w:val="nil"/>
              <w:left w:val="nil"/>
              <w:bottom w:val="nil"/>
              <w:right w:val="nil"/>
            </w:tcBorders>
            <w:shd w:val="clear" w:color="auto" w:fill="auto"/>
            <w:noWrap/>
            <w:vAlign w:val="center"/>
            <w:hideMark/>
          </w:tcPr>
          <w:p w14:paraId="1FD88665"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0.9877</w:t>
            </w:r>
          </w:p>
        </w:tc>
      </w:tr>
      <w:tr w:rsidR="0012305F" w:rsidRPr="000A1A53" w14:paraId="4021787D" w14:textId="77777777" w:rsidTr="00354437">
        <w:trPr>
          <w:trHeight w:hRule="exact" w:val="247"/>
          <w:jc w:val="center"/>
        </w:trPr>
        <w:tc>
          <w:tcPr>
            <w:tcW w:w="2988" w:type="dxa"/>
            <w:tcBorders>
              <w:top w:val="nil"/>
              <w:left w:val="nil"/>
              <w:bottom w:val="single" w:sz="4" w:space="0" w:color="auto"/>
              <w:right w:val="nil"/>
            </w:tcBorders>
            <w:shd w:val="clear" w:color="auto" w:fill="auto"/>
            <w:noWrap/>
            <w:vAlign w:val="bottom"/>
            <w:hideMark/>
          </w:tcPr>
          <w:p w14:paraId="6F4D0FFA"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AR(2)</w:t>
            </w:r>
          </w:p>
        </w:tc>
        <w:tc>
          <w:tcPr>
            <w:tcW w:w="1061" w:type="dxa"/>
            <w:tcBorders>
              <w:top w:val="nil"/>
              <w:left w:val="nil"/>
              <w:bottom w:val="nil"/>
              <w:right w:val="nil"/>
            </w:tcBorders>
            <w:shd w:val="clear" w:color="auto" w:fill="auto"/>
            <w:noWrap/>
            <w:vAlign w:val="center"/>
            <w:hideMark/>
          </w:tcPr>
          <w:p w14:paraId="7A6AD065"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0.8228</w:t>
            </w:r>
          </w:p>
        </w:tc>
        <w:tc>
          <w:tcPr>
            <w:tcW w:w="1156" w:type="dxa"/>
            <w:tcBorders>
              <w:top w:val="nil"/>
              <w:left w:val="nil"/>
              <w:bottom w:val="nil"/>
              <w:right w:val="nil"/>
            </w:tcBorders>
            <w:shd w:val="clear" w:color="auto" w:fill="auto"/>
            <w:noWrap/>
            <w:vAlign w:val="center"/>
            <w:hideMark/>
          </w:tcPr>
          <w:p w14:paraId="6EC9A627"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0.0588</w:t>
            </w:r>
          </w:p>
        </w:tc>
        <w:tc>
          <w:tcPr>
            <w:tcW w:w="1156" w:type="dxa"/>
            <w:tcBorders>
              <w:top w:val="nil"/>
              <w:left w:val="nil"/>
              <w:bottom w:val="nil"/>
              <w:right w:val="nil"/>
            </w:tcBorders>
            <w:shd w:val="clear" w:color="auto" w:fill="auto"/>
            <w:noWrap/>
            <w:vAlign w:val="center"/>
            <w:hideMark/>
          </w:tcPr>
          <w:p w14:paraId="48F822EC"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0.0715</w:t>
            </w:r>
          </w:p>
        </w:tc>
        <w:tc>
          <w:tcPr>
            <w:tcW w:w="1156" w:type="dxa"/>
            <w:tcBorders>
              <w:top w:val="nil"/>
              <w:left w:val="nil"/>
              <w:bottom w:val="nil"/>
              <w:right w:val="nil"/>
            </w:tcBorders>
            <w:shd w:val="clear" w:color="auto" w:fill="auto"/>
            <w:noWrap/>
            <w:vAlign w:val="center"/>
            <w:hideMark/>
          </w:tcPr>
          <w:p w14:paraId="7260A234"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0.2769</w:t>
            </w:r>
          </w:p>
        </w:tc>
        <w:tc>
          <w:tcPr>
            <w:tcW w:w="1156" w:type="dxa"/>
            <w:tcBorders>
              <w:top w:val="nil"/>
              <w:left w:val="nil"/>
              <w:bottom w:val="nil"/>
              <w:right w:val="nil"/>
            </w:tcBorders>
            <w:shd w:val="clear" w:color="auto" w:fill="auto"/>
            <w:noWrap/>
            <w:vAlign w:val="center"/>
            <w:hideMark/>
          </w:tcPr>
          <w:p w14:paraId="003BA95E"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0.4476</w:t>
            </w:r>
          </w:p>
        </w:tc>
        <w:tc>
          <w:tcPr>
            <w:tcW w:w="1156" w:type="dxa"/>
            <w:tcBorders>
              <w:top w:val="nil"/>
              <w:left w:val="nil"/>
              <w:bottom w:val="nil"/>
              <w:right w:val="nil"/>
            </w:tcBorders>
            <w:shd w:val="clear" w:color="auto" w:fill="auto"/>
            <w:noWrap/>
            <w:vAlign w:val="center"/>
            <w:hideMark/>
          </w:tcPr>
          <w:p w14:paraId="0BDD340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0A1A53">
              <w:rPr>
                <w:rFonts w:ascii="Times New Roman" w:eastAsia="Times New Roman" w:hAnsi="Times New Roman" w:cs="Times New Roman"/>
                <w:color w:val="000000"/>
                <w:sz w:val="20"/>
                <w:szCs w:val="20"/>
                <w:lang w:eastAsia="en-NZ"/>
              </w:rPr>
              <w:t>0.0833</w:t>
            </w:r>
          </w:p>
        </w:tc>
      </w:tr>
      <w:tr w:rsidR="0012305F" w:rsidRPr="000A1A53" w14:paraId="07D56EFF" w14:textId="77777777" w:rsidTr="00C5618F">
        <w:trPr>
          <w:trHeight w:hRule="exact" w:val="1583"/>
          <w:jc w:val="center"/>
        </w:trPr>
        <w:tc>
          <w:tcPr>
            <w:tcW w:w="9832" w:type="dxa"/>
            <w:gridSpan w:val="7"/>
            <w:tcBorders>
              <w:top w:val="nil"/>
              <w:left w:val="nil"/>
              <w:bottom w:val="single" w:sz="4" w:space="0" w:color="auto"/>
              <w:right w:val="nil"/>
            </w:tcBorders>
            <w:shd w:val="clear" w:color="auto" w:fill="auto"/>
            <w:noWrap/>
            <w:vAlign w:val="center"/>
          </w:tcPr>
          <w:p w14:paraId="298922EF" w14:textId="77777777" w:rsidR="00C5618F" w:rsidRDefault="00C5618F" w:rsidP="00354437">
            <w:pPr>
              <w:spacing w:after="0" w:line="240" w:lineRule="auto"/>
              <w:ind w:firstLine="0"/>
              <w:jc w:val="left"/>
              <w:rPr>
                <w:rFonts w:ascii="Times New Roman" w:eastAsia="Times New Roman" w:hAnsi="Times New Roman" w:cs="Times New Roman"/>
                <w:color w:val="000000"/>
                <w:sz w:val="20"/>
                <w:szCs w:val="20"/>
                <w:lang w:eastAsia="en-NZ"/>
              </w:rPr>
            </w:pPr>
          </w:p>
          <w:p w14:paraId="5F181F00" w14:textId="5B857292" w:rsidR="0012305F" w:rsidRDefault="0012305F" w:rsidP="00C5618F">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xml:space="preserve">Notes: Table </w:t>
            </w:r>
            <w:r w:rsidR="00176DAD">
              <w:rPr>
                <w:rFonts w:ascii="Times New Roman" w:eastAsia="Times New Roman" w:hAnsi="Times New Roman" w:cs="Times New Roman"/>
                <w:color w:val="000000"/>
                <w:sz w:val="20"/>
                <w:szCs w:val="20"/>
                <w:lang w:eastAsia="en-NZ"/>
              </w:rPr>
              <w:t>4</w:t>
            </w:r>
            <w:r>
              <w:rPr>
                <w:rFonts w:ascii="Times New Roman" w:eastAsia="Times New Roman" w:hAnsi="Times New Roman" w:cs="Times New Roman"/>
                <w:color w:val="000000"/>
                <w:sz w:val="20"/>
                <w:szCs w:val="20"/>
                <w:lang w:eastAsia="en-NZ"/>
              </w:rPr>
              <w:t xml:space="preserve"> reports the impact of financial openness on the FD and income inequality relationship. Each regression includes country and time-fixed effects. Robust standard errors clustered at the country level are reported in parentheses. </w:t>
            </w:r>
          </w:p>
          <w:p w14:paraId="3B6A3E7C" w14:textId="77777777" w:rsidR="0012305F" w:rsidRDefault="0012305F" w:rsidP="00C5618F">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 *** indicate significance at the 10%, 5% and 1% levels, respectively.</w:t>
            </w:r>
          </w:p>
          <w:p w14:paraId="75EBDBB5" w14:textId="77777777" w:rsidR="0012305F" w:rsidRDefault="0012305F" w:rsidP="00C5618F">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All variables are defined in Appendix A</w:t>
            </w:r>
          </w:p>
          <w:p w14:paraId="7458A596" w14:textId="77777777" w:rsidR="0012305F" w:rsidRPr="000A1A53"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r>
    </w:tbl>
    <w:p w14:paraId="2344073B" w14:textId="77777777" w:rsidR="00176DAD" w:rsidRDefault="00176DAD" w:rsidP="0012305F">
      <w:pPr>
        <w:spacing w:line="240" w:lineRule="auto"/>
        <w:ind w:left="-284"/>
        <w:jc w:val="center"/>
        <w:rPr>
          <w:rFonts w:cstheme="majorBidi"/>
          <w:b/>
          <w:bCs/>
          <w:sz w:val="20"/>
          <w:szCs w:val="20"/>
        </w:rPr>
      </w:pPr>
    </w:p>
    <w:p w14:paraId="4C5A6088" w14:textId="77777777" w:rsidR="00176DAD" w:rsidRDefault="00176DAD" w:rsidP="0012305F">
      <w:pPr>
        <w:spacing w:line="240" w:lineRule="auto"/>
        <w:ind w:left="-284"/>
        <w:jc w:val="center"/>
        <w:rPr>
          <w:rFonts w:cstheme="majorBidi"/>
          <w:b/>
          <w:bCs/>
          <w:sz w:val="20"/>
          <w:szCs w:val="20"/>
        </w:rPr>
      </w:pPr>
    </w:p>
    <w:p w14:paraId="220FD7B9" w14:textId="4DBD1067" w:rsidR="0012305F" w:rsidRPr="004308FB" w:rsidRDefault="0012305F" w:rsidP="0012305F">
      <w:pPr>
        <w:spacing w:line="240" w:lineRule="auto"/>
        <w:ind w:left="-284"/>
        <w:jc w:val="center"/>
        <w:rPr>
          <w:rFonts w:cstheme="majorBidi"/>
          <w:b/>
          <w:bCs/>
          <w:sz w:val="22"/>
        </w:rPr>
      </w:pPr>
      <w:r w:rsidRPr="004308FB">
        <w:rPr>
          <w:rFonts w:cstheme="majorBidi"/>
          <w:b/>
          <w:bCs/>
          <w:sz w:val="22"/>
        </w:rPr>
        <w:t xml:space="preserve">Figure </w:t>
      </w:r>
      <w:r w:rsidRPr="004308FB">
        <w:rPr>
          <w:rFonts w:cstheme="majorBidi"/>
          <w:b/>
          <w:bCs/>
          <w:sz w:val="22"/>
        </w:rPr>
        <w:fldChar w:fldCharType="begin"/>
      </w:r>
      <w:r w:rsidRPr="004308FB">
        <w:rPr>
          <w:rFonts w:cstheme="majorBidi"/>
          <w:b/>
          <w:bCs/>
          <w:sz w:val="22"/>
        </w:rPr>
        <w:instrText xml:space="preserve"> SEQ Figure \* ARABIC </w:instrText>
      </w:r>
      <w:r w:rsidRPr="004308FB">
        <w:rPr>
          <w:rFonts w:cstheme="majorBidi"/>
          <w:b/>
          <w:bCs/>
          <w:sz w:val="22"/>
        </w:rPr>
        <w:fldChar w:fldCharType="separate"/>
      </w:r>
      <w:r w:rsidR="00FB12E6">
        <w:rPr>
          <w:rFonts w:cstheme="majorBidi"/>
          <w:b/>
          <w:bCs/>
          <w:noProof/>
          <w:sz w:val="22"/>
        </w:rPr>
        <w:t>4</w:t>
      </w:r>
      <w:r w:rsidRPr="004308FB">
        <w:rPr>
          <w:rFonts w:cstheme="majorBidi"/>
          <w:sz w:val="22"/>
        </w:rPr>
        <w:fldChar w:fldCharType="end"/>
      </w:r>
      <w:r w:rsidR="00176DAD" w:rsidRPr="004308FB">
        <w:rPr>
          <w:rFonts w:cstheme="majorBidi"/>
          <w:b/>
          <w:bCs/>
          <w:sz w:val="22"/>
        </w:rPr>
        <w:t>.</w:t>
      </w:r>
      <w:r w:rsidRPr="004308FB">
        <w:rPr>
          <w:rFonts w:cstheme="majorBidi"/>
          <w:b/>
          <w:bCs/>
          <w:sz w:val="22"/>
        </w:rPr>
        <w:t xml:space="preserve"> Marginal impact of FD on income inequality for diﬀerent levels of FO</w:t>
      </w:r>
    </w:p>
    <w:p w14:paraId="54D398B1" w14:textId="77777777" w:rsidR="0012305F" w:rsidRPr="00B2638D" w:rsidRDefault="0012305F" w:rsidP="0012305F">
      <w:pPr>
        <w:spacing w:line="240" w:lineRule="auto"/>
        <w:ind w:left="-567" w:right="-330" w:firstLine="0"/>
        <w:rPr>
          <w:noProof/>
        </w:rPr>
      </w:pPr>
      <w:r w:rsidRPr="008A6587">
        <w:rPr>
          <w:noProof/>
        </w:rPr>
        <w:t xml:space="preserve"> </w:t>
      </w:r>
      <w:r>
        <w:rPr>
          <w:noProof/>
          <w:lang w:eastAsia="en-NZ"/>
        </w:rPr>
        <w:drawing>
          <wp:inline distT="0" distB="0" distL="0" distR="0" wp14:anchorId="1821AC83" wp14:editId="5EE3D569">
            <wp:extent cx="3024000" cy="2052000"/>
            <wp:effectExtent l="0" t="0" r="5080" b="5715"/>
            <wp:docPr id="21" name="Chart 21">
              <a:extLst xmlns:a="http://schemas.openxmlformats.org/drawingml/2006/main">
                <a:ext uri="{FF2B5EF4-FFF2-40B4-BE49-F238E27FC236}">
                  <a16:creationId xmlns:a16="http://schemas.microsoft.com/office/drawing/2014/main" id="{48F7EE29-CCCB-4700-9F34-6F6679EB4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en-NZ"/>
        </w:rPr>
        <w:drawing>
          <wp:inline distT="0" distB="0" distL="0" distR="0" wp14:anchorId="657F0358" wp14:editId="54B03DE1">
            <wp:extent cx="3060000" cy="2052000"/>
            <wp:effectExtent l="0" t="0" r="7620" b="5715"/>
            <wp:docPr id="22" name="Chart 22">
              <a:extLst xmlns:a="http://schemas.openxmlformats.org/drawingml/2006/main">
                <a:ext uri="{FF2B5EF4-FFF2-40B4-BE49-F238E27FC236}">
                  <a16:creationId xmlns:a16="http://schemas.microsoft.com/office/drawing/2014/main" id="{74BE609C-239C-4563-9846-256FA265F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53023A" w14:textId="77777777" w:rsidR="002931A4" w:rsidRPr="002931A4" w:rsidRDefault="002931A4" w:rsidP="0012305F">
      <w:pPr>
        <w:ind w:firstLine="0"/>
        <w:rPr>
          <w:b/>
          <w:bCs/>
          <w:i/>
          <w:iCs/>
          <w:sz w:val="12"/>
          <w:szCs w:val="12"/>
          <w:u w:val="single"/>
        </w:rPr>
      </w:pPr>
    </w:p>
    <w:p w14:paraId="549598E3" w14:textId="5EAE0DC4" w:rsidR="0012305F" w:rsidRDefault="0012305F" w:rsidP="0012305F">
      <w:pPr>
        <w:ind w:firstLine="0"/>
        <w:rPr>
          <w:b/>
          <w:bCs/>
          <w:i/>
          <w:iCs/>
          <w:u w:val="single"/>
        </w:rPr>
      </w:pPr>
      <w:r>
        <w:rPr>
          <w:b/>
          <w:bCs/>
          <w:i/>
          <w:iCs/>
          <w:u w:val="single"/>
        </w:rPr>
        <w:t>Trade</w:t>
      </w:r>
      <w:r w:rsidRPr="00E510DF">
        <w:rPr>
          <w:b/>
          <w:bCs/>
          <w:i/>
          <w:iCs/>
          <w:u w:val="single"/>
        </w:rPr>
        <w:t xml:space="preserve"> Openness moderation effect</w:t>
      </w:r>
      <w:r>
        <w:rPr>
          <w:b/>
          <w:bCs/>
          <w:i/>
          <w:iCs/>
          <w:u w:val="single"/>
        </w:rPr>
        <w:t>:</w:t>
      </w:r>
    </w:p>
    <w:p w14:paraId="0A172D76" w14:textId="77777777" w:rsidR="0012305F" w:rsidRDefault="0012305F" w:rsidP="00176DAD">
      <w:pPr>
        <w:ind w:firstLine="0"/>
      </w:pPr>
      <w:r>
        <w:t xml:space="preserve">This section reports how openness to the global trade market can change the </w:t>
      </w:r>
      <w:r w:rsidRPr="000B5BEC">
        <w:t xml:space="preserve">relationship between </w:t>
      </w:r>
      <w:r>
        <w:t>FD</w:t>
      </w:r>
      <w:r w:rsidRPr="000B5BEC">
        <w:t xml:space="preserve"> and income inequality</w:t>
      </w:r>
      <w:r>
        <w:t xml:space="preserve"> (Table 5). In </w:t>
      </w:r>
      <w:r w:rsidRPr="008D255F">
        <w:t>the split-sampling analysis, the sample is broken down into two groups: countries with strongly low-level trade</w:t>
      </w:r>
      <w:r w:rsidRPr="00767DEA">
        <w:t xml:space="preserve"> openness (</w:t>
      </w:r>
      <w:r>
        <w:t>T</w:t>
      </w:r>
      <w:r w:rsidRPr="00767DEA">
        <w:t>O &lt; 1</w:t>
      </w:r>
      <w:r w:rsidRPr="00767DEA">
        <w:rPr>
          <w:vertAlign w:val="superscript"/>
        </w:rPr>
        <w:t>st</w:t>
      </w:r>
      <w:r w:rsidRPr="00767DEA">
        <w:t xml:space="preserve"> Quantile) and </w:t>
      </w:r>
      <w:r>
        <w:t>c</w:t>
      </w:r>
      <w:r w:rsidRPr="00767DEA">
        <w:t xml:space="preserve">ountries with high-level </w:t>
      </w:r>
      <w:r>
        <w:t>trade</w:t>
      </w:r>
      <w:r w:rsidRPr="00767DEA">
        <w:t xml:space="preserve"> openness (</w:t>
      </w:r>
      <w:r>
        <w:t>T</w:t>
      </w:r>
      <w:r w:rsidRPr="00767DEA">
        <w:t>O&gt;1</w:t>
      </w:r>
      <w:r w:rsidRPr="00767DEA">
        <w:rPr>
          <w:vertAlign w:val="superscript"/>
        </w:rPr>
        <w:t>st</w:t>
      </w:r>
      <w:r w:rsidRPr="00767DEA">
        <w:t xml:space="preserve"> Quantile).</w:t>
      </w:r>
      <w:r>
        <w:t xml:space="preserve"> Then Eq. 1 is estimated for each sub-sample </w:t>
      </w:r>
      <w:r w:rsidRPr="009E3E6A">
        <w:t>to compare the FD</w:t>
      </w:r>
      <w:r>
        <w:t>–</w:t>
      </w:r>
      <w:r w:rsidRPr="009E3E6A">
        <w:t xml:space="preserve">income inequality relationship </w:t>
      </w:r>
      <w:r>
        <w:t xml:space="preserve">in </w:t>
      </w:r>
      <w:r w:rsidRPr="009E3E6A">
        <w:t xml:space="preserve">LTO and HTO Countries.  </w:t>
      </w:r>
      <w:r>
        <w:t>For</w:t>
      </w:r>
      <w:r w:rsidRPr="009E3E6A">
        <w:t xml:space="preserve"> LTO countries</w:t>
      </w:r>
      <w:r>
        <w:t>, c</w:t>
      </w:r>
      <w:r w:rsidRPr="003A6415">
        <w:t>olumn</w:t>
      </w:r>
      <w:r>
        <w:t>s</w:t>
      </w:r>
      <w:r w:rsidRPr="003A6415">
        <w:t xml:space="preserve"> (1) and (4) </w:t>
      </w:r>
      <w:r>
        <w:t>of Table 5 show that banking development, measured by</w:t>
      </w:r>
      <w:r w:rsidRPr="003A6415">
        <w:t xml:space="preserve"> </w:t>
      </w:r>
      <w:proofErr w:type="spellStart"/>
      <w:r w:rsidRPr="00FE05A3">
        <w:rPr>
          <w:i/>
          <w:iCs/>
        </w:rPr>
        <w:t>PrivateCredit</w:t>
      </w:r>
      <w:proofErr w:type="spellEnd"/>
      <w:r w:rsidRPr="003A6415">
        <w:t xml:space="preserve"> </w:t>
      </w:r>
      <w:r>
        <w:t>or</w:t>
      </w:r>
      <w:r w:rsidRPr="003A6415">
        <w:t xml:space="preserve"> </w:t>
      </w:r>
      <w:proofErr w:type="spellStart"/>
      <w:r w:rsidRPr="00FE05A3">
        <w:rPr>
          <w:i/>
          <w:iCs/>
        </w:rPr>
        <w:t>LiquidLiabilities</w:t>
      </w:r>
      <w:proofErr w:type="spellEnd"/>
      <w:r>
        <w:rPr>
          <w:i/>
          <w:iCs/>
        </w:rPr>
        <w:t xml:space="preserve">, </w:t>
      </w:r>
      <w:r w:rsidRPr="005879FE">
        <w:t xml:space="preserve">does not have a statistically significant impact on </w:t>
      </w:r>
      <w:r>
        <w:t xml:space="preserve">the </w:t>
      </w:r>
      <w:r w:rsidRPr="005879FE">
        <w:t>Gini Coefficient.</w:t>
      </w:r>
      <w:r>
        <w:t xml:space="preserve"> However,</w:t>
      </w:r>
      <w:r w:rsidRPr="003A6415">
        <w:t xml:space="preserve"> </w:t>
      </w:r>
      <w:r>
        <w:t>turning to HTO countries</w:t>
      </w:r>
      <w:r w:rsidRPr="003A6415">
        <w:t>, columns (2) and (</w:t>
      </w:r>
      <w:r>
        <w:t>5</w:t>
      </w:r>
      <w:r w:rsidRPr="003A6415">
        <w:t>)</w:t>
      </w:r>
      <w:r>
        <w:t xml:space="preserve"> </w:t>
      </w:r>
      <w:r w:rsidRPr="003A6415">
        <w:t xml:space="preserve">indicate that </w:t>
      </w:r>
      <w:r>
        <w:t>FD</w:t>
      </w:r>
      <w:r w:rsidRPr="003A6415">
        <w:t xml:space="preserve"> </w:t>
      </w:r>
      <w:r>
        <w:t>worsens</w:t>
      </w:r>
      <w:r w:rsidRPr="003A6415">
        <w:t xml:space="preserve"> income inequality in </w:t>
      </w:r>
      <w:r>
        <w:t xml:space="preserve">countries </w:t>
      </w:r>
      <w:r w:rsidRPr="003A6415">
        <w:t>open</w:t>
      </w:r>
      <w:r>
        <w:t xml:space="preserve"> to the trade market. This finding suggests that, similar to financial openness, trade openness also strengthens the positive relationship between FD and income inequality.</w:t>
      </w:r>
    </w:p>
    <w:p w14:paraId="3637B80C" w14:textId="77777777" w:rsidR="0012305F" w:rsidRPr="0060324C" w:rsidRDefault="0012305F" w:rsidP="0012305F">
      <w:pPr>
        <w:rPr>
          <w:rFonts w:cstheme="majorBidi"/>
          <w:szCs w:val="24"/>
        </w:rPr>
      </w:pPr>
      <w:r>
        <w:t xml:space="preserve">With regard to the interaction analysis, we estimate Eq. 3 in which </w:t>
      </w:r>
      <w:r w:rsidRPr="00B17E00">
        <w:t xml:space="preserve">the interaction of </w:t>
      </w:r>
      <w:r>
        <w:t>FD</w:t>
      </w:r>
      <w:r w:rsidRPr="00B17E00">
        <w:t xml:space="preserve"> and trade openness </w:t>
      </w:r>
      <w:r>
        <w:t xml:space="preserve">is included </w:t>
      </w:r>
      <w:r w:rsidRPr="00B17E00">
        <w:t xml:space="preserve">to examine whether trade openness </w:t>
      </w:r>
      <w:r>
        <w:t>influences</w:t>
      </w:r>
      <w:r w:rsidRPr="00B17E00">
        <w:t xml:space="preserve"> the impact of </w:t>
      </w:r>
      <w:r>
        <w:t>FD</w:t>
      </w:r>
      <w:r w:rsidRPr="00B17E00">
        <w:t xml:space="preserve"> on income inequality. </w:t>
      </w:r>
      <w:r>
        <w:t xml:space="preserve">Columns (3) and (6) show that the estimated coefficients of </w:t>
      </w:r>
      <w:r w:rsidRPr="00B17E00">
        <w:t xml:space="preserve">banking development and its interaction with </w:t>
      </w:r>
      <w:r>
        <w:t>trade openness</w:t>
      </w:r>
      <w:r w:rsidRPr="00B17E00">
        <w:t xml:space="preserve"> are</w:t>
      </w:r>
      <w:r>
        <w:t xml:space="preserve"> statistically</w:t>
      </w:r>
      <w:r w:rsidRPr="00B17E00">
        <w:t xml:space="preserve"> </w:t>
      </w:r>
      <w:r>
        <w:t>negative</w:t>
      </w:r>
      <w:r w:rsidRPr="00B17E00">
        <w:t xml:space="preserve"> and </w:t>
      </w:r>
      <w:r>
        <w:t>positive</w:t>
      </w:r>
      <w:r w:rsidRPr="00B17E00">
        <w:t>, respectively</w:t>
      </w:r>
      <w:r>
        <w:t>. This</w:t>
      </w:r>
      <w:r w:rsidRPr="00B17E00">
        <w:t xml:space="preserve"> </w:t>
      </w:r>
      <w:r>
        <w:t xml:space="preserve">means that </w:t>
      </w:r>
      <w:r w:rsidRPr="00B17E00">
        <w:t>banking development</w:t>
      </w:r>
      <w:r>
        <w:t xml:space="preserve">, measured by either </w:t>
      </w:r>
      <w:proofErr w:type="spellStart"/>
      <w:r w:rsidRPr="00FC14C9">
        <w:rPr>
          <w:i/>
          <w:iCs/>
        </w:rPr>
        <w:t>PrivateCredit</w:t>
      </w:r>
      <w:proofErr w:type="spellEnd"/>
      <w:r>
        <w:t xml:space="preserve"> or </w:t>
      </w:r>
      <w:proofErr w:type="spellStart"/>
      <w:r w:rsidRPr="00FC14C9">
        <w:rPr>
          <w:i/>
          <w:iCs/>
        </w:rPr>
        <w:t>LiquidLiabilities</w:t>
      </w:r>
      <w:proofErr w:type="spellEnd"/>
      <w:r>
        <w:rPr>
          <w:i/>
          <w:iCs/>
        </w:rPr>
        <w:t>,</w:t>
      </w:r>
      <w:r w:rsidRPr="00B17E00">
        <w:t xml:space="preserve"> tends to </w:t>
      </w:r>
      <w:r>
        <w:t>significantly increase income inequality in countries with higher trade openness</w:t>
      </w:r>
      <w:r w:rsidRPr="00B17E00">
        <w:t xml:space="preserve">. </w:t>
      </w:r>
      <w:r>
        <w:t xml:space="preserve">Corresponding to columns (3) and (6), Fig. 5 </w:t>
      </w:r>
      <w:r w:rsidRPr="00B17E00">
        <w:rPr>
          <w:rFonts w:cstheme="majorBidi"/>
          <w:szCs w:val="24"/>
        </w:rPr>
        <w:t xml:space="preserve">shows the marginal impact of </w:t>
      </w:r>
      <w:r>
        <w:rPr>
          <w:rFonts w:cstheme="majorBidi"/>
          <w:szCs w:val="24"/>
        </w:rPr>
        <w:t>FD</w:t>
      </w:r>
      <w:r w:rsidRPr="00B17E00">
        <w:rPr>
          <w:rFonts w:cstheme="majorBidi"/>
          <w:szCs w:val="24"/>
        </w:rPr>
        <w:t xml:space="preserve"> on income inequality for diﬀerent levels of ﬁnancial openness</w:t>
      </w:r>
      <w:r>
        <w:rPr>
          <w:rFonts w:cstheme="majorBidi"/>
          <w:szCs w:val="24"/>
        </w:rPr>
        <w:t xml:space="preserve"> with a </w:t>
      </w:r>
      <w:r w:rsidRPr="00B17E00">
        <w:rPr>
          <w:rFonts w:cstheme="majorBidi"/>
          <w:szCs w:val="24"/>
        </w:rPr>
        <w:t>95% conﬁdence band. Fig</w:t>
      </w:r>
      <w:r>
        <w:rPr>
          <w:rFonts w:cstheme="majorBidi"/>
          <w:szCs w:val="24"/>
        </w:rPr>
        <w:t>.</w:t>
      </w:r>
      <w:r w:rsidRPr="00B17E00">
        <w:rPr>
          <w:rFonts w:cstheme="majorBidi"/>
          <w:szCs w:val="24"/>
        </w:rPr>
        <w:t xml:space="preserve"> 5 suggest</w:t>
      </w:r>
      <w:r>
        <w:rPr>
          <w:rFonts w:cstheme="majorBidi"/>
          <w:szCs w:val="24"/>
        </w:rPr>
        <w:t>s</w:t>
      </w:r>
      <w:r w:rsidRPr="00B17E00">
        <w:rPr>
          <w:rFonts w:cstheme="majorBidi"/>
          <w:szCs w:val="24"/>
        </w:rPr>
        <w:t xml:space="preserve"> that </w:t>
      </w:r>
      <w:r>
        <w:rPr>
          <w:rFonts w:cstheme="majorBidi"/>
          <w:szCs w:val="24"/>
        </w:rPr>
        <w:t xml:space="preserve">trade openness changes the relationship between FD and income inequality. In fact, </w:t>
      </w:r>
      <w:r w:rsidRPr="00597605">
        <w:rPr>
          <w:rFonts w:cstheme="majorBidi"/>
          <w:szCs w:val="24"/>
        </w:rPr>
        <w:t xml:space="preserve">the estimated </w:t>
      </w:r>
      <w:r>
        <w:rPr>
          <w:rFonts w:cstheme="majorBidi"/>
          <w:szCs w:val="24"/>
        </w:rPr>
        <w:t xml:space="preserve">marginal effect of FD on II </w:t>
      </w:r>
      <w:r w:rsidRPr="00597605">
        <w:rPr>
          <w:rFonts w:cstheme="majorBidi"/>
          <w:szCs w:val="24"/>
        </w:rPr>
        <w:t xml:space="preserve">is </w:t>
      </w:r>
      <w:r w:rsidRPr="00530C5E">
        <w:rPr>
          <w:rFonts w:cstheme="majorBidi"/>
          <w:szCs w:val="24"/>
        </w:rPr>
        <w:t>non-significantly negative but turns significantly positive when trade openness is increasing.</w:t>
      </w:r>
      <w:r>
        <w:rPr>
          <w:rFonts w:cstheme="majorBidi"/>
          <w:szCs w:val="24"/>
        </w:rPr>
        <w:t xml:space="preserve"> </w:t>
      </w:r>
      <w:r>
        <w:t xml:space="preserve">Considering </w:t>
      </w:r>
      <w:proofErr w:type="spellStart"/>
      <w:r w:rsidRPr="006F1198">
        <w:rPr>
          <w:i/>
          <w:iCs/>
        </w:rPr>
        <w:t>PrivateCredit</w:t>
      </w:r>
      <w:proofErr w:type="spellEnd"/>
      <w:r>
        <w:t xml:space="preserve"> as a measure of FD</w:t>
      </w:r>
      <w:r w:rsidRPr="006F1198">
        <w:t xml:space="preserve">, </w:t>
      </w:r>
      <w:r>
        <w:t>by increasing trade</w:t>
      </w:r>
      <w:r w:rsidRPr="006F1198">
        <w:t xml:space="preserve"> openness from the lowest </w:t>
      </w:r>
      <w:r>
        <w:t>to the highest level, FD's marginal impac</w:t>
      </w:r>
      <w:r w:rsidRPr="006F1198">
        <w:t>t on income inequality increases from -</w:t>
      </w:r>
      <w:r>
        <w:t>3.9</w:t>
      </w:r>
      <w:r w:rsidRPr="006F1198">
        <w:t xml:space="preserve">% to </w:t>
      </w:r>
      <w:r>
        <w:t>8.3</w:t>
      </w:r>
      <w:r w:rsidRPr="006F1198">
        <w:t>%.</w:t>
      </w:r>
      <w:r>
        <w:t xml:space="preserve"> Focusing on high trade openness countries, based on the average value of trade openness over 1994-</w:t>
      </w:r>
      <w:r w:rsidRPr="0060324C">
        <w:t xml:space="preserve">2017, 10% increases in </w:t>
      </w:r>
      <w:proofErr w:type="spellStart"/>
      <w:r w:rsidRPr="0060324C">
        <w:rPr>
          <w:i/>
          <w:iCs/>
        </w:rPr>
        <w:lastRenderedPageBreak/>
        <w:t>PrivateCredit</w:t>
      </w:r>
      <w:proofErr w:type="spellEnd"/>
      <w:r w:rsidRPr="0060324C">
        <w:rPr>
          <w:i/>
          <w:iCs/>
        </w:rPr>
        <w:t xml:space="preserve"> </w:t>
      </w:r>
      <w:r w:rsidRPr="0060324C">
        <w:t>le</w:t>
      </w:r>
      <w:r>
        <w:t>d</w:t>
      </w:r>
      <w:r w:rsidRPr="0060324C">
        <w:t xml:space="preserve"> to a significant rise in </w:t>
      </w:r>
      <w:r>
        <w:t xml:space="preserve">the </w:t>
      </w:r>
      <w:r w:rsidRPr="0060324C">
        <w:t xml:space="preserve">Gini index </w:t>
      </w:r>
      <w:r>
        <w:rPr>
          <w:rFonts w:cstheme="majorBidi"/>
          <w:szCs w:val="24"/>
        </w:rPr>
        <w:t>of</w:t>
      </w:r>
      <w:r w:rsidRPr="0060324C">
        <w:rPr>
          <w:rFonts w:cstheme="majorBidi"/>
          <w:szCs w:val="24"/>
        </w:rPr>
        <w:t xml:space="preserve"> 0.77% in Singapore, 0.74% in Hong Kong and 0.5% in Malaysia.</w:t>
      </w:r>
    </w:p>
    <w:p w14:paraId="038FA54F" w14:textId="03AE4499" w:rsidR="0012305F" w:rsidRPr="00176DAD" w:rsidRDefault="0012305F" w:rsidP="00176DAD">
      <w:pPr>
        <w:rPr>
          <w:rFonts w:cstheme="majorBidi"/>
          <w:szCs w:val="24"/>
        </w:rPr>
      </w:pPr>
      <w:r w:rsidRPr="0060324C">
        <w:rPr>
          <w:rFonts w:cstheme="majorBidi"/>
          <w:szCs w:val="24"/>
        </w:rPr>
        <w:t>This result provide</w:t>
      </w:r>
      <w:r>
        <w:rPr>
          <w:rFonts w:cstheme="majorBidi"/>
          <w:szCs w:val="24"/>
        </w:rPr>
        <w:t>s</w:t>
      </w:r>
      <w:r w:rsidRPr="0060324C">
        <w:rPr>
          <w:rFonts w:cstheme="majorBidi"/>
          <w:szCs w:val="24"/>
        </w:rPr>
        <w:t xml:space="preserve"> broad empirical support at </w:t>
      </w:r>
      <w:r>
        <w:rPr>
          <w:rFonts w:cstheme="majorBidi"/>
          <w:szCs w:val="24"/>
        </w:rPr>
        <w:t xml:space="preserve">the </w:t>
      </w:r>
      <w:r w:rsidRPr="0060324C">
        <w:rPr>
          <w:rFonts w:cstheme="majorBidi"/>
          <w:szCs w:val="24"/>
        </w:rPr>
        <w:t xml:space="preserve">macro level for the prediction of </w:t>
      </w:r>
      <w:r w:rsidRPr="0060324C">
        <w:fldChar w:fldCharType="begin" w:fldLock="1"/>
      </w:r>
      <w:r w:rsidR="002E36DB">
        <w:instrText>ADDIN CSL_CITATION {"citationItems":[{"id":"ITEM-1","itemData":{"DOI":"10.1111/SJOE.12312","ISSN":"1467-9442","author":[{"dropping-particle":"v.","family":"Ehrlich","given":"Maximilian","non-dropping-particle":"","parse-names":false,"suffix":""},{"dropping-particle":"","family":"Seidel","given":"Tobias","non-dropping-particle":"","parse-names":false,"suffix":""}],"container-title":"The Scandinavian Journal of Economics","id":"ITEM-1","issue":"4","issued":{"date-parts":[["2019","10","1"]]},"page":"1533-1560","publisher":"John Wiley &amp; Sons, Ltd","title":"Financial Development and Inequality in the Global Economy","type":"article-journal","volume":"121"},"uris":["http://www.mendeley.com/documents/?uuid=e7fe01de-541f-32e2-bef1-61193b8b3502"]}],"mendeley":{"formattedCitation":"(Ehrlich &amp; Seidel, 2019)","manualFormatting":" Ehrlich and Seidel (2019)","plainTextFormattedCitation":"(Ehrlich &amp; Seidel, 2019)","previouslyFormattedCitation":"(Ehrlich &amp; Seidel, 2019)"},"properties":{"noteIndex":0},"schema":"https://github.com/citation-style-language/schema/raw/master/csl-citation.json"}</w:instrText>
      </w:r>
      <w:r w:rsidRPr="0060324C">
        <w:fldChar w:fldCharType="separate"/>
      </w:r>
      <w:r w:rsidRPr="0060324C">
        <w:rPr>
          <w:noProof/>
        </w:rPr>
        <w:t xml:space="preserve"> Ehrlich </w:t>
      </w:r>
      <w:r>
        <w:rPr>
          <w:noProof/>
        </w:rPr>
        <w:t>and</w:t>
      </w:r>
      <w:r w:rsidRPr="0060324C">
        <w:rPr>
          <w:noProof/>
        </w:rPr>
        <w:t xml:space="preserve"> Seidel (2019)</w:t>
      </w:r>
      <w:r w:rsidRPr="0060324C">
        <w:fldChar w:fldCharType="end"/>
      </w:r>
      <w:r>
        <w:t>,</w:t>
      </w:r>
      <w:r w:rsidRPr="0060324C">
        <w:t xml:space="preserve"> </w:t>
      </w:r>
      <w:r>
        <w:t>who argue</w:t>
      </w:r>
      <w:r w:rsidRPr="0060324C">
        <w:t xml:space="preserve"> that </w:t>
      </w:r>
      <w:r>
        <w:t xml:space="preserve">the </w:t>
      </w:r>
      <w:r w:rsidRPr="0060324C">
        <w:t>FD</w:t>
      </w:r>
      <w:r>
        <w:t>–</w:t>
      </w:r>
      <w:r w:rsidRPr="0060324C">
        <w:t>income inequality relationship depend</w:t>
      </w:r>
      <w:r>
        <w:t>s</w:t>
      </w:r>
      <w:r w:rsidRPr="0060324C">
        <w:t xml:space="preserve"> on the number of exporting firms. In fact, they assert that FD increases income inequality in countries with </w:t>
      </w:r>
      <w:r>
        <w:t xml:space="preserve">a </w:t>
      </w:r>
      <w:r w:rsidRPr="0060324C">
        <w:t xml:space="preserve">high percentage of exporting firms, while </w:t>
      </w:r>
      <w:r>
        <w:t xml:space="preserve">it </w:t>
      </w:r>
      <w:r w:rsidRPr="0060324C">
        <w:t xml:space="preserve">decreases income inequality in countries with </w:t>
      </w:r>
      <w:r>
        <w:t xml:space="preserve">a </w:t>
      </w:r>
      <w:r w:rsidRPr="0060324C">
        <w:t xml:space="preserve">high percentage of non-exporting firms. Consistent with their argument, at </w:t>
      </w:r>
      <w:r>
        <w:t xml:space="preserve">the </w:t>
      </w:r>
      <w:r w:rsidRPr="0060324C">
        <w:t>macro-level, our results show that the development of financial market</w:t>
      </w:r>
      <w:r>
        <w:t>s</w:t>
      </w:r>
      <w:r w:rsidRPr="0060324C">
        <w:t xml:space="preserve"> significantly increases income inequality in countries with higher trade openness. However, we do not find a negative relationship between FD and income inequality in countries with lower trade openness.</w:t>
      </w:r>
      <w:r>
        <w:t xml:space="preserve"> </w:t>
      </w:r>
    </w:p>
    <w:p w14:paraId="38C58597" w14:textId="1D428375" w:rsidR="0012305F" w:rsidRPr="004308FB" w:rsidRDefault="0012305F" w:rsidP="0012305F">
      <w:pPr>
        <w:pStyle w:val="Caption"/>
        <w:jc w:val="center"/>
        <w:rPr>
          <w:rFonts w:cstheme="majorBidi"/>
          <w:b/>
          <w:bCs/>
          <w:i w:val="0"/>
          <w:iCs w:val="0"/>
          <w:color w:val="auto"/>
          <w:sz w:val="32"/>
          <w:szCs w:val="32"/>
        </w:rPr>
      </w:pPr>
      <w:r w:rsidRPr="004308FB">
        <w:rPr>
          <w:rFonts w:cstheme="majorBidi"/>
          <w:b/>
          <w:bCs/>
          <w:i w:val="0"/>
          <w:iCs w:val="0"/>
          <w:color w:val="auto"/>
          <w:sz w:val="22"/>
          <w:szCs w:val="22"/>
        </w:rPr>
        <w:t xml:space="preserve">Table </w:t>
      </w:r>
      <w:r w:rsidRPr="004308FB">
        <w:rPr>
          <w:rFonts w:cstheme="majorBidi"/>
          <w:b/>
          <w:bCs/>
          <w:i w:val="0"/>
          <w:iCs w:val="0"/>
          <w:color w:val="auto"/>
          <w:sz w:val="22"/>
          <w:szCs w:val="22"/>
        </w:rPr>
        <w:fldChar w:fldCharType="begin"/>
      </w:r>
      <w:r w:rsidRPr="004308FB">
        <w:rPr>
          <w:rFonts w:cstheme="majorBidi"/>
          <w:b/>
          <w:bCs/>
          <w:i w:val="0"/>
          <w:iCs w:val="0"/>
          <w:color w:val="auto"/>
          <w:sz w:val="22"/>
          <w:szCs w:val="22"/>
        </w:rPr>
        <w:instrText xml:space="preserve"> SEQ Table \* ARABIC </w:instrText>
      </w:r>
      <w:r w:rsidRPr="004308FB">
        <w:rPr>
          <w:rFonts w:cstheme="majorBidi"/>
          <w:b/>
          <w:bCs/>
          <w:i w:val="0"/>
          <w:iCs w:val="0"/>
          <w:color w:val="auto"/>
          <w:sz w:val="22"/>
          <w:szCs w:val="22"/>
        </w:rPr>
        <w:fldChar w:fldCharType="separate"/>
      </w:r>
      <w:r w:rsidR="00FB12E6">
        <w:rPr>
          <w:rFonts w:cstheme="majorBidi"/>
          <w:b/>
          <w:bCs/>
          <w:i w:val="0"/>
          <w:iCs w:val="0"/>
          <w:noProof/>
          <w:color w:val="auto"/>
          <w:sz w:val="22"/>
          <w:szCs w:val="22"/>
        </w:rPr>
        <w:t>5</w:t>
      </w:r>
      <w:r w:rsidRPr="004308FB">
        <w:rPr>
          <w:rFonts w:cstheme="majorBidi"/>
          <w:b/>
          <w:bCs/>
          <w:i w:val="0"/>
          <w:iCs w:val="0"/>
          <w:color w:val="auto"/>
          <w:sz w:val="22"/>
          <w:szCs w:val="22"/>
        </w:rPr>
        <w:fldChar w:fldCharType="end"/>
      </w:r>
      <w:r w:rsidR="00176DAD" w:rsidRPr="004308FB">
        <w:rPr>
          <w:rFonts w:cstheme="majorBidi"/>
          <w:b/>
          <w:bCs/>
          <w:i w:val="0"/>
          <w:iCs w:val="0"/>
          <w:color w:val="auto"/>
          <w:sz w:val="22"/>
          <w:szCs w:val="22"/>
        </w:rPr>
        <w:t>.</w:t>
      </w:r>
      <w:r w:rsidRPr="004308FB">
        <w:rPr>
          <w:rFonts w:cstheme="majorBidi"/>
          <w:b/>
          <w:bCs/>
          <w:i w:val="0"/>
          <w:iCs w:val="0"/>
          <w:color w:val="auto"/>
          <w:sz w:val="22"/>
          <w:szCs w:val="22"/>
        </w:rPr>
        <w:t xml:space="preserve"> Income inequality, FD, and trade openness</w:t>
      </w:r>
    </w:p>
    <w:tbl>
      <w:tblPr>
        <w:tblW w:w="9913" w:type="dxa"/>
        <w:tblInd w:w="-605" w:type="dxa"/>
        <w:tblLook w:val="04A0" w:firstRow="1" w:lastRow="0" w:firstColumn="1" w:lastColumn="0" w:noHBand="0" w:noVBand="1"/>
      </w:tblPr>
      <w:tblGrid>
        <w:gridCol w:w="2935"/>
        <w:gridCol w:w="1163"/>
        <w:gridCol w:w="1163"/>
        <w:gridCol w:w="1163"/>
        <w:gridCol w:w="1163"/>
        <w:gridCol w:w="1163"/>
        <w:gridCol w:w="1163"/>
      </w:tblGrid>
      <w:tr w:rsidR="0012305F" w:rsidRPr="008B7FC2" w14:paraId="26CA57AA" w14:textId="77777777" w:rsidTr="00354437">
        <w:trPr>
          <w:trHeight w:hRule="exact" w:val="249"/>
        </w:trPr>
        <w:tc>
          <w:tcPr>
            <w:tcW w:w="2935" w:type="dxa"/>
            <w:shd w:val="clear" w:color="auto" w:fill="auto"/>
            <w:noWrap/>
            <w:vAlign w:val="bottom"/>
            <w:hideMark/>
          </w:tcPr>
          <w:p w14:paraId="0CA2CD0C"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6978" w:type="dxa"/>
            <w:gridSpan w:val="6"/>
            <w:tcBorders>
              <w:bottom w:val="single" w:sz="4" w:space="0" w:color="auto"/>
            </w:tcBorders>
            <w:shd w:val="clear" w:color="auto" w:fill="auto"/>
            <w:noWrap/>
            <w:vAlign w:val="bottom"/>
            <w:hideMark/>
          </w:tcPr>
          <w:p w14:paraId="5CA0FB02" w14:textId="77777777" w:rsidR="0012305F" w:rsidRPr="008B7FC2" w:rsidRDefault="0012305F" w:rsidP="00354437">
            <w:pPr>
              <w:spacing w:after="0" w:line="240" w:lineRule="auto"/>
              <w:ind w:firstLine="0"/>
              <w:jc w:val="center"/>
              <w:rPr>
                <w:rFonts w:ascii="Times New Roman" w:eastAsia="Times New Roman" w:hAnsi="Times New Roman" w:cs="Times New Roman"/>
                <w:sz w:val="20"/>
                <w:szCs w:val="20"/>
                <w:lang w:eastAsia="en-NZ"/>
              </w:rPr>
            </w:pPr>
            <w:proofErr w:type="spellStart"/>
            <w:r w:rsidRPr="005F0516">
              <w:rPr>
                <w:rFonts w:ascii="Times New Roman" w:eastAsia="Times New Roman" w:hAnsi="Times New Roman" w:cs="Times New Roman"/>
                <w:color w:val="000000"/>
                <w:sz w:val="20"/>
                <w:szCs w:val="20"/>
                <w:lang w:eastAsia="en-NZ"/>
              </w:rPr>
              <w:t>logGrossGini</w:t>
            </w:r>
            <w:proofErr w:type="spellEnd"/>
          </w:p>
        </w:tc>
      </w:tr>
      <w:tr w:rsidR="0012305F" w:rsidRPr="008B7FC2" w14:paraId="75C84B7F" w14:textId="77777777" w:rsidTr="00354437">
        <w:trPr>
          <w:trHeight w:hRule="exact" w:val="459"/>
        </w:trPr>
        <w:tc>
          <w:tcPr>
            <w:tcW w:w="2935" w:type="dxa"/>
            <w:tcBorders>
              <w:left w:val="nil"/>
              <w:bottom w:val="single" w:sz="4" w:space="0" w:color="auto"/>
              <w:right w:val="nil"/>
            </w:tcBorders>
            <w:shd w:val="clear" w:color="auto" w:fill="auto"/>
            <w:noWrap/>
            <w:vAlign w:val="bottom"/>
            <w:hideMark/>
          </w:tcPr>
          <w:p w14:paraId="3B91E9BA"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single" w:sz="4" w:space="0" w:color="auto"/>
              <w:left w:val="nil"/>
              <w:bottom w:val="single" w:sz="4" w:space="0" w:color="auto"/>
              <w:right w:val="nil"/>
            </w:tcBorders>
            <w:shd w:val="clear" w:color="auto" w:fill="auto"/>
            <w:noWrap/>
            <w:vAlign w:val="bottom"/>
            <w:hideMark/>
          </w:tcPr>
          <w:p w14:paraId="67C05DA8"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(1)</w:t>
            </w:r>
          </w:p>
          <w:p w14:paraId="59D5F51C"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TO&lt;Q1</w:t>
            </w:r>
          </w:p>
        </w:tc>
        <w:tc>
          <w:tcPr>
            <w:tcW w:w="1163" w:type="dxa"/>
            <w:tcBorders>
              <w:top w:val="single" w:sz="4" w:space="0" w:color="auto"/>
              <w:left w:val="nil"/>
              <w:bottom w:val="single" w:sz="4" w:space="0" w:color="auto"/>
              <w:right w:val="nil"/>
            </w:tcBorders>
            <w:shd w:val="clear" w:color="auto" w:fill="auto"/>
            <w:noWrap/>
            <w:vAlign w:val="bottom"/>
            <w:hideMark/>
          </w:tcPr>
          <w:p w14:paraId="00290F6A"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(2)</w:t>
            </w:r>
          </w:p>
          <w:p w14:paraId="4240F9A0"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TO&gt;Q1</w:t>
            </w:r>
          </w:p>
        </w:tc>
        <w:tc>
          <w:tcPr>
            <w:tcW w:w="1163" w:type="dxa"/>
            <w:tcBorders>
              <w:top w:val="single" w:sz="4" w:space="0" w:color="auto"/>
              <w:left w:val="nil"/>
              <w:bottom w:val="single" w:sz="4" w:space="0" w:color="auto"/>
              <w:right w:val="nil"/>
            </w:tcBorders>
            <w:shd w:val="clear" w:color="auto" w:fill="auto"/>
            <w:noWrap/>
            <w:vAlign w:val="center"/>
            <w:hideMark/>
          </w:tcPr>
          <w:p w14:paraId="51B537BB"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(3)</w:t>
            </w:r>
          </w:p>
          <w:p w14:paraId="3027E989"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Interaction</w:t>
            </w:r>
          </w:p>
        </w:tc>
        <w:tc>
          <w:tcPr>
            <w:tcW w:w="1163" w:type="dxa"/>
            <w:tcBorders>
              <w:top w:val="single" w:sz="4" w:space="0" w:color="auto"/>
              <w:left w:val="nil"/>
              <w:bottom w:val="single" w:sz="4" w:space="0" w:color="auto"/>
              <w:right w:val="nil"/>
            </w:tcBorders>
            <w:shd w:val="clear" w:color="auto" w:fill="auto"/>
            <w:noWrap/>
            <w:vAlign w:val="bottom"/>
            <w:hideMark/>
          </w:tcPr>
          <w:p w14:paraId="0636F621"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(4)</w:t>
            </w:r>
          </w:p>
          <w:p w14:paraId="058CFCCD"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TO&lt;Q1</w:t>
            </w:r>
          </w:p>
        </w:tc>
        <w:tc>
          <w:tcPr>
            <w:tcW w:w="1163" w:type="dxa"/>
            <w:tcBorders>
              <w:top w:val="single" w:sz="4" w:space="0" w:color="auto"/>
              <w:left w:val="nil"/>
              <w:bottom w:val="single" w:sz="4" w:space="0" w:color="auto"/>
              <w:right w:val="nil"/>
            </w:tcBorders>
            <w:shd w:val="clear" w:color="auto" w:fill="auto"/>
            <w:noWrap/>
            <w:vAlign w:val="bottom"/>
            <w:hideMark/>
          </w:tcPr>
          <w:p w14:paraId="0CCAE96A"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(5)</w:t>
            </w:r>
          </w:p>
          <w:p w14:paraId="5F695009"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TO&gt;Q1</w:t>
            </w:r>
          </w:p>
        </w:tc>
        <w:tc>
          <w:tcPr>
            <w:tcW w:w="1163" w:type="dxa"/>
            <w:tcBorders>
              <w:top w:val="single" w:sz="4" w:space="0" w:color="auto"/>
              <w:left w:val="nil"/>
              <w:bottom w:val="single" w:sz="4" w:space="0" w:color="auto"/>
              <w:right w:val="nil"/>
            </w:tcBorders>
            <w:shd w:val="clear" w:color="auto" w:fill="auto"/>
            <w:noWrap/>
            <w:vAlign w:val="center"/>
            <w:hideMark/>
          </w:tcPr>
          <w:p w14:paraId="663062E0"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(6)</w:t>
            </w:r>
          </w:p>
          <w:p w14:paraId="694E2402" w14:textId="77777777" w:rsidR="0012305F" w:rsidRPr="008D25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Interaction</w:t>
            </w:r>
          </w:p>
        </w:tc>
      </w:tr>
      <w:tr w:rsidR="0012305F" w:rsidRPr="008B7FC2" w14:paraId="5FD0AFDE" w14:textId="77777777" w:rsidTr="00354437">
        <w:trPr>
          <w:trHeight w:hRule="exact" w:val="249"/>
        </w:trPr>
        <w:tc>
          <w:tcPr>
            <w:tcW w:w="2935" w:type="dxa"/>
            <w:tcBorders>
              <w:top w:val="single" w:sz="4" w:space="0" w:color="auto"/>
              <w:left w:val="nil"/>
              <w:bottom w:val="nil"/>
              <w:right w:val="nil"/>
            </w:tcBorders>
            <w:shd w:val="clear" w:color="auto" w:fill="auto"/>
            <w:noWrap/>
            <w:vAlign w:val="bottom"/>
            <w:hideMark/>
          </w:tcPr>
          <w:p w14:paraId="2005411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8B7FC2">
              <w:rPr>
                <w:rFonts w:ascii="Times New Roman" w:eastAsia="Times New Roman" w:hAnsi="Times New Roman" w:cs="Times New Roman"/>
                <w:color w:val="000000"/>
                <w:sz w:val="20"/>
                <w:szCs w:val="20"/>
                <w:lang w:eastAsia="en-NZ"/>
              </w:rPr>
              <w:t>Lag.GrossGini</w:t>
            </w:r>
            <w:proofErr w:type="spellEnd"/>
          </w:p>
        </w:tc>
        <w:tc>
          <w:tcPr>
            <w:tcW w:w="1163" w:type="dxa"/>
            <w:tcBorders>
              <w:top w:val="single" w:sz="4" w:space="0" w:color="auto"/>
              <w:left w:val="nil"/>
              <w:bottom w:val="nil"/>
              <w:right w:val="nil"/>
            </w:tcBorders>
            <w:shd w:val="clear" w:color="auto" w:fill="auto"/>
            <w:noWrap/>
            <w:vAlign w:val="bottom"/>
            <w:hideMark/>
          </w:tcPr>
          <w:p w14:paraId="04A01104" w14:textId="77777777" w:rsidR="0012305F" w:rsidRPr="008D25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0.8980***</w:t>
            </w:r>
          </w:p>
        </w:tc>
        <w:tc>
          <w:tcPr>
            <w:tcW w:w="1163" w:type="dxa"/>
            <w:tcBorders>
              <w:top w:val="single" w:sz="4" w:space="0" w:color="auto"/>
              <w:left w:val="nil"/>
              <w:bottom w:val="nil"/>
              <w:right w:val="nil"/>
            </w:tcBorders>
            <w:shd w:val="clear" w:color="auto" w:fill="auto"/>
            <w:noWrap/>
            <w:vAlign w:val="bottom"/>
            <w:hideMark/>
          </w:tcPr>
          <w:p w14:paraId="0BB97643" w14:textId="77777777" w:rsidR="0012305F" w:rsidRPr="008D25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0.6320***</w:t>
            </w:r>
          </w:p>
        </w:tc>
        <w:tc>
          <w:tcPr>
            <w:tcW w:w="1163" w:type="dxa"/>
            <w:tcBorders>
              <w:top w:val="single" w:sz="4" w:space="0" w:color="auto"/>
              <w:left w:val="nil"/>
              <w:bottom w:val="nil"/>
              <w:right w:val="nil"/>
            </w:tcBorders>
            <w:shd w:val="clear" w:color="auto" w:fill="auto"/>
            <w:noWrap/>
            <w:vAlign w:val="bottom"/>
            <w:hideMark/>
          </w:tcPr>
          <w:p w14:paraId="64FA9778" w14:textId="77777777" w:rsidR="0012305F" w:rsidRPr="008D25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0.6527***</w:t>
            </w:r>
          </w:p>
        </w:tc>
        <w:tc>
          <w:tcPr>
            <w:tcW w:w="1163" w:type="dxa"/>
            <w:tcBorders>
              <w:top w:val="single" w:sz="4" w:space="0" w:color="auto"/>
              <w:left w:val="nil"/>
              <w:bottom w:val="nil"/>
              <w:right w:val="nil"/>
            </w:tcBorders>
            <w:shd w:val="clear" w:color="auto" w:fill="auto"/>
            <w:noWrap/>
            <w:vAlign w:val="bottom"/>
            <w:hideMark/>
          </w:tcPr>
          <w:p w14:paraId="7C91BA18" w14:textId="77777777" w:rsidR="0012305F" w:rsidRPr="008D25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0.9784***</w:t>
            </w:r>
          </w:p>
        </w:tc>
        <w:tc>
          <w:tcPr>
            <w:tcW w:w="1163" w:type="dxa"/>
            <w:tcBorders>
              <w:top w:val="single" w:sz="4" w:space="0" w:color="auto"/>
              <w:left w:val="nil"/>
              <w:bottom w:val="nil"/>
              <w:right w:val="nil"/>
            </w:tcBorders>
            <w:shd w:val="clear" w:color="auto" w:fill="auto"/>
            <w:noWrap/>
            <w:vAlign w:val="bottom"/>
            <w:hideMark/>
          </w:tcPr>
          <w:p w14:paraId="7D9D334F" w14:textId="77777777" w:rsidR="0012305F" w:rsidRPr="008D25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0.6480***</w:t>
            </w:r>
          </w:p>
        </w:tc>
        <w:tc>
          <w:tcPr>
            <w:tcW w:w="1163" w:type="dxa"/>
            <w:tcBorders>
              <w:top w:val="single" w:sz="4" w:space="0" w:color="auto"/>
              <w:left w:val="nil"/>
              <w:bottom w:val="nil"/>
              <w:right w:val="nil"/>
            </w:tcBorders>
            <w:shd w:val="clear" w:color="auto" w:fill="auto"/>
            <w:noWrap/>
            <w:vAlign w:val="bottom"/>
            <w:hideMark/>
          </w:tcPr>
          <w:p w14:paraId="12C66300" w14:textId="77777777" w:rsidR="0012305F" w:rsidRPr="008D25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D255F">
              <w:rPr>
                <w:rFonts w:ascii="Times New Roman" w:eastAsia="Times New Roman" w:hAnsi="Times New Roman" w:cs="Times New Roman"/>
                <w:color w:val="000000"/>
                <w:sz w:val="20"/>
                <w:szCs w:val="20"/>
                <w:lang w:eastAsia="en-NZ"/>
              </w:rPr>
              <w:t>0.6456***</w:t>
            </w:r>
          </w:p>
        </w:tc>
      </w:tr>
      <w:tr w:rsidR="0012305F" w:rsidRPr="008B7FC2" w14:paraId="24A78C99" w14:textId="77777777" w:rsidTr="00354437">
        <w:trPr>
          <w:trHeight w:hRule="exact" w:val="249"/>
        </w:trPr>
        <w:tc>
          <w:tcPr>
            <w:tcW w:w="2935" w:type="dxa"/>
            <w:tcBorders>
              <w:top w:val="nil"/>
              <w:left w:val="nil"/>
              <w:bottom w:val="nil"/>
              <w:right w:val="nil"/>
            </w:tcBorders>
            <w:shd w:val="clear" w:color="auto" w:fill="auto"/>
            <w:noWrap/>
            <w:vAlign w:val="bottom"/>
            <w:hideMark/>
          </w:tcPr>
          <w:p w14:paraId="63F7D2A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355A40C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(0.1235)</w:t>
            </w:r>
          </w:p>
        </w:tc>
        <w:tc>
          <w:tcPr>
            <w:tcW w:w="1163" w:type="dxa"/>
            <w:tcBorders>
              <w:top w:val="nil"/>
              <w:left w:val="nil"/>
              <w:bottom w:val="nil"/>
              <w:right w:val="nil"/>
            </w:tcBorders>
            <w:shd w:val="clear" w:color="auto" w:fill="auto"/>
            <w:noWrap/>
            <w:vAlign w:val="bottom"/>
            <w:hideMark/>
          </w:tcPr>
          <w:p w14:paraId="62746E9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(0.0707)</w:t>
            </w:r>
          </w:p>
        </w:tc>
        <w:tc>
          <w:tcPr>
            <w:tcW w:w="1163" w:type="dxa"/>
            <w:tcBorders>
              <w:top w:val="nil"/>
              <w:left w:val="nil"/>
              <w:bottom w:val="nil"/>
              <w:right w:val="nil"/>
            </w:tcBorders>
            <w:shd w:val="clear" w:color="auto" w:fill="auto"/>
            <w:noWrap/>
            <w:vAlign w:val="bottom"/>
            <w:hideMark/>
          </w:tcPr>
          <w:p w14:paraId="27C324D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(-0.067)</w:t>
            </w:r>
          </w:p>
        </w:tc>
        <w:tc>
          <w:tcPr>
            <w:tcW w:w="1163" w:type="dxa"/>
            <w:tcBorders>
              <w:top w:val="nil"/>
              <w:left w:val="nil"/>
              <w:bottom w:val="nil"/>
              <w:right w:val="nil"/>
            </w:tcBorders>
            <w:shd w:val="clear" w:color="auto" w:fill="auto"/>
            <w:noWrap/>
            <w:vAlign w:val="bottom"/>
            <w:hideMark/>
          </w:tcPr>
          <w:p w14:paraId="046A313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(0.2391)</w:t>
            </w:r>
          </w:p>
        </w:tc>
        <w:tc>
          <w:tcPr>
            <w:tcW w:w="1163" w:type="dxa"/>
            <w:tcBorders>
              <w:top w:val="nil"/>
              <w:left w:val="nil"/>
              <w:bottom w:val="nil"/>
              <w:right w:val="nil"/>
            </w:tcBorders>
            <w:shd w:val="clear" w:color="auto" w:fill="auto"/>
            <w:noWrap/>
            <w:vAlign w:val="bottom"/>
            <w:hideMark/>
          </w:tcPr>
          <w:p w14:paraId="78EED94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(0.0679)</w:t>
            </w:r>
          </w:p>
        </w:tc>
        <w:tc>
          <w:tcPr>
            <w:tcW w:w="1163" w:type="dxa"/>
            <w:tcBorders>
              <w:top w:val="nil"/>
              <w:left w:val="nil"/>
              <w:bottom w:val="nil"/>
              <w:right w:val="nil"/>
            </w:tcBorders>
            <w:shd w:val="clear" w:color="auto" w:fill="auto"/>
            <w:noWrap/>
            <w:vAlign w:val="bottom"/>
            <w:hideMark/>
          </w:tcPr>
          <w:p w14:paraId="7E1271E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(0.0658)</w:t>
            </w:r>
          </w:p>
        </w:tc>
      </w:tr>
      <w:tr w:rsidR="0012305F" w:rsidRPr="008B7FC2" w14:paraId="6AAE9CF2" w14:textId="77777777" w:rsidTr="00354437">
        <w:trPr>
          <w:trHeight w:hRule="exact" w:val="249"/>
        </w:trPr>
        <w:tc>
          <w:tcPr>
            <w:tcW w:w="2935" w:type="dxa"/>
            <w:tcBorders>
              <w:top w:val="nil"/>
              <w:left w:val="nil"/>
              <w:bottom w:val="nil"/>
              <w:right w:val="nil"/>
            </w:tcBorders>
            <w:shd w:val="clear" w:color="auto" w:fill="auto"/>
            <w:noWrap/>
            <w:vAlign w:val="bottom"/>
            <w:hideMark/>
          </w:tcPr>
          <w:p w14:paraId="4AC9848D"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PrivateCredit</w:t>
            </w:r>
            <w:proofErr w:type="spellEnd"/>
          </w:p>
        </w:tc>
        <w:tc>
          <w:tcPr>
            <w:tcW w:w="1163" w:type="dxa"/>
            <w:tcBorders>
              <w:top w:val="nil"/>
              <w:left w:val="nil"/>
              <w:bottom w:val="nil"/>
              <w:right w:val="nil"/>
            </w:tcBorders>
            <w:shd w:val="clear" w:color="auto" w:fill="auto"/>
            <w:noWrap/>
            <w:vAlign w:val="bottom"/>
            <w:hideMark/>
          </w:tcPr>
          <w:p w14:paraId="2FEEED3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0.0178</w:t>
            </w:r>
          </w:p>
        </w:tc>
        <w:tc>
          <w:tcPr>
            <w:tcW w:w="1163" w:type="dxa"/>
            <w:tcBorders>
              <w:top w:val="nil"/>
              <w:left w:val="nil"/>
              <w:bottom w:val="nil"/>
              <w:right w:val="nil"/>
            </w:tcBorders>
            <w:shd w:val="clear" w:color="auto" w:fill="auto"/>
            <w:noWrap/>
            <w:vAlign w:val="bottom"/>
            <w:hideMark/>
          </w:tcPr>
          <w:p w14:paraId="7C0E2DB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0.0166**</w:t>
            </w:r>
          </w:p>
        </w:tc>
        <w:tc>
          <w:tcPr>
            <w:tcW w:w="1163" w:type="dxa"/>
            <w:tcBorders>
              <w:top w:val="nil"/>
              <w:left w:val="nil"/>
              <w:bottom w:val="nil"/>
              <w:right w:val="nil"/>
            </w:tcBorders>
            <w:shd w:val="clear" w:color="auto" w:fill="auto"/>
            <w:noWrap/>
            <w:vAlign w:val="bottom"/>
            <w:hideMark/>
          </w:tcPr>
          <w:p w14:paraId="46FCB92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-0.1618**</w:t>
            </w:r>
          </w:p>
        </w:tc>
        <w:tc>
          <w:tcPr>
            <w:tcW w:w="1163" w:type="dxa"/>
            <w:tcBorders>
              <w:top w:val="nil"/>
              <w:left w:val="nil"/>
              <w:bottom w:val="nil"/>
              <w:right w:val="nil"/>
            </w:tcBorders>
            <w:shd w:val="clear" w:color="auto" w:fill="auto"/>
            <w:noWrap/>
            <w:vAlign w:val="bottom"/>
            <w:hideMark/>
          </w:tcPr>
          <w:p w14:paraId="685891D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28DFE28A"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30027E2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 xml:space="preserve">               </w:t>
            </w:r>
          </w:p>
        </w:tc>
      </w:tr>
      <w:tr w:rsidR="0012305F" w:rsidRPr="008B7FC2" w14:paraId="1C9E7804" w14:textId="77777777" w:rsidTr="00354437">
        <w:trPr>
          <w:trHeight w:hRule="exact" w:val="249"/>
        </w:trPr>
        <w:tc>
          <w:tcPr>
            <w:tcW w:w="2935" w:type="dxa"/>
            <w:tcBorders>
              <w:top w:val="nil"/>
              <w:left w:val="nil"/>
              <w:bottom w:val="nil"/>
              <w:right w:val="nil"/>
            </w:tcBorders>
            <w:shd w:val="clear" w:color="auto" w:fill="auto"/>
            <w:noWrap/>
            <w:vAlign w:val="bottom"/>
            <w:hideMark/>
          </w:tcPr>
          <w:p w14:paraId="47C7D6A4"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58822C8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(0.0159)</w:t>
            </w:r>
          </w:p>
        </w:tc>
        <w:tc>
          <w:tcPr>
            <w:tcW w:w="1163" w:type="dxa"/>
            <w:tcBorders>
              <w:top w:val="nil"/>
              <w:left w:val="nil"/>
              <w:bottom w:val="nil"/>
              <w:right w:val="nil"/>
            </w:tcBorders>
            <w:shd w:val="clear" w:color="auto" w:fill="auto"/>
            <w:noWrap/>
            <w:vAlign w:val="bottom"/>
            <w:hideMark/>
          </w:tcPr>
          <w:p w14:paraId="14F3979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(0.0079)</w:t>
            </w:r>
          </w:p>
        </w:tc>
        <w:tc>
          <w:tcPr>
            <w:tcW w:w="1163" w:type="dxa"/>
            <w:tcBorders>
              <w:top w:val="nil"/>
              <w:left w:val="nil"/>
              <w:bottom w:val="nil"/>
              <w:right w:val="nil"/>
            </w:tcBorders>
            <w:shd w:val="clear" w:color="auto" w:fill="auto"/>
            <w:noWrap/>
            <w:vAlign w:val="bottom"/>
            <w:hideMark/>
          </w:tcPr>
          <w:p w14:paraId="600BD73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(-0.074)</w:t>
            </w:r>
          </w:p>
        </w:tc>
        <w:tc>
          <w:tcPr>
            <w:tcW w:w="1163" w:type="dxa"/>
            <w:tcBorders>
              <w:top w:val="nil"/>
              <w:left w:val="nil"/>
              <w:bottom w:val="nil"/>
              <w:right w:val="nil"/>
            </w:tcBorders>
            <w:shd w:val="clear" w:color="auto" w:fill="auto"/>
            <w:noWrap/>
            <w:vAlign w:val="bottom"/>
            <w:hideMark/>
          </w:tcPr>
          <w:p w14:paraId="414D5FB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505E6C96"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5178A6A9"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 xml:space="preserve">               </w:t>
            </w:r>
          </w:p>
        </w:tc>
      </w:tr>
      <w:tr w:rsidR="0012305F" w:rsidRPr="008B7FC2" w14:paraId="29F24BDB" w14:textId="77777777" w:rsidTr="00354437">
        <w:trPr>
          <w:trHeight w:hRule="exact" w:val="249"/>
        </w:trPr>
        <w:tc>
          <w:tcPr>
            <w:tcW w:w="2935" w:type="dxa"/>
            <w:tcBorders>
              <w:top w:val="nil"/>
              <w:left w:val="nil"/>
              <w:bottom w:val="nil"/>
              <w:right w:val="nil"/>
            </w:tcBorders>
            <w:shd w:val="clear" w:color="auto" w:fill="auto"/>
            <w:noWrap/>
            <w:vAlign w:val="bottom"/>
            <w:hideMark/>
          </w:tcPr>
          <w:p w14:paraId="066EE409"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PrivateCredit</w:t>
            </w:r>
            <w:proofErr w:type="spellEnd"/>
            <w:r w:rsidRPr="008B7FC2">
              <w:rPr>
                <w:rFonts w:ascii="Times New Roman" w:eastAsia="Times New Roman" w:hAnsi="Times New Roman" w:cs="Times New Roman"/>
                <w:color w:val="000000"/>
                <w:sz w:val="20"/>
                <w:szCs w:val="20"/>
                <w:lang w:eastAsia="en-NZ"/>
              </w:rPr>
              <w:t xml:space="preserve"> * TO</w:t>
            </w:r>
          </w:p>
        </w:tc>
        <w:tc>
          <w:tcPr>
            <w:tcW w:w="1163" w:type="dxa"/>
            <w:tcBorders>
              <w:top w:val="nil"/>
              <w:left w:val="nil"/>
              <w:bottom w:val="nil"/>
              <w:right w:val="nil"/>
            </w:tcBorders>
            <w:shd w:val="clear" w:color="auto" w:fill="auto"/>
            <w:noWrap/>
            <w:vAlign w:val="bottom"/>
            <w:hideMark/>
          </w:tcPr>
          <w:p w14:paraId="672ED1A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0A2F0B0F"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49C7E1D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0.0409**</w:t>
            </w:r>
          </w:p>
        </w:tc>
        <w:tc>
          <w:tcPr>
            <w:tcW w:w="1163" w:type="dxa"/>
            <w:tcBorders>
              <w:top w:val="nil"/>
              <w:left w:val="nil"/>
              <w:bottom w:val="nil"/>
              <w:right w:val="nil"/>
            </w:tcBorders>
            <w:shd w:val="clear" w:color="auto" w:fill="auto"/>
            <w:noWrap/>
            <w:vAlign w:val="bottom"/>
            <w:hideMark/>
          </w:tcPr>
          <w:p w14:paraId="142EDE94"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651D8A76"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3955C1A3"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 xml:space="preserve">               </w:t>
            </w:r>
          </w:p>
        </w:tc>
      </w:tr>
      <w:tr w:rsidR="0012305F" w:rsidRPr="008B7FC2" w14:paraId="09600EFC" w14:textId="77777777" w:rsidTr="00354437">
        <w:trPr>
          <w:trHeight w:hRule="exact" w:val="249"/>
        </w:trPr>
        <w:tc>
          <w:tcPr>
            <w:tcW w:w="2935" w:type="dxa"/>
            <w:tcBorders>
              <w:top w:val="nil"/>
              <w:left w:val="nil"/>
              <w:bottom w:val="nil"/>
              <w:right w:val="nil"/>
            </w:tcBorders>
            <w:shd w:val="clear" w:color="auto" w:fill="auto"/>
            <w:noWrap/>
            <w:vAlign w:val="bottom"/>
            <w:hideMark/>
          </w:tcPr>
          <w:p w14:paraId="4F54C88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029DD730"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7C54EE60"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6149E3F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(0.0182)</w:t>
            </w:r>
          </w:p>
        </w:tc>
        <w:tc>
          <w:tcPr>
            <w:tcW w:w="1163" w:type="dxa"/>
            <w:tcBorders>
              <w:top w:val="nil"/>
              <w:left w:val="nil"/>
              <w:bottom w:val="nil"/>
              <w:right w:val="nil"/>
            </w:tcBorders>
            <w:shd w:val="clear" w:color="auto" w:fill="auto"/>
            <w:noWrap/>
            <w:vAlign w:val="bottom"/>
            <w:hideMark/>
          </w:tcPr>
          <w:p w14:paraId="6ABA8A43"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115713E5"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54A2ECB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 xml:space="preserve">               </w:t>
            </w:r>
          </w:p>
        </w:tc>
      </w:tr>
      <w:tr w:rsidR="0012305F" w:rsidRPr="008B7FC2" w14:paraId="157D87B9" w14:textId="77777777" w:rsidTr="00354437">
        <w:trPr>
          <w:trHeight w:hRule="exact" w:val="249"/>
        </w:trPr>
        <w:tc>
          <w:tcPr>
            <w:tcW w:w="2935" w:type="dxa"/>
            <w:tcBorders>
              <w:top w:val="nil"/>
              <w:left w:val="nil"/>
              <w:bottom w:val="nil"/>
              <w:right w:val="nil"/>
            </w:tcBorders>
            <w:shd w:val="clear" w:color="auto" w:fill="auto"/>
            <w:noWrap/>
            <w:vAlign w:val="bottom"/>
            <w:hideMark/>
          </w:tcPr>
          <w:p w14:paraId="452B9F9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LiquidLiabilities</w:t>
            </w:r>
            <w:proofErr w:type="spellEnd"/>
          </w:p>
        </w:tc>
        <w:tc>
          <w:tcPr>
            <w:tcW w:w="1163" w:type="dxa"/>
            <w:tcBorders>
              <w:top w:val="nil"/>
              <w:left w:val="nil"/>
              <w:bottom w:val="nil"/>
              <w:right w:val="nil"/>
            </w:tcBorders>
            <w:shd w:val="clear" w:color="auto" w:fill="auto"/>
            <w:noWrap/>
            <w:vAlign w:val="bottom"/>
            <w:hideMark/>
          </w:tcPr>
          <w:p w14:paraId="3596D0C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75D44977"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6C135F00"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3E307E1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0.1031</w:t>
            </w:r>
          </w:p>
        </w:tc>
        <w:tc>
          <w:tcPr>
            <w:tcW w:w="1163" w:type="dxa"/>
            <w:tcBorders>
              <w:top w:val="nil"/>
              <w:left w:val="nil"/>
              <w:bottom w:val="nil"/>
              <w:right w:val="nil"/>
            </w:tcBorders>
            <w:shd w:val="clear" w:color="auto" w:fill="auto"/>
            <w:noWrap/>
            <w:vAlign w:val="bottom"/>
            <w:hideMark/>
          </w:tcPr>
          <w:p w14:paraId="6562BC6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0.0259**</w:t>
            </w:r>
          </w:p>
        </w:tc>
        <w:tc>
          <w:tcPr>
            <w:tcW w:w="1163" w:type="dxa"/>
            <w:tcBorders>
              <w:top w:val="nil"/>
              <w:left w:val="nil"/>
              <w:bottom w:val="nil"/>
              <w:right w:val="nil"/>
            </w:tcBorders>
            <w:shd w:val="clear" w:color="auto" w:fill="auto"/>
            <w:noWrap/>
            <w:vAlign w:val="bottom"/>
            <w:hideMark/>
          </w:tcPr>
          <w:p w14:paraId="17E3B403"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 xml:space="preserve">-0.1053*  </w:t>
            </w:r>
          </w:p>
        </w:tc>
      </w:tr>
      <w:tr w:rsidR="0012305F" w:rsidRPr="008B7FC2" w14:paraId="7C88254B" w14:textId="77777777" w:rsidTr="00354437">
        <w:trPr>
          <w:trHeight w:hRule="exact" w:val="249"/>
        </w:trPr>
        <w:tc>
          <w:tcPr>
            <w:tcW w:w="2935" w:type="dxa"/>
            <w:tcBorders>
              <w:top w:val="nil"/>
              <w:left w:val="nil"/>
              <w:bottom w:val="nil"/>
              <w:right w:val="nil"/>
            </w:tcBorders>
            <w:shd w:val="clear" w:color="auto" w:fill="auto"/>
            <w:noWrap/>
            <w:vAlign w:val="bottom"/>
            <w:hideMark/>
          </w:tcPr>
          <w:p w14:paraId="0BCC7344"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3D6EADE0"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5A1150BA"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6552CE0E"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34B7CACD"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(0.0988)</w:t>
            </w:r>
          </w:p>
        </w:tc>
        <w:tc>
          <w:tcPr>
            <w:tcW w:w="1163" w:type="dxa"/>
            <w:tcBorders>
              <w:top w:val="nil"/>
              <w:left w:val="nil"/>
              <w:bottom w:val="nil"/>
              <w:right w:val="nil"/>
            </w:tcBorders>
            <w:shd w:val="clear" w:color="auto" w:fill="auto"/>
            <w:noWrap/>
            <w:vAlign w:val="bottom"/>
            <w:hideMark/>
          </w:tcPr>
          <w:p w14:paraId="09EBDA8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(0.0117)</w:t>
            </w:r>
          </w:p>
        </w:tc>
        <w:tc>
          <w:tcPr>
            <w:tcW w:w="1163" w:type="dxa"/>
            <w:tcBorders>
              <w:top w:val="nil"/>
              <w:left w:val="nil"/>
              <w:bottom w:val="nil"/>
              <w:right w:val="nil"/>
            </w:tcBorders>
            <w:shd w:val="clear" w:color="auto" w:fill="auto"/>
            <w:noWrap/>
            <w:vAlign w:val="bottom"/>
            <w:hideMark/>
          </w:tcPr>
          <w:p w14:paraId="382B9F39"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(0.0584)</w:t>
            </w:r>
          </w:p>
        </w:tc>
      </w:tr>
      <w:tr w:rsidR="0012305F" w:rsidRPr="008B7FC2" w14:paraId="07148447" w14:textId="77777777" w:rsidTr="00354437">
        <w:trPr>
          <w:trHeight w:hRule="exact" w:val="249"/>
        </w:trPr>
        <w:tc>
          <w:tcPr>
            <w:tcW w:w="2935" w:type="dxa"/>
            <w:tcBorders>
              <w:top w:val="nil"/>
              <w:left w:val="nil"/>
              <w:bottom w:val="nil"/>
              <w:right w:val="nil"/>
            </w:tcBorders>
            <w:shd w:val="clear" w:color="auto" w:fill="auto"/>
            <w:noWrap/>
            <w:vAlign w:val="bottom"/>
            <w:hideMark/>
          </w:tcPr>
          <w:p w14:paraId="0E0BBB6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LiquidLiabilities</w:t>
            </w:r>
            <w:proofErr w:type="spellEnd"/>
            <w:r w:rsidRPr="008B7FC2">
              <w:rPr>
                <w:rFonts w:ascii="Times New Roman" w:eastAsia="Times New Roman" w:hAnsi="Times New Roman" w:cs="Times New Roman"/>
                <w:color w:val="000000"/>
                <w:sz w:val="20"/>
                <w:szCs w:val="20"/>
                <w:lang w:eastAsia="en-NZ"/>
              </w:rPr>
              <w:t xml:space="preserve"> *TO</w:t>
            </w:r>
          </w:p>
        </w:tc>
        <w:tc>
          <w:tcPr>
            <w:tcW w:w="1163" w:type="dxa"/>
            <w:tcBorders>
              <w:top w:val="nil"/>
              <w:left w:val="nil"/>
              <w:bottom w:val="nil"/>
              <w:right w:val="nil"/>
            </w:tcBorders>
            <w:shd w:val="clear" w:color="auto" w:fill="auto"/>
            <w:noWrap/>
            <w:vAlign w:val="bottom"/>
            <w:hideMark/>
          </w:tcPr>
          <w:p w14:paraId="73218D13"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692DFB40"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240CAF14"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15A54A2A"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011AF412"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0211FC9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 xml:space="preserve">0.0307** </w:t>
            </w:r>
          </w:p>
        </w:tc>
      </w:tr>
      <w:tr w:rsidR="0012305F" w:rsidRPr="008B7FC2" w14:paraId="77B52F76" w14:textId="77777777" w:rsidTr="00354437">
        <w:trPr>
          <w:trHeight w:hRule="exact" w:val="249"/>
        </w:trPr>
        <w:tc>
          <w:tcPr>
            <w:tcW w:w="2935" w:type="dxa"/>
            <w:tcBorders>
              <w:top w:val="nil"/>
              <w:left w:val="nil"/>
              <w:bottom w:val="nil"/>
              <w:right w:val="nil"/>
            </w:tcBorders>
            <w:shd w:val="clear" w:color="auto" w:fill="auto"/>
            <w:noWrap/>
            <w:vAlign w:val="bottom"/>
            <w:hideMark/>
          </w:tcPr>
          <w:p w14:paraId="39235F1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1D039E8A"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2EE5E2CF"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443AEE66"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23D898AC"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4765BB40"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163" w:type="dxa"/>
            <w:tcBorders>
              <w:top w:val="nil"/>
              <w:left w:val="nil"/>
              <w:bottom w:val="nil"/>
              <w:right w:val="nil"/>
            </w:tcBorders>
            <w:shd w:val="clear" w:color="auto" w:fill="auto"/>
            <w:noWrap/>
            <w:vAlign w:val="bottom"/>
            <w:hideMark/>
          </w:tcPr>
          <w:p w14:paraId="24CD6C0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(-0.014)</w:t>
            </w:r>
          </w:p>
        </w:tc>
      </w:tr>
      <w:tr w:rsidR="0012305F" w:rsidRPr="008B7FC2" w14:paraId="769B2A66" w14:textId="77777777" w:rsidTr="00354437">
        <w:trPr>
          <w:trHeight w:hRule="exact" w:val="249"/>
        </w:trPr>
        <w:tc>
          <w:tcPr>
            <w:tcW w:w="2935" w:type="dxa"/>
            <w:tcBorders>
              <w:top w:val="nil"/>
              <w:left w:val="nil"/>
              <w:bottom w:val="nil"/>
              <w:right w:val="nil"/>
            </w:tcBorders>
            <w:shd w:val="clear" w:color="auto" w:fill="auto"/>
            <w:noWrap/>
            <w:vAlign w:val="bottom"/>
            <w:hideMark/>
          </w:tcPr>
          <w:p w14:paraId="7CEABE8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TO</w:t>
            </w:r>
          </w:p>
        </w:tc>
        <w:tc>
          <w:tcPr>
            <w:tcW w:w="1163" w:type="dxa"/>
            <w:tcBorders>
              <w:top w:val="nil"/>
              <w:left w:val="nil"/>
              <w:bottom w:val="nil"/>
              <w:right w:val="nil"/>
            </w:tcBorders>
            <w:shd w:val="clear" w:color="auto" w:fill="auto"/>
            <w:noWrap/>
            <w:vAlign w:val="bottom"/>
            <w:hideMark/>
          </w:tcPr>
          <w:p w14:paraId="549CE44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0.0277</w:t>
            </w:r>
          </w:p>
        </w:tc>
        <w:tc>
          <w:tcPr>
            <w:tcW w:w="1163" w:type="dxa"/>
            <w:tcBorders>
              <w:top w:val="nil"/>
              <w:left w:val="nil"/>
              <w:bottom w:val="nil"/>
              <w:right w:val="nil"/>
            </w:tcBorders>
            <w:shd w:val="clear" w:color="auto" w:fill="auto"/>
            <w:noWrap/>
            <w:vAlign w:val="bottom"/>
            <w:hideMark/>
          </w:tcPr>
          <w:p w14:paraId="21EEC639"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0.0401</w:t>
            </w:r>
          </w:p>
        </w:tc>
        <w:tc>
          <w:tcPr>
            <w:tcW w:w="1163" w:type="dxa"/>
            <w:tcBorders>
              <w:top w:val="nil"/>
              <w:left w:val="nil"/>
              <w:bottom w:val="nil"/>
              <w:right w:val="nil"/>
            </w:tcBorders>
            <w:shd w:val="clear" w:color="auto" w:fill="auto"/>
            <w:noWrap/>
            <w:vAlign w:val="bottom"/>
            <w:hideMark/>
          </w:tcPr>
          <w:p w14:paraId="60373C4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-0.0922*</w:t>
            </w:r>
          </w:p>
        </w:tc>
        <w:tc>
          <w:tcPr>
            <w:tcW w:w="1163" w:type="dxa"/>
            <w:tcBorders>
              <w:top w:val="nil"/>
              <w:left w:val="nil"/>
              <w:bottom w:val="nil"/>
              <w:right w:val="nil"/>
            </w:tcBorders>
            <w:shd w:val="clear" w:color="auto" w:fill="auto"/>
            <w:noWrap/>
            <w:vAlign w:val="bottom"/>
            <w:hideMark/>
          </w:tcPr>
          <w:p w14:paraId="4210DCF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0.0558</w:t>
            </w:r>
          </w:p>
        </w:tc>
        <w:tc>
          <w:tcPr>
            <w:tcW w:w="1163" w:type="dxa"/>
            <w:tcBorders>
              <w:top w:val="nil"/>
              <w:left w:val="nil"/>
              <w:bottom w:val="nil"/>
              <w:right w:val="nil"/>
            </w:tcBorders>
            <w:shd w:val="clear" w:color="auto" w:fill="auto"/>
            <w:noWrap/>
            <w:vAlign w:val="bottom"/>
            <w:hideMark/>
          </w:tcPr>
          <w:p w14:paraId="1BF8DF4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0.0161</w:t>
            </w:r>
          </w:p>
        </w:tc>
        <w:tc>
          <w:tcPr>
            <w:tcW w:w="1163" w:type="dxa"/>
            <w:tcBorders>
              <w:top w:val="nil"/>
              <w:left w:val="nil"/>
              <w:bottom w:val="nil"/>
              <w:right w:val="nil"/>
            </w:tcBorders>
            <w:shd w:val="clear" w:color="auto" w:fill="auto"/>
            <w:noWrap/>
            <w:vAlign w:val="bottom"/>
            <w:hideMark/>
          </w:tcPr>
          <w:p w14:paraId="359A2C1D"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-0.0745</w:t>
            </w:r>
          </w:p>
        </w:tc>
      </w:tr>
      <w:tr w:rsidR="0012305F" w:rsidRPr="008B7FC2" w14:paraId="158FD5EA" w14:textId="77777777" w:rsidTr="00354437">
        <w:trPr>
          <w:trHeight w:hRule="exact" w:val="249"/>
        </w:trPr>
        <w:tc>
          <w:tcPr>
            <w:tcW w:w="2935" w:type="dxa"/>
            <w:tcBorders>
              <w:top w:val="nil"/>
              <w:left w:val="nil"/>
              <w:bottom w:val="nil"/>
              <w:right w:val="nil"/>
            </w:tcBorders>
            <w:shd w:val="clear" w:color="auto" w:fill="auto"/>
            <w:noWrap/>
            <w:vAlign w:val="bottom"/>
            <w:hideMark/>
          </w:tcPr>
          <w:p w14:paraId="39B6916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2BF4EA1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(0.0351)</w:t>
            </w:r>
          </w:p>
        </w:tc>
        <w:tc>
          <w:tcPr>
            <w:tcW w:w="1163" w:type="dxa"/>
            <w:tcBorders>
              <w:top w:val="nil"/>
              <w:left w:val="nil"/>
              <w:bottom w:val="nil"/>
              <w:right w:val="nil"/>
            </w:tcBorders>
            <w:shd w:val="clear" w:color="auto" w:fill="auto"/>
            <w:noWrap/>
            <w:vAlign w:val="bottom"/>
            <w:hideMark/>
          </w:tcPr>
          <w:p w14:paraId="6DC66899"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(0.0336)</w:t>
            </w:r>
          </w:p>
        </w:tc>
        <w:tc>
          <w:tcPr>
            <w:tcW w:w="1163" w:type="dxa"/>
            <w:tcBorders>
              <w:top w:val="nil"/>
              <w:left w:val="nil"/>
              <w:bottom w:val="nil"/>
              <w:right w:val="nil"/>
            </w:tcBorders>
            <w:shd w:val="clear" w:color="auto" w:fill="auto"/>
            <w:noWrap/>
            <w:vAlign w:val="bottom"/>
            <w:hideMark/>
          </w:tcPr>
          <w:p w14:paraId="6FA79E6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(0.0468)</w:t>
            </w:r>
          </w:p>
        </w:tc>
        <w:tc>
          <w:tcPr>
            <w:tcW w:w="1163" w:type="dxa"/>
            <w:tcBorders>
              <w:top w:val="nil"/>
              <w:left w:val="nil"/>
              <w:bottom w:val="nil"/>
              <w:right w:val="nil"/>
            </w:tcBorders>
            <w:shd w:val="clear" w:color="auto" w:fill="auto"/>
            <w:noWrap/>
            <w:vAlign w:val="bottom"/>
            <w:hideMark/>
          </w:tcPr>
          <w:p w14:paraId="0C74DA1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(0.0596)</w:t>
            </w:r>
          </w:p>
        </w:tc>
        <w:tc>
          <w:tcPr>
            <w:tcW w:w="1163" w:type="dxa"/>
            <w:tcBorders>
              <w:top w:val="nil"/>
              <w:left w:val="nil"/>
              <w:bottom w:val="nil"/>
              <w:right w:val="nil"/>
            </w:tcBorders>
            <w:shd w:val="clear" w:color="auto" w:fill="auto"/>
            <w:noWrap/>
            <w:vAlign w:val="bottom"/>
            <w:hideMark/>
          </w:tcPr>
          <w:p w14:paraId="79E07EB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(0.0253)</w:t>
            </w:r>
          </w:p>
        </w:tc>
        <w:tc>
          <w:tcPr>
            <w:tcW w:w="1163" w:type="dxa"/>
            <w:tcBorders>
              <w:top w:val="nil"/>
              <w:left w:val="nil"/>
              <w:bottom w:val="nil"/>
              <w:right w:val="nil"/>
            </w:tcBorders>
            <w:shd w:val="clear" w:color="auto" w:fill="auto"/>
            <w:noWrap/>
            <w:vAlign w:val="bottom"/>
            <w:hideMark/>
          </w:tcPr>
          <w:p w14:paraId="346B5B0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(0.0457)</w:t>
            </w:r>
          </w:p>
        </w:tc>
      </w:tr>
      <w:tr w:rsidR="0012305F" w:rsidRPr="008B7FC2" w14:paraId="294AA3D7" w14:textId="77777777" w:rsidTr="00354437">
        <w:trPr>
          <w:trHeight w:hRule="exact" w:val="249"/>
        </w:trPr>
        <w:tc>
          <w:tcPr>
            <w:tcW w:w="2935" w:type="dxa"/>
            <w:tcBorders>
              <w:top w:val="nil"/>
              <w:left w:val="nil"/>
              <w:bottom w:val="nil"/>
              <w:right w:val="nil"/>
            </w:tcBorders>
            <w:shd w:val="clear" w:color="auto" w:fill="auto"/>
            <w:noWrap/>
            <w:vAlign w:val="bottom"/>
            <w:hideMark/>
          </w:tcPr>
          <w:p w14:paraId="4A0E389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FO</w:t>
            </w:r>
          </w:p>
        </w:tc>
        <w:tc>
          <w:tcPr>
            <w:tcW w:w="1163" w:type="dxa"/>
            <w:tcBorders>
              <w:top w:val="nil"/>
              <w:left w:val="nil"/>
              <w:bottom w:val="nil"/>
              <w:right w:val="nil"/>
            </w:tcBorders>
            <w:shd w:val="clear" w:color="auto" w:fill="auto"/>
            <w:noWrap/>
            <w:vAlign w:val="bottom"/>
            <w:hideMark/>
          </w:tcPr>
          <w:p w14:paraId="1E9DD6B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-0.0204</w:t>
            </w:r>
          </w:p>
        </w:tc>
        <w:tc>
          <w:tcPr>
            <w:tcW w:w="1163" w:type="dxa"/>
            <w:tcBorders>
              <w:top w:val="nil"/>
              <w:left w:val="nil"/>
              <w:bottom w:val="nil"/>
              <w:right w:val="nil"/>
            </w:tcBorders>
            <w:shd w:val="clear" w:color="auto" w:fill="auto"/>
            <w:noWrap/>
            <w:vAlign w:val="bottom"/>
            <w:hideMark/>
          </w:tcPr>
          <w:p w14:paraId="2844015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0.0076</w:t>
            </w:r>
          </w:p>
        </w:tc>
        <w:tc>
          <w:tcPr>
            <w:tcW w:w="1163" w:type="dxa"/>
            <w:tcBorders>
              <w:top w:val="nil"/>
              <w:left w:val="nil"/>
              <w:bottom w:val="nil"/>
              <w:right w:val="nil"/>
            </w:tcBorders>
            <w:shd w:val="clear" w:color="auto" w:fill="auto"/>
            <w:noWrap/>
            <w:vAlign w:val="bottom"/>
            <w:hideMark/>
          </w:tcPr>
          <w:p w14:paraId="53F4BAB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-0.0087</w:t>
            </w:r>
          </w:p>
        </w:tc>
        <w:tc>
          <w:tcPr>
            <w:tcW w:w="1163" w:type="dxa"/>
            <w:tcBorders>
              <w:top w:val="nil"/>
              <w:left w:val="nil"/>
              <w:bottom w:val="nil"/>
              <w:right w:val="nil"/>
            </w:tcBorders>
            <w:shd w:val="clear" w:color="auto" w:fill="auto"/>
            <w:noWrap/>
            <w:vAlign w:val="bottom"/>
            <w:hideMark/>
          </w:tcPr>
          <w:p w14:paraId="6EAC540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-0.077</w:t>
            </w:r>
          </w:p>
        </w:tc>
        <w:tc>
          <w:tcPr>
            <w:tcW w:w="1163" w:type="dxa"/>
            <w:tcBorders>
              <w:top w:val="nil"/>
              <w:left w:val="nil"/>
              <w:bottom w:val="nil"/>
              <w:right w:val="nil"/>
            </w:tcBorders>
            <w:shd w:val="clear" w:color="auto" w:fill="auto"/>
            <w:noWrap/>
            <w:vAlign w:val="bottom"/>
            <w:hideMark/>
          </w:tcPr>
          <w:p w14:paraId="64205DF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0.007</w:t>
            </w:r>
          </w:p>
        </w:tc>
        <w:tc>
          <w:tcPr>
            <w:tcW w:w="1163" w:type="dxa"/>
            <w:tcBorders>
              <w:top w:val="nil"/>
              <w:left w:val="nil"/>
              <w:bottom w:val="nil"/>
              <w:right w:val="nil"/>
            </w:tcBorders>
            <w:shd w:val="clear" w:color="auto" w:fill="auto"/>
            <w:noWrap/>
            <w:vAlign w:val="bottom"/>
            <w:hideMark/>
          </w:tcPr>
          <w:p w14:paraId="48C0D8D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0.0046</w:t>
            </w:r>
          </w:p>
        </w:tc>
      </w:tr>
      <w:tr w:rsidR="0012305F" w:rsidRPr="008B7FC2" w14:paraId="23AA087D" w14:textId="77777777" w:rsidTr="00354437">
        <w:trPr>
          <w:trHeight w:hRule="exact" w:val="249"/>
        </w:trPr>
        <w:tc>
          <w:tcPr>
            <w:tcW w:w="2935" w:type="dxa"/>
            <w:tcBorders>
              <w:top w:val="nil"/>
              <w:left w:val="nil"/>
              <w:bottom w:val="nil"/>
              <w:right w:val="nil"/>
            </w:tcBorders>
            <w:shd w:val="clear" w:color="auto" w:fill="auto"/>
            <w:noWrap/>
            <w:vAlign w:val="bottom"/>
            <w:hideMark/>
          </w:tcPr>
          <w:p w14:paraId="2F7C47B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4DD93FA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(-0.041)</w:t>
            </w:r>
          </w:p>
        </w:tc>
        <w:tc>
          <w:tcPr>
            <w:tcW w:w="1163" w:type="dxa"/>
            <w:tcBorders>
              <w:top w:val="nil"/>
              <w:left w:val="nil"/>
              <w:bottom w:val="nil"/>
              <w:right w:val="nil"/>
            </w:tcBorders>
            <w:shd w:val="clear" w:color="auto" w:fill="auto"/>
            <w:noWrap/>
            <w:vAlign w:val="bottom"/>
            <w:hideMark/>
          </w:tcPr>
          <w:p w14:paraId="226BDEA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(0.0158)</w:t>
            </w:r>
          </w:p>
        </w:tc>
        <w:tc>
          <w:tcPr>
            <w:tcW w:w="1163" w:type="dxa"/>
            <w:tcBorders>
              <w:top w:val="nil"/>
              <w:left w:val="nil"/>
              <w:bottom w:val="nil"/>
              <w:right w:val="nil"/>
            </w:tcBorders>
            <w:shd w:val="clear" w:color="auto" w:fill="auto"/>
            <w:noWrap/>
            <w:vAlign w:val="bottom"/>
            <w:hideMark/>
          </w:tcPr>
          <w:p w14:paraId="1F48B51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(0.0316)</w:t>
            </w:r>
          </w:p>
        </w:tc>
        <w:tc>
          <w:tcPr>
            <w:tcW w:w="1163" w:type="dxa"/>
            <w:tcBorders>
              <w:top w:val="nil"/>
              <w:left w:val="nil"/>
              <w:bottom w:val="nil"/>
              <w:right w:val="nil"/>
            </w:tcBorders>
            <w:shd w:val="clear" w:color="auto" w:fill="auto"/>
            <w:noWrap/>
            <w:vAlign w:val="bottom"/>
            <w:hideMark/>
          </w:tcPr>
          <w:p w14:paraId="4357C45D"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(-0.066)</w:t>
            </w:r>
          </w:p>
        </w:tc>
        <w:tc>
          <w:tcPr>
            <w:tcW w:w="1163" w:type="dxa"/>
            <w:tcBorders>
              <w:top w:val="nil"/>
              <w:left w:val="nil"/>
              <w:bottom w:val="nil"/>
              <w:right w:val="nil"/>
            </w:tcBorders>
            <w:shd w:val="clear" w:color="auto" w:fill="auto"/>
            <w:noWrap/>
            <w:vAlign w:val="bottom"/>
            <w:hideMark/>
          </w:tcPr>
          <w:p w14:paraId="1915068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(0.0165)</w:t>
            </w:r>
          </w:p>
        </w:tc>
        <w:tc>
          <w:tcPr>
            <w:tcW w:w="1163" w:type="dxa"/>
            <w:tcBorders>
              <w:top w:val="nil"/>
              <w:left w:val="nil"/>
              <w:bottom w:val="nil"/>
              <w:right w:val="nil"/>
            </w:tcBorders>
            <w:shd w:val="clear" w:color="auto" w:fill="auto"/>
            <w:noWrap/>
            <w:vAlign w:val="bottom"/>
            <w:hideMark/>
          </w:tcPr>
          <w:p w14:paraId="56A8C56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(0.0188)</w:t>
            </w:r>
          </w:p>
        </w:tc>
      </w:tr>
      <w:tr w:rsidR="0012305F" w:rsidRPr="008B7FC2" w14:paraId="42DC9131" w14:textId="77777777" w:rsidTr="00354437">
        <w:trPr>
          <w:trHeight w:hRule="exact" w:val="249"/>
        </w:trPr>
        <w:tc>
          <w:tcPr>
            <w:tcW w:w="2935" w:type="dxa"/>
            <w:tcBorders>
              <w:top w:val="nil"/>
              <w:left w:val="nil"/>
              <w:bottom w:val="nil"/>
              <w:right w:val="nil"/>
            </w:tcBorders>
            <w:shd w:val="clear" w:color="auto" w:fill="auto"/>
            <w:noWrap/>
            <w:vAlign w:val="bottom"/>
            <w:hideMark/>
          </w:tcPr>
          <w:p w14:paraId="4D1477D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Growth</w:t>
            </w:r>
          </w:p>
        </w:tc>
        <w:tc>
          <w:tcPr>
            <w:tcW w:w="1163" w:type="dxa"/>
            <w:tcBorders>
              <w:top w:val="nil"/>
              <w:left w:val="nil"/>
              <w:bottom w:val="nil"/>
              <w:right w:val="nil"/>
            </w:tcBorders>
            <w:shd w:val="clear" w:color="auto" w:fill="auto"/>
            <w:noWrap/>
            <w:vAlign w:val="bottom"/>
            <w:hideMark/>
          </w:tcPr>
          <w:p w14:paraId="2546DB3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-0.0458</w:t>
            </w:r>
          </w:p>
        </w:tc>
        <w:tc>
          <w:tcPr>
            <w:tcW w:w="1163" w:type="dxa"/>
            <w:tcBorders>
              <w:top w:val="nil"/>
              <w:left w:val="nil"/>
              <w:bottom w:val="nil"/>
              <w:right w:val="nil"/>
            </w:tcBorders>
            <w:shd w:val="clear" w:color="auto" w:fill="auto"/>
            <w:noWrap/>
            <w:vAlign w:val="bottom"/>
            <w:hideMark/>
          </w:tcPr>
          <w:p w14:paraId="2A555BF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-0.0036</w:t>
            </w:r>
          </w:p>
        </w:tc>
        <w:tc>
          <w:tcPr>
            <w:tcW w:w="1163" w:type="dxa"/>
            <w:tcBorders>
              <w:top w:val="nil"/>
              <w:left w:val="nil"/>
              <w:bottom w:val="nil"/>
              <w:right w:val="nil"/>
            </w:tcBorders>
            <w:shd w:val="clear" w:color="auto" w:fill="auto"/>
            <w:noWrap/>
            <w:vAlign w:val="bottom"/>
            <w:hideMark/>
          </w:tcPr>
          <w:p w14:paraId="27B71F4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-0.092</w:t>
            </w:r>
          </w:p>
        </w:tc>
        <w:tc>
          <w:tcPr>
            <w:tcW w:w="1163" w:type="dxa"/>
            <w:tcBorders>
              <w:top w:val="nil"/>
              <w:left w:val="nil"/>
              <w:bottom w:val="nil"/>
              <w:right w:val="nil"/>
            </w:tcBorders>
            <w:shd w:val="clear" w:color="auto" w:fill="auto"/>
            <w:noWrap/>
            <w:vAlign w:val="bottom"/>
            <w:hideMark/>
          </w:tcPr>
          <w:p w14:paraId="3736BD6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0.0629</w:t>
            </w:r>
          </w:p>
        </w:tc>
        <w:tc>
          <w:tcPr>
            <w:tcW w:w="1163" w:type="dxa"/>
            <w:tcBorders>
              <w:top w:val="nil"/>
              <w:left w:val="nil"/>
              <w:bottom w:val="nil"/>
              <w:right w:val="nil"/>
            </w:tcBorders>
            <w:shd w:val="clear" w:color="auto" w:fill="auto"/>
            <w:noWrap/>
            <w:vAlign w:val="bottom"/>
            <w:hideMark/>
          </w:tcPr>
          <w:p w14:paraId="4A0C17F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-0.0302</w:t>
            </w:r>
          </w:p>
        </w:tc>
        <w:tc>
          <w:tcPr>
            <w:tcW w:w="1163" w:type="dxa"/>
            <w:tcBorders>
              <w:top w:val="nil"/>
              <w:left w:val="nil"/>
              <w:bottom w:val="nil"/>
              <w:right w:val="nil"/>
            </w:tcBorders>
            <w:shd w:val="clear" w:color="auto" w:fill="auto"/>
            <w:noWrap/>
            <w:vAlign w:val="bottom"/>
            <w:hideMark/>
          </w:tcPr>
          <w:p w14:paraId="4D01386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-0.0433</w:t>
            </w:r>
          </w:p>
        </w:tc>
      </w:tr>
      <w:tr w:rsidR="0012305F" w:rsidRPr="008B7FC2" w14:paraId="027065DA" w14:textId="77777777" w:rsidTr="00354437">
        <w:trPr>
          <w:trHeight w:hRule="exact" w:val="249"/>
        </w:trPr>
        <w:tc>
          <w:tcPr>
            <w:tcW w:w="2935" w:type="dxa"/>
            <w:tcBorders>
              <w:top w:val="nil"/>
              <w:left w:val="nil"/>
              <w:bottom w:val="nil"/>
              <w:right w:val="nil"/>
            </w:tcBorders>
            <w:shd w:val="clear" w:color="auto" w:fill="auto"/>
            <w:noWrap/>
            <w:vAlign w:val="bottom"/>
            <w:hideMark/>
          </w:tcPr>
          <w:p w14:paraId="22BAE83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776BFAB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(0.1381)</w:t>
            </w:r>
          </w:p>
        </w:tc>
        <w:tc>
          <w:tcPr>
            <w:tcW w:w="1163" w:type="dxa"/>
            <w:tcBorders>
              <w:top w:val="nil"/>
              <w:left w:val="nil"/>
              <w:bottom w:val="nil"/>
              <w:right w:val="nil"/>
            </w:tcBorders>
            <w:shd w:val="clear" w:color="auto" w:fill="auto"/>
            <w:noWrap/>
            <w:vAlign w:val="bottom"/>
            <w:hideMark/>
          </w:tcPr>
          <w:p w14:paraId="047D61A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(0.0508)</w:t>
            </w:r>
          </w:p>
        </w:tc>
        <w:tc>
          <w:tcPr>
            <w:tcW w:w="1163" w:type="dxa"/>
            <w:tcBorders>
              <w:top w:val="nil"/>
              <w:left w:val="nil"/>
              <w:bottom w:val="nil"/>
              <w:right w:val="nil"/>
            </w:tcBorders>
            <w:shd w:val="clear" w:color="auto" w:fill="auto"/>
            <w:noWrap/>
            <w:vAlign w:val="bottom"/>
            <w:hideMark/>
          </w:tcPr>
          <w:p w14:paraId="5917CED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(0.1122)</w:t>
            </w:r>
          </w:p>
        </w:tc>
        <w:tc>
          <w:tcPr>
            <w:tcW w:w="1163" w:type="dxa"/>
            <w:tcBorders>
              <w:top w:val="nil"/>
              <w:left w:val="nil"/>
              <w:bottom w:val="nil"/>
              <w:right w:val="nil"/>
            </w:tcBorders>
            <w:shd w:val="clear" w:color="auto" w:fill="auto"/>
            <w:noWrap/>
            <w:vAlign w:val="bottom"/>
            <w:hideMark/>
          </w:tcPr>
          <w:p w14:paraId="01669DB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(0.2263)</w:t>
            </w:r>
          </w:p>
        </w:tc>
        <w:tc>
          <w:tcPr>
            <w:tcW w:w="1163" w:type="dxa"/>
            <w:tcBorders>
              <w:top w:val="nil"/>
              <w:left w:val="nil"/>
              <w:bottom w:val="nil"/>
              <w:right w:val="nil"/>
            </w:tcBorders>
            <w:shd w:val="clear" w:color="auto" w:fill="auto"/>
            <w:noWrap/>
            <w:vAlign w:val="bottom"/>
            <w:hideMark/>
          </w:tcPr>
          <w:p w14:paraId="58BC60B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(0.0464)</w:t>
            </w:r>
          </w:p>
        </w:tc>
        <w:tc>
          <w:tcPr>
            <w:tcW w:w="1163" w:type="dxa"/>
            <w:tcBorders>
              <w:top w:val="nil"/>
              <w:left w:val="nil"/>
              <w:bottom w:val="nil"/>
              <w:right w:val="nil"/>
            </w:tcBorders>
            <w:shd w:val="clear" w:color="auto" w:fill="auto"/>
            <w:noWrap/>
            <w:vAlign w:val="bottom"/>
            <w:hideMark/>
          </w:tcPr>
          <w:p w14:paraId="4DD86A3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(0.1005)</w:t>
            </w:r>
          </w:p>
        </w:tc>
      </w:tr>
      <w:tr w:rsidR="0012305F" w:rsidRPr="008B7FC2" w14:paraId="0C09E800" w14:textId="77777777" w:rsidTr="00354437">
        <w:trPr>
          <w:trHeight w:hRule="exact" w:val="249"/>
        </w:trPr>
        <w:tc>
          <w:tcPr>
            <w:tcW w:w="2935" w:type="dxa"/>
            <w:tcBorders>
              <w:top w:val="nil"/>
              <w:left w:val="nil"/>
              <w:bottom w:val="nil"/>
              <w:right w:val="nil"/>
            </w:tcBorders>
            <w:shd w:val="clear" w:color="auto" w:fill="auto"/>
            <w:noWrap/>
            <w:vAlign w:val="bottom"/>
            <w:hideMark/>
          </w:tcPr>
          <w:p w14:paraId="2D001EC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Inf</w:t>
            </w:r>
          </w:p>
        </w:tc>
        <w:tc>
          <w:tcPr>
            <w:tcW w:w="1163" w:type="dxa"/>
            <w:tcBorders>
              <w:top w:val="nil"/>
              <w:left w:val="nil"/>
              <w:bottom w:val="nil"/>
              <w:right w:val="nil"/>
            </w:tcBorders>
            <w:shd w:val="clear" w:color="auto" w:fill="auto"/>
            <w:noWrap/>
            <w:vAlign w:val="bottom"/>
            <w:hideMark/>
          </w:tcPr>
          <w:p w14:paraId="78AAB10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-0.0002</w:t>
            </w:r>
          </w:p>
        </w:tc>
        <w:tc>
          <w:tcPr>
            <w:tcW w:w="1163" w:type="dxa"/>
            <w:tcBorders>
              <w:top w:val="nil"/>
              <w:left w:val="nil"/>
              <w:bottom w:val="nil"/>
              <w:right w:val="nil"/>
            </w:tcBorders>
            <w:shd w:val="clear" w:color="auto" w:fill="auto"/>
            <w:noWrap/>
            <w:vAlign w:val="bottom"/>
            <w:hideMark/>
          </w:tcPr>
          <w:p w14:paraId="47567BD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-0.0002</w:t>
            </w:r>
          </w:p>
        </w:tc>
        <w:tc>
          <w:tcPr>
            <w:tcW w:w="1163" w:type="dxa"/>
            <w:tcBorders>
              <w:top w:val="nil"/>
              <w:left w:val="nil"/>
              <w:bottom w:val="nil"/>
              <w:right w:val="nil"/>
            </w:tcBorders>
            <w:shd w:val="clear" w:color="auto" w:fill="auto"/>
            <w:noWrap/>
            <w:vAlign w:val="bottom"/>
            <w:hideMark/>
          </w:tcPr>
          <w:p w14:paraId="5BD9AB5D"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-0.0003</w:t>
            </w:r>
          </w:p>
        </w:tc>
        <w:tc>
          <w:tcPr>
            <w:tcW w:w="1163" w:type="dxa"/>
            <w:tcBorders>
              <w:top w:val="nil"/>
              <w:left w:val="nil"/>
              <w:bottom w:val="nil"/>
              <w:right w:val="nil"/>
            </w:tcBorders>
            <w:shd w:val="clear" w:color="auto" w:fill="auto"/>
            <w:noWrap/>
            <w:vAlign w:val="bottom"/>
            <w:hideMark/>
          </w:tcPr>
          <w:p w14:paraId="488FFAD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-0.0006</w:t>
            </w:r>
          </w:p>
        </w:tc>
        <w:tc>
          <w:tcPr>
            <w:tcW w:w="1163" w:type="dxa"/>
            <w:tcBorders>
              <w:top w:val="nil"/>
              <w:left w:val="nil"/>
              <w:bottom w:val="nil"/>
              <w:right w:val="nil"/>
            </w:tcBorders>
            <w:shd w:val="clear" w:color="auto" w:fill="auto"/>
            <w:noWrap/>
            <w:vAlign w:val="bottom"/>
            <w:hideMark/>
          </w:tcPr>
          <w:p w14:paraId="5696945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-0.0003</w:t>
            </w:r>
          </w:p>
        </w:tc>
        <w:tc>
          <w:tcPr>
            <w:tcW w:w="1163" w:type="dxa"/>
            <w:tcBorders>
              <w:top w:val="nil"/>
              <w:left w:val="nil"/>
              <w:bottom w:val="nil"/>
              <w:right w:val="nil"/>
            </w:tcBorders>
            <w:shd w:val="clear" w:color="auto" w:fill="auto"/>
            <w:noWrap/>
            <w:vAlign w:val="bottom"/>
            <w:hideMark/>
          </w:tcPr>
          <w:p w14:paraId="69C6D5E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-0.0002</w:t>
            </w:r>
          </w:p>
        </w:tc>
      </w:tr>
      <w:tr w:rsidR="0012305F" w:rsidRPr="008B7FC2" w14:paraId="19F8857B" w14:textId="77777777" w:rsidTr="00354437">
        <w:trPr>
          <w:trHeight w:hRule="exact" w:val="249"/>
        </w:trPr>
        <w:tc>
          <w:tcPr>
            <w:tcW w:w="2935" w:type="dxa"/>
            <w:tcBorders>
              <w:top w:val="nil"/>
              <w:left w:val="nil"/>
              <w:bottom w:val="nil"/>
              <w:right w:val="nil"/>
            </w:tcBorders>
            <w:shd w:val="clear" w:color="auto" w:fill="auto"/>
            <w:noWrap/>
            <w:vAlign w:val="bottom"/>
            <w:hideMark/>
          </w:tcPr>
          <w:p w14:paraId="731607F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2F3D536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(0.0002)</w:t>
            </w:r>
          </w:p>
        </w:tc>
        <w:tc>
          <w:tcPr>
            <w:tcW w:w="1163" w:type="dxa"/>
            <w:tcBorders>
              <w:top w:val="nil"/>
              <w:left w:val="nil"/>
              <w:bottom w:val="nil"/>
              <w:right w:val="nil"/>
            </w:tcBorders>
            <w:shd w:val="clear" w:color="auto" w:fill="auto"/>
            <w:noWrap/>
            <w:vAlign w:val="bottom"/>
            <w:hideMark/>
          </w:tcPr>
          <w:p w14:paraId="5EB5257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(0.0003)</w:t>
            </w:r>
          </w:p>
        </w:tc>
        <w:tc>
          <w:tcPr>
            <w:tcW w:w="1163" w:type="dxa"/>
            <w:tcBorders>
              <w:top w:val="nil"/>
              <w:left w:val="nil"/>
              <w:bottom w:val="nil"/>
              <w:right w:val="nil"/>
            </w:tcBorders>
            <w:shd w:val="clear" w:color="auto" w:fill="auto"/>
            <w:noWrap/>
            <w:vAlign w:val="bottom"/>
            <w:hideMark/>
          </w:tcPr>
          <w:p w14:paraId="666BA6B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(0.0003)</w:t>
            </w:r>
          </w:p>
        </w:tc>
        <w:tc>
          <w:tcPr>
            <w:tcW w:w="1163" w:type="dxa"/>
            <w:tcBorders>
              <w:top w:val="nil"/>
              <w:left w:val="nil"/>
              <w:bottom w:val="nil"/>
              <w:right w:val="nil"/>
            </w:tcBorders>
            <w:shd w:val="clear" w:color="auto" w:fill="auto"/>
            <w:noWrap/>
            <w:vAlign w:val="bottom"/>
            <w:hideMark/>
          </w:tcPr>
          <w:p w14:paraId="4AE79BD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(0.0004)</w:t>
            </w:r>
          </w:p>
        </w:tc>
        <w:tc>
          <w:tcPr>
            <w:tcW w:w="1163" w:type="dxa"/>
            <w:tcBorders>
              <w:top w:val="nil"/>
              <w:left w:val="nil"/>
              <w:bottom w:val="nil"/>
              <w:right w:val="nil"/>
            </w:tcBorders>
            <w:shd w:val="clear" w:color="auto" w:fill="auto"/>
            <w:noWrap/>
            <w:vAlign w:val="bottom"/>
            <w:hideMark/>
          </w:tcPr>
          <w:p w14:paraId="3251528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(0.0003)</w:t>
            </w:r>
          </w:p>
        </w:tc>
        <w:tc>
          <w:tcPr>
            <w:tcW w:w="1163" w:type="dxa"/>
            <w:tcBorders>
              <w:top w:val="nil"/>
              <w:left w:val="nil"/>
              <w:bottom w:val="nil"/>
              <w:right w:val="nil"/>
            </w:tcBorders>
            <w:shd w:val="clear" w:color="auto" w:fill="auto"/>
            <w:noWrap/>
            <w:vAlign w:val="bottom"/>
            <w:hideMark/>
          </w:tcPr>
          <w:p w14:paraId="74D7E85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(0.0003)</w:t>
            </w:r>
          </w:p>
        </w:tc>
      </w:tr>
      <w:tr w:rsidR="0012305F" w:rsidRPr="008B7FC2" w14:paraId="2E0D82BE" w14:textId="77777777" w:rsidTr="00354437">
        <w:trPr>
          <w:trHeight w:hRule="exact" w:val="249"/>
        </w:trPr>
        <w:tc>
          <w:tcPr>
            <w:tcW w:w="2935" w:type="dxa"/>
            <w:tcBorders>
              <w:top w:val="nil"/>
              <w:left w:val="nil"/>
              <w:bottom w:val="nil"/>
              <w:right w:val="nil"/>
            </w:tcBorders>
            <w:shd w:val="clear" w:color="auto" w:fill="auto"/>
            <w:noWrap/>
            <w:vAlign w:val="bottom"/>
            <w:hideMark/>
          </w:tcPr>
          <w:p w14:paraId="6E25848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8B7FC2">
              <w:rPr>
                <w:rFonts w:ascii="Times New Roman" w:eastAsia="Times New Roman" w:hAnsi="Times New Roman" w:cs="Times New Roman"/>
                <w:color w:val="000000"/>
                <w:sz w:val="20"/>
                <w:szCs w:val="20"/>
                <w:lang w:eastAsia="en-NZ"/>
              </w:rPr>
              <w:t>GovExp</w:t>
            </w:r>
            <w:proofErr w:type="spellEnd"/>
          </w:p>
        </w:tc>
        <w:tc>
          <w:tcPr>
            <w:tcW w:w="1163" w:type="dxa"/>
            <w:tcBorders>
              <w:top w:val="nil"/>
              <w:left w:val="nil"/>
              <w:bottom w:val="nil"/>
              <w:right w:val="nil"/>
            </w:tcBorders>
            <w:shd w:val="clear" w:color="auto" w:fill="auto"/>
            <w:noWrap/>
            <w:vAlign w:val="bottom"/>
            <w:hideMark/>
          </w:tcPr>
          <w:p w14:paraId="305A9F9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-0.0054</w:t>
            </w:r>
          </w:p>
        </w:tc>
        <w:tc>
          <w:tcPr>
            <w:tcW w:w="1163" w:type="dxa"/>
            <w:tcBorders>
              <w:top w:val="nil"/>
              <w:left w:val="nil"/>
              <w:bottom w:val="nil"/>
              <w:right w:val="nil"/>
            </w:tcBorders>
            <w:shd w:val="clear" w:color="auto" w:fill="auto"/>
            <w:noWrap/>
            <w:vAlign w:val="bottom"/>
            <w:hideMark/>
          </w:tcPr>
          <w:p w14:paraId="1FA833D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0.0064</w:t>
            </w:r>
          </w:p>
        </w:tc>
        <w:tc>
          <w:tcPr>
            <w:tcW w:w="1163" w:type="dxa"/>
            <w:tcBorders>
              <w:top w:val="nil"/>
              <w:left w:val="nil"/>
              <w:bottom w:val="nil"/>
              <w:right w:val="nil"/>
            </w:tcBorders>
            <w:shd w:val="clear" w:color="auto" w:fill="auto"/>
            <w:noWrap/>
            <w:vAlign w:val="bottom"/>
            <w:hideMark/>
          </w:tcPr>
          <w:p w14:paraId="12D9F23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-0.0012</w:t>
            </w:r>
          </w:p>
        </w:tc>
        <w:tc>
          <w:tcPr>
            <w:tcW w:w="1163" w:type="dxa"/>
            <w:tcBorders>
              <w:top w:val="nil"/>
              <w:left w:val="nil"/>
              <w:bottom w:val="nil"/>
              <w:right w:val="nil"/>
            </w:tcBorders>
            <w:shd w:val="clear" w:color="auto" w:fill="auto"/>
            <w:noWrap/>
            <w:vAlign w:val="bottom"/>
            <w:hideMark/>
          </w:tcPr>
          <w:p w14:paraId="4E2CD38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-0.0695</w:t>
            </w:r>
          </w:p>
        </w:tc>
        <w:tc>
          <w:tcPr>
            <w:tcW w:w="1163" w:type="dxa"/>
            <w:tcBorders>
              <w:top w:val="nil"/>
              <w:left w:val="nil"/>
              <w:bottom w:val="nil"/>
              <w:right w:val="nil"/>
            </w:tcBorders>
            <w:shd w:val="clear" w:color="auto" w:fill="auto"/>
            <w:noWrap/>
            <w:vAlign w:val="bottom"/>
            <w:hideMark/>
          </w:tcPr>
          <w:p w14:paraId="28BCF0A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0.0045</w:t>
            </w:r>
          </w:p>
        </w:tc>
        <w:tc>
          <w:tcPr>
            <w:tcW w:w="1163" w:type="dxa"/>
            <w:tcBorders>
              <w:top w:val="nil"/>
              <w:left w:val="nil"/>
              <w:bottom w:val="nil"/>
              <w:right w:val="nil"/>
            </w:tcBorders>
            <w:shd w:val="clear" w:color="auto" w:fill="auto"/>
            <w:noWrap/>
            <w:vAlign w:val="bottom"/>
            <w:hideMark/>
          </w:tcPr>
          <w:p w14:paraId="736969D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-0.0041</w:t>
            </w:r>
          </w:p>
        </w:tc>
      </w:tr>
      <w:tr w:rsidR="0012305F" w:rsidRPr="008B7FC2" w14:paraId="00DE04B1" w14:textId="77777777" w:rsidTr="00354437">
        <w:trPr>
          <w:trHeight w:hRule="exact" w:val="249"/>
        </w:trPr>
        <w:tc>
          <w:tcPr>
            <w:tcW w:w="2935" w:type="dxa"/>
            <w:tcBorders>
              <w:top w:val="nil"/>
              <w:left w:val="nil"/>
              <w:bottom w:val="nil"/>
              <w:right w:val="nil"/>
            </w:tcBorders>
            <w:shd w:val="clear" w:color="auto" w:fill="auto"/>
            <w:noWrap/>
            <w:vAlign w:val="bottom"/>
            <w:hideMark/>
          </w:tcPr>
          <w:p w14:paraId="575D8AC3"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3AA14F94"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(0.0262)</w:t>
            </w:r>
          </w:p>
        </w:tc>
        <w:tc>
          <w:tcPr>
            <w:tcW w:w="1163" w:type="dxa"/>
            <w:tcBorders>
              <w:top w:val="nil"/>
              <w:left w:val="nil"/>
              <w:bottom w:val="nil"/>
              <w:right w:val="nil"/>
            </w:tcBorders>
            <w:shd w:val="clear" w:color="auto" w:fill="auto"/>
            <w:noWrap/>
            <w:vAlign w:val="bottom"/>
            <w:hideMark/>
          </w:tcPr>
          <w:p w14:paraId="5976BA74"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(0.0213)</w:t>
            </w:r>
          </w:p>
        </w:tc>
        <w:tc>
          <w:tcPr>
            <w:tcW w:w="1163" w:type="dxa"/>
            <w:tcBorders>
              <w:top w:val="nil"/>
              <w:left w:val="nil"/>
              <w:bottom w:val="nil"/>
              <w:right w:val="nil"/>
            </w:tcBorders>
            <w:shd w:val="clear" w:color="auto" w:fill="auto"/>
            <w:noWrap/>
            <w:vAlign w:val="bottom"/>
            <w:hideMark/>
          </w:tcPr>
          <w:p w14:paraId="3ADBDE3D"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(0.0215)</w:t>
            </w:r>
          </w:p>
        </w:tc>
        <w:tc>
          <w:tcPr>
            <w:tcW w:w="1163" w:type="dxa"/>
            <w:tcBorders>
              <w:top w:val="nil"/>
              <w:left w:val="nil"/>
              <w:bottom w:val="nil"/>
              <w:right w:val="nil"/>
            </w:tcBorders>
            <w:shd w:val="clear" w:color="auto" w:fill="auto"/>
            <w:noWrap/>
            <w:vAlign w:val="bottom"/>
            <w:hideMark/>
          </w:tcPr>
          <w:p w14:paraId="1FE9ABC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(0.0554)</w:t>
            </w:r>
          </w:p>
        </w:tc>
        <w:tc>
          <w:tcPr>
            <w:tcW w:w="1163" w:type="dxa"/>
            <w:tcBorders>
              <w:top w:val="nil"/>
              <w:left w:val="nil"/>
              <w:bottom w:val="nil"/>
              <w:right w:val="nil"/>
            </w:tcBorders>
            <w:shd w:val="clear" w:color="auto" w:fill="auto"/>
            <w:noWrap/>
            <w:vAlign w:val="bottom"/>
            <w:hideMark/>
          </w:tcPr>
          <w:p w14:paraId="6270583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(0.0174)</w:t>
            </w:r>
          </w:p>
        </w:tc>
        <w:tc>
          <w:tcPr>
            <w:tcW w:w="1163" w:type="dxa"/>
            <w:tcBorders>
              <w:top w:val="nil"/>
              <w:left w:val="nil"/>
              <w:bottom w:val="nil"/>
              <w:right w:val="nil"/>
            </w:tcBorders>
            <w:shd w:val="clear" w:color="auto" w:fill="auto"/>
            <w:noWrap/>
            <w:vAlign w:val="bottom"/>
            <w:hideMark/>
          </w:tcPr>
          <w:p w14:paraId="0AF5558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(0.0141)</w:t>
            </w:r>
          </w:p>
        </w:tc>
      </w:tr>
      <w:tr w:rsidR="0012305F" w:rsidRPr="008B7FC2" w14:paraId="604F6CE7" w14:textId="77777777" w:rsidTr="00354437">
        <w:trPr>
          <w:trHeight w:hRule="exact" w:val="249"/>
        </w:trPr>
        <w:tc>
          <w:tcPr>
            <w:tcW w:w="2935" w:type="dxa"/>
            <w:tcBorders>
              <w:top w:val="nil"/>
              <w:left w:val="nil"/>
              <w:bottom w:val="nil"/>
              <w:right w:val="nil"/>
            </w:tcBorders>
            <w:shd w:val="clear" w:color="auto" w:fill="auto"/>
            <w:noWrap/>
            <w:vAlign w:val="bottom"/>
            <w:hideMark/>
          </w:tcPr>
          <w:p w14:paraId="6066B11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Pop</w:t>
            </w:r>
          </w:p>
        </w:tc>
        <w:tc>
          <w:tcPr>
            <w:tcW w:w="1163" w:type="dxa"/>
            <w:tcBorders>
              <w:top w:val="nil"/>
              <w:left w:val="nil"/>
              <w:bottom w:val="nil"/>
              <w:right w:val="nil"/>
            </w:tcBorders>
            <w:shd w:val="clear" w:color="auto" w:fill="auto"/>
            <w:noWrap/>
            <w:vAlign w:val="bottom"/>
            <w:hideMark/>
          </w:tcPr>
          <w:p w14:paraId="5EA3F74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0.0969</w:t>
            </w:r>
          </w:p>
        </w:tc>
        <w:tc>
          <w:tcPr>
            <w:tcW w:w="1163" w:type="dxa"/>
            <w:tcBorders>
              <w:top w:val="nil"/>
              <w:left w:val="nil"/>
              <w:bottom w:val="nil"/>
              <w:right w:val="nil"/>
            </w:tcBorders>
            <w:shd w:val="clear" w:color="auto" w:fill="auto"/>
            <w:noWrap/>
            <w:vAlign w:val="bottom"/>
            <w:hideMark/>
          </w:tcPr>
          <w:p w14:paraId="535227C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0.0546</w:t>
            </w:r>
          </w:p>
        </w:tc>
        <w:tc>
          <w:tcPr>
            <w:tcW w:w="1163" w:type="dxa"/>
            <w:tcBorders>
              <w:top w:val="nil"/>
              <w:left w:val="nil"/>
              <w:bottom w:val="nil"/>
              <w:right w:val="nil"/>
            </w:tcBorders>
            <w:shd w:val="clear" w:color="auto" w:fill="auto"/>
            <w:noWrap/>
            <w:vAlign w:val="bottom"/>
            <w:hideMark/>
          </w:tcPr>
          <w:p w14:paraId="11CCADA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0.0813</w:t>
            </w:r>
          </w:p>
        </w:tc>
        <w:tc>
          <w:tcPr>
            <w:tcW w:w="1163" w:type="dxa"/>
            <w:tcBorders>
              <w:top w:val="nil"/>
              <w:left w:val="nil"/>
              <w:bottom w:val="nil"/>
              <w:right w:val="nil"/>
            </w:tcBorders>
            <w:shd w:val="clear" w:color="auto" w:fill="auto"/>
            <w:noWrap/>
            <w:vAlign w:val="bottom"/>
            <w:hideMark/>
          </w:tcPr>
          <w:p w14:paraId="742D8CA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0.0313</w:t>
            </w:r>
          </w:p>
        </w:tc>
        <w:tc>
          <w:tcPr>
            <w:tcW w:w="1163" w:type="dxa"/>
            <w:tcBorders>
              <w:top w:val="nil"/>
              <w:left w:val="nil"/>
              <w:bottom w:val="nil"/>
              <w:right w:val="nil"/>
            </w:tcBorders>
            <w:shd w:val="clear" w:color="auto" w:fill="auto"/>
            <w:noWrap/>
            <w:vAlign w:val="bottom"/>
            <w:hideMark/>
          </w:tcPr>
          <w:p w14:paraId="127A692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0.0169</w:t>
            </w:r>
          </w:p>
        </w:tc>
        <w:tc>
          <w:tcPr>
            <w:tcW w:w="1163" w:type="dxa"/>
            <w:tcBorders>
              <w:top w:val="nil"/>
              <w:left w:val="nil"/>
              <w:bottom w:val="nil"/>
              <w:right w:val="nil"/>
            </w:tcBorders>
            <w:shd w:val="clear" w:color="auto" w:fill="auto"/>
            <w:noWrap/>
            <w:vAlign w:val="bottom"/>
            <w:hideMark/>
          </w:tcPr>
          <w:p w14:paraId="7D206F0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0.051</w:t>
            </w:r>
          </w:p>
        </w:tc>
      </w:tr>
      <w:tr w:rsidR="0012305F" w:rsidRPr="008B7FC2" w14:paraId="5013A085" w14:textId="77777777" w:rsidTr="00354437">
        <w:trPr>
          <w:trHeight w:hRule="exact" w:val="249"/>
        </w:trPr>
        <w:tc>
          <w:tcPr>
            <w:tcW w:w="2935" w:type="dxa"/>
            <w:tcBorders>
              <w:top w:val="nil"/>
              <w:left w:val="nil"/>
              <w:bottom w:val="nil"/>
              <w:right w:val="nil"/>
            </w:tcBorders>
            <w:shd w:val="clear" w:color="auto" w:fill="auto"/>
            <w:noWrap/>
            <w:vAlign w:val="bottom"/>
            <w:hideMark/>
          </w:tcPr>
          <w:p w14:paraId="6211B75A"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5CB3E4F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(0.0646)</w:t>
            </w:r>
          </w:p>
        </w:tc>
        <w:tc>
          <w:tcPr>
            <w:tcW w:w="1163" w:type="dxa"/>
            <w:tcBorders>
              <w:top w:val="nil"/>
              <w:left w:val="nil"/>
              <w:bottom w:val="nil"/>
              <w:right w:val="nil"/>
            </w:tcBorders>
            <w:shd w:val="clear" w:color="auto" w:fill="auto"/>
            <w:noWrap/>
            <w:vAlign w:val="bottom"/>
            <w:hideMark/>
          </w:tcPr>
          <w:p w14:paraId="7C62C4F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(0.0699)</w:t>
            </w:r>
          </w:p>
        </w:tc>
        <w:tc>
          <w:tcPr>
            <w:tcW w:w="1163" w:type="dxa"/>
            <w:tcBorders>
              <w:top w:val="nil"/>
              <w:left w:val="nil"/>
              <w:bottom w:val="nil"/>
              <w:right w:val="nil"/>
            </w:tcBorders>
            <w:shd w:val="clear" w:color="auto" w:fill="auto"/>
            <w:noWrap/>
            <w:vAlign w:val="bottom"/>
            <w:hideMark/>
          </w:tcPr>
          <w:p w14:paraId="742A581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(0.0727)</w:t>
            </w:r>
          </w:p>
        </w:tc>
        <w:tc>
          <w:tcPr>
            <w:tcW w:w="1163" w:type="dxa"/>
            <w:tcBorders>
              <w:top w:val="nil"/>
              <w:left w:val="nil"/>
              <w:bottom w:val="nil"/>
              <w:right w:val="nil"/>
            </w:tcBorders>
            <w:shd w:val="clear" w:color="auto" w:fill="auto"/>
            <w:noWrap/>
            <w:vAlign w:val="bottom"/>
            <w:hideMark/>
          </w:tcPr>
          <w:p w14:paraId="17837FCC"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(0.1223)</w:t>
            </w:r>
          </w:p>
        </w:tc>
        <w:tc>
          <w:tcPr>
            <w:tcW w:w="1163" w:type="dxa"/>
            <w:tcBorders>
              <w:top w:val="nil"/>
              <w:left w:val="nil"/>
              <w:bottom w:val="nil"/>
              <w:right w:val="nil"/>
            </w:tcBorders>
            <w:shd w:val="clear" w:color="auto" w:fill="auto"/>
            <w:noWrap/>
            <w:vAlign w:val="bottom"/>
            <w:hideMark/>
          </w:tcPr>
          <w:p w14:paraId="2ACA6331"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(0.0539)</w:t>
            </w:r>
          </w:p>
        </w:tc>
        <w:tc>
          <w:tcPr>
            <w:tcW w:w="1163" w:type="dxa"/>
            <w:tcBorders>
              <w:top w:val="nil"/>
              <w:left w:val="nil"/>
              <w:bottom w:val="nil"/>
              <w:right w:val="nil"/>
            </w:tcBorders>
            <w:shd w:val="clear" w:color="auto" w:fill="auto"/>
            <w:noWrap/>
            <w:vAlign w:val="bottom"/>
            <w:hideMark/>
          </w:tcPr>
          <w:p w14:paraId="314C1D7A"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(0.0439)</w:t>
            </w:r>
          </w:p>
        </w:tc>
      </w:tr>
      <w:tr w:rsidR="0012305F" w:rsidRPr="008B7FC2" w14:paraId="5AD9DA1F" w14:textId="77777777" w:rsidTr="00354437">
        <w:trPr>
          <w:trHeight w:hRule="exact" w:val="249"/>
        </w:trPr>
        <w:tc>
          <w:tcPr>
            <w:tcW w:w="2935" w:type="dxa"/>
            <w:tcBorders>
              <w:top w:val="nil"/>
              <w:left w:val="nil"/>
              <w:bottom w:val="nil"/>
              <w:right w:val="nil"/>
            </w:tcBorders>
            <w:shd w:val="clear" w:color="auto" w:fill="auto"/>
            <w:noWrap/>
            <w:vAlign w:val="bottom"/>
            <w:hideMark/>
          </w:tcPr>
          <w:p w14:paraId="1C01E7E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8B7FC2">
              <w:rPr>
                <w:rFonts w:ascii="Times New Roman" w:eastAsia="Times New Roman" w:hAnsi="Times New Roman" w:cs="Times New Roman"/>
                <w:color w:val="000000"/>
                <w:sz w:val="20"/>
                <w:szCs w:val="20"/>
                <w:lang w:eastAsia="en-NZ"/>
              </w:rPr>
              <w:t>LifeExp</w:t>
            </w:r>
            <w:proofErr w:type="spellEnd"/>
          </w:p>
        </w:tc>
        <w:tc>
          <w:tcPr>
            <w:tcW w:w="1163" w:type="dxa"/>
            <w:tcBorders>
              <w:top w:val="nil"/>
              <w:left w:val="nil"/>
              <w:bottom w:val="nil"/>
              <w:right w:val="nil"/>
            </w:tcBorders>
            <w:shd w:val="clear" w:color="auto" w:fill="auto"/>
            <w:noWrap/>
            <w:vAlign w:val="bottom"/>
            <w:hideMark/>
          </w:tcPr>
          <w:p w14:paraId="102B789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-0.0057*</w:t>
            </w:r>
          </w:p>
        </w:tc>
        <w:tc>
          <w:tcPr>
            <w:tcW w:w="1163" w:type="dxa"/>
            <w:tcBorders>
              <w:top w:val="nil"/>
              <w:left w:val="nil"/>
              <w:bottom w:val="nil"/>
              <w:right w:val="nil"/>
            </w:tcBorders>
            <w:shd w:val="clear" w:color="auto" w:fill="auto"/>
            <w:noWrap/>
            <w:vAlign w:val="bottom"/>
            <w:hideMark/>
          </w:tcPr>
          <w:p w14:paraId="6EBE1E9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-0.001</w:t>
            </w:r>
          </w:p>
        </w:tc>
        <w:tc>
          <w:tcPr>
            <w:tcW w:w="1163" w:type="dxa"/>
            <w:tcBorders>
              <w:top w:val="nil"/>
              <w:left w:val="nil"/>
              <w:bottom w:val="nil"/>
              <w:right w:val="nil"/>
            </w:tcBorders>
            <w:shd w:val="clear" w:color="auto" w:fill="auto"/>
            <w:noWrap/>
            <w:vAlign w:val="bottom"/>
            <w:hideMark/>
          </w:tcPr>
          <w:p w14:paraId="0EA913C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-0.0015</w:t>
            </w:r>
          </w:p>
        </w:tc>
        <w:tc>
          <w:tcPr>
            <w:tcW w:w="1163" w:type="dxa"/>
            <w:tcBorders>
              <w:top w:val="nil"/>
              <w:left w:val="nil"/>
              <w:bottom w:val="nil"/>
              <w:right w:val="nil"/>
            </w:tcBorders>
            <w:shd w:val="clear" w:color="auto" w:fill="auto"/>
            <w:noWrap/>
            <w:vAlign w:val="bottom"/>
            <w:hideMark/>
          </w:tcPr>
          <w:p w14:paraId="07686953"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-0.0081</w:t>
            </w:r>
          </w:p>
        </w:tc>
        <w:tc>
          <w:tcPr>
            <w:tcW w:w="1163" w:type="dxa"/>
            <w:tcBorders>
              <w:top w:val="nil"/>
              <w:left w:val="nil"/>
              <w:bottom w:val="nil"/>
              <w:right w:val="nil"/>
            </w:tcBorders>
            <w:shd w:val="clear" w:color="auto" w:fill="auto"/>
            <w:noWrap/>
            <w:vAlign w:val="bottom"/>
            <w:hideMark/>
          </w:tcPr>
          <w:p w14:paraId="4B9D5930"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-0.0005</w:t>
            </w:r>
          </w:p>
        </w:tc>
        <w:tc>
          <w:tcPr>
            <w:tcW w:w="1163" w:type="dxa"/>
            <w:tcBorders>
              <w:top w:val="nil"/>
              <w:left w:val="nil"/>
              <w:bottom w:val="nil"/>
              <w:right w:val="nil"/>
            </w:tcBorders>
            <w:shd w:val="clear" w:color="auto" w:fill="auto"/>
            <w:noWrap/>
            <w:vAlign w:val="bottom"/>
            <w:hideMark/>
          </w:tcPr>
          <w:p w14:paraId="6E735D94"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-0.0011</w:t>
            </w:r>
          </w:p>
        </w:tc>
      </w:tr>
      <w:tr w:rsidR="0012305F" w:rsidRPr="008B7FC2" w14:paraId="67873E4B" w14:textId="77777777" w:rsidTr="00354437">
        <w:trPr>
          <w:trHeight w:hRule="exact" w:val="249"/>
        </w:trPr>
        <w:tc>
          <w:tcPr>
            <w:tcW w:w="2935" w:type="dxa"/>
            <w:tcBorders>
              <w:top w:val="nil"/>
              <w:left w:val="nil"/>
              <w:bottom w:val="nil"/>
              <w:right w:val="nil"/>
            </w:tcBorders>
            <w:shd w:val="clear" w:color="auto" w:fill="auto"/>
            <w:noWrap/>
            <w:vAlign w:val="bottom"/>
            <w:hideMark/>
          </w:tcPr>
          <w:p w14:paraId="7291ABB4"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163" w:type="dxa"/>
            <w:tcBorders>
              <w:top w:val="nil"/>
              <w:left w:val="nil"/>
              <w:bottom w:val="nil"/>
              <w:right w:val="nil"/>
            </w:tcBorders>
            <w:shd w:val="clear" w:color="auto" w:fill="auto"/>
            <w:noWrap/>
            <w:vAlign w:val="bottom"/>
            <w:hideMark/>
          </w:tcPr>
          <w:p w14:paraId="59750D6D"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(-0.003)</w:t>
            </w:r>
          </w:p>
        </w:tc>
        <w:tc>
          <w:tcPr>
            <w:tcW w:w="1163" w:type="dxa"/>
            <w:tcBorders>
              <w:top w:val="nil"/>
              <w:left w:val="nil"/>
              <w:bottom w:val="nil"/>
              <w:right w:val="nil"/>
            </w:tcBorders>
            <w:shd w:val="clear" w:color="auto" w:fill="auto"/>
            <w:noWrap/>
            <w:vAlign w:val="bottom"/>
            <w:hideMark/>
          </w:tcPr>
          <w:p w14:paraId="7A91044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(0.0013)</w:t>
            </w:r>
          </w:p>
        </w:tc>
        <w:tc>
          <w:tcPr>
            <w:tcW w:w="1163" w:type="dxa"/>
            <w:tcBorders>
              <w:top w:val="nil"/>
              <w:left w:val="nil"/>
              <w:bottom w:val="nil"/>
              <w:right w:val="nil"/>
            </w:tcBorders>
            <w:shd w:val="clear" w:color="auto" w:fill="auto"/>
            <w:noWrap/>
            <w:vAlign w:val="bottom"/>
            <w:hideMark/>
          </w:tcPr>
          <w:p w14:paraId="285F324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(0.0011)</w:t>
            </w:r>
          </w:p>
        </w:tc>
        <w:tc>
          <w:tcPr>
            <w:tcW w:w="1163" w:type="dxa"/>
            <w:tcBorders>
              <w:top w:val="nil"/>
              <w:left w:val="nil"/>
              <w:bottom w:val="nil"/>
              <w:right w:val="nil"/>
            </w:tcBorders>
            <w:shd w:val="clear" w:color="auto" w:fill="auto"/>
            <w:noWrap/>
            <w:vAlign w:val="bottom"/>
            <w:hideMark/>
          </w:tcPr>
          <w:p w14:paraId="67179C49"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(0.0053)</w:t>
            </w:r>
          </w:p>
        </w:tc>
        <w:tc>
          <w:tcPr>
            <w:tcW w:w="1163" w:type="dxa"/>
            <w:tcBorders>
              <w:top w:val="nil"/>
              <w:left w:val="nil"/>
              <w:bottom w:val="nil"/>
              <w:right w:val="nil"/>
            </w:tcBorders>
            <w:shd w:val="clear" w:color="auto" w:fill="auto"/>
            <w:noWrap/>
            <w:vAlign w:val="bottom"/>
            <w:hideMark/>
          </w:tcPr>
          <w:p w14:paraId="0FD390F6"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(-0.001)</w:t>
            </w:r>
          </w:p>
        </w:tc>
        <w:tc>
          <w:tcPr>
            <w:tcW w:w="1163" w:type="dxa"/>
            <w:tcBorders>
              <w:top w:val="nil"/>
              <w:left w:val="nil"/>
              <w:bottom w:val="nil"/>
              <w:right w:val="nil"/>
            </w:tcBorders>
            <w:shd w:val="clear" w:color="auto" w:fill="auto"/>
            <w:noWrap/>
            <w:vAlign w:val="bottom"/>
            <w:hideMark/>
          </w:tcPr>
          <w:p w14:paraId="426CEB2F"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(0.0009)</w:t>
            </w:r>
          </w:p>
        </w:tc>
      </w:tr>
      <w:tr w:rsidR="0012305F" w:rsidRPr="008B7FC2" w14:paraId="049FE76C" w14:textId="77777777" w:rsidTr="00354437">
        <w:trPr>
          <w:trHeight w:hRule="exact" w:val="249"/>
        </w:trPr>
        <w:tc>
          <w:tcPr>
            <w:tcW w:w="2935" w:type="dxa"/>
            <w:tcBorders>
              <w:top w:val="nil"/>
              <w:left w:val="nil"/>
              <w:bottom w:val="nil"/>
              <w:right w:val="nil"/>
            </w:tcBorders>
            <w:shd w:val="clear" w:color="auto" w:fill="auto"/>
            <w:noWrap/>
            <w:vAlign w:val="bottom"/>
            <w:hideMark/>
          </w:tcPr>
          <w:p w14:paraId="4A6DA36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Observation</w:t>
            </w:r>
          </w:p>
        </w:tc>
        <w:tc>
          <w:tcPr>
            <w:tcW w:w="1163" w:type="dxa"/>
            <w:tcBorders>
              <w:top w:val="nil"/>
              <w:left w:val="nil"/>
              <w:bottom w:val="nil"/>
              <w:right w:val="nil"/>
            </w:tcBorders>
            <w:shd w:val="clear" w:color="auto" w:fill="auto"/>
            <w:noWrap/>
            <w:vAlign w:val="bottom"/>
            <w:hideMark/>
          </w:tcPr>
          <w:p w14:paraId="6B219BC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108</w:t>
            </w:r>
          </w:p>
        </w:tc>
        <w:tc>
          <w:tcPr>
            <w:tcW w:w="1163" w:type="dxa"/>
            <w:tcBorders>
              <w:top w:val="nil"/>
              <w:left w:val="nil"/>
              <w:bottom w:val="nil"/>
              <w:right w:val="nil"/>
            </w:tcBorders>
            <w:shd w:val="clear" w:color="auto" w:fill="auto"/>
            <w:noWrap/>
            <w:vAlign w:val="bottom"/>
            <w:hideMark/>
          </w:tcPr>
          <w:p w14:paraId="0362DFF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318</w:t>
            </w:r>
          </w:p>
        </w:tc>
        <w:tc>
          <w:tcPr>
            <w:tcW w:w="1163" w:type="dxa"/>
            <w:tcBorders>
              <w:top w:val="nil"/>
              <w:left w:val="nil"/>
              <w:bottom w:val="nil"/>
              <w:right w:val="nil"/>
            </w:tcBorders>
            <w:shd w:val="clear" w:color="auto" w:fill="auto"/>
            <w:noWrap/>
            <w:vAlign w:val="bottom"/>
            <w:hideMark/>
          </w:tcPr>
          <w:p w14:paraId="0336CE24"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426</w:t>
            </w:r>
          </w:p>
        </w:tc>
        <w:tc>
          <w:tcPr>
            <w:tcW w:w="1163" w:type="dxa"/>
            <w:tcBorders>
              <w:top w:val="nil"/>
              <w:left w:val="nil"/>
              <w:bottom w:val="nil"/>
              <w:right w:val="nil"/>
            </w:tcBorders>
            <w:shd w:val="clear" w:color="auto" w:fill="auto"/>
            <w:noWrap/>
            <w:vAlign w:val="bottom"/>
            <w:hideMark/>
          </w:tcPr>
          <w:p w14:paraId="688EF286"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108</w:t>
            </w:r>
          </w:p>
        </w:tc>
        <w:tc>
          <w:tcPr>
            <w:tcW w:w="1163" w:type="dxa"/>
            <w:tcBorders>
              <w:top w:val="nil"/>
              <w:left w:val="nil"/>
              <w:bottom w:val="nil"/>
              <w:right w:val="nil"/>
            </w:tcBorders>
            <w:shd w:val="clear" w:color="auto" w:fill="auto"/>
            <w:noWrap/>
            <w:vAlign w:val="bottom"/>
            <w:hideMark/>
          </w:tcPr>
          <w:p w14:paraId="4EFAE868"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318</w:t>
            </w:r>
          </w:p>
        </w:tc>
        <w:tc>
          <w:tcPr>
            <w:tcW w:w="1163" w:type="dxa"/>
            <w:tcBorders>
              <w:top w:val="nil"/>
              <w:left w:val="nil"/>
              <w:bottom w:val="nil"/>
              <w:right w:val="nil"/>
            </w:tcBorders>
            <w:shd w:val="clear" w:color="auto" w:fill="auto"/>
            <w:noWrap/>
            <w:vAlign w:val="bottom"/>
            <w:hideMark/>
          </w:tcPr>
          <w:p w14:paraId="0AB2B394"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426</w:t>
            </w:r>
          </w:p>
        </w:tc>
      </w:tr>
      <w:tr w:rsidR="0012305F" w:rsidRPr="008B7FC2" w14:paraId="6466AD87" w14:textId="77777777" w:rsidTr="00354437">
        <w:trPr>
          <w:trHeight w:hRule="exact" w:val="249"/>
        </w:trPr>
        <w:tc>
          <w:tcPr>
            <w:tcW w:w="2935" w:type="dxa"/>
            <w:tcBorders>
              <w:top w:val="nil"/>
              <w:left w:val="nil"/>
              <w:bottom w:val="nil"/>
              <w:right w:val="nil"/>
            </w:tcBorders>
            <w:shd w:val="clear" w:color="auto" w:fill="auto"/>
            <w:noWrap/>
            <w:vAlign w:val="bottom"/>
            <w:hideMark/>
          </w:tcPr>
          <w:p w14:paraId="057DC59F"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Instrument</w:t>
            </w:r>
          </w:p>
        </w:tc>
        <w:tc>
          <w:tcPr>
            <w:tcW w:w="1163" w:type="dxa"/>
            <w:tcBorders>
              <w:top w:val="nil"/>
              <w:left w:val="nil"/>
              <w:bottom w:val="nil"/>
              <w:right w:val="nil"/>
            </w:tcBorders>
            <w:shd w:val="clear" w:color="auto" w:fill="auto"/>
            <w:noWrap/>
            <w:vAlign w:val="bottom"/>
            <w:hideMark/>
          </w:tcPr>
          <w:p w14:paraId="45131EC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16</w:t>
            </w:r>
          </w:p>
        </w:tc>
        <w:tc>
          <w:tcPr>
            <w:tcW w:w="1163" w:type="dxa"/>
            <w:tcBorders>
              <w:top w:val="nil"/>
              <w:left w:val="nil"/>
              <w:bottom w:val="nil"/>
              <w:right w:val="nil"/>
            </w:tcBorders>
            <w:shd w:val="clear" w:color="auto" w:fill="auto"/>
            <w:noWrap/>
            <w:vAlign w:val="bottom"/>
            <w:hideMark/>
          </w:tcPr>
          <w:p w14:paraId="098FC29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26</w:t>
            </w:r>
          </w:p>
        </w:tc>
        <w:tc>
          <w:tcPr>
            <w:tcW w:w="1163" w:type="dxa"/>
            <w:tcBorders>
              <w:top w:val="nil"/>
              <w:left w:val="nil"/>
              <w:bottom w:val="nil"/>
              <w:right w:val="nil"/>
            </w:tcBorders>
            <w:shd w:val="clear" w:color="auto" w:fill="auto"/>
            <w:noWrap/>
            <w:vAlign w:val="bottom"/>
            <w:hideMark/>
          </w:tcPr>
          <w:p w14:paraId="6B289A4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24</w:t>
            </w:r>
          </w:p>
        </w:tc>
        <w:tc>
          <w:tcPr>
            <w:tcW w:w="1163" w:type="dxa"/>
            <w:tcBorders>
              <w:top w:val="nil"/>
              <w:left w:val="nil"/>
              <w:bottom w:val="nil"/>
              <w:right w:val="nil"/>
            </w:tcBorders>
            <w:shd w:val="clear" w:color="auto" w:fill="auto"/>
            <w:noWrap/>
            <w:vAlign w:val="bottom"/>
            <w:hideMark/>
          </w:tcPr>
          <w:p w14:paraId="0FB29E6F"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16</w:t>
            </w:r>
          </w:p>
        </w:tc>
        <w:tc>
          <w:tcPr>
            <w:tcW w:w="1163" w:type="dxa"/>
            <w:tcBorders>
              <w:top w:val="nil"/>
              <w:left w:val="nil"/>
              <w:bottom w:val="nil"/>
              <w:right w:val="nil"/>
            </w:tcBorders>
            <w:shd w:val="clear" w:color="auto" w:fill="auto"/>
            <w:noWrap/>
            <w:vAlign w:val="bottom"/>
            <w:hideMark/>
          </w:tcPr>
          <w:p w14:paraId="5274D4AD"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29</w:t>
            </w:r>
          </w:p>
        </w:tc>
        <w:tc>
          <w:tcPr>
            <w:tcW w:w="1163" w:type="dxa"/>
            <w:tcBorders>
              <w:top w:val="nil"/>
              <w:left w:val="nil"/>
              <w:bottom w:val="nil"/>
              <w:right w:val="nil"/>
            </w:tcBorders>
            <w:shd w:val="clear" w:color="auto" w:fill="auto"/>
            <w:noWrap/>
            <w:vAlign w:val="bottom"/>
            <w:hideMark/>
          </w:tcPr>
          <w:p w14:paraId="670FCE35"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24</w:t>
            </w:r>
          </w:p>
        </w:tc>
      </w:tr>
      <w:tr w:rsidR="0012305F" w:rsidRPr="008B7FC2" w14:paraId="6017571B" w14:textId="77777777" w:rsidTr="00354437">
        <w:trPr>
          <w:trHeight w:hRule="exact" w:val="249"/>
        </w:trPr>
        <w:tc>
          <w:tcPr>
            <w:tcW w:w="2935" w:type="dxa"/>
            <w:tcBorders>
              <w:top w:val="nil"/>
              <w:left w:val="nil"/>
              <w:bottom w:val="nil"/>
              <w:right w:val="nil"/>
            </w:tcBorders>
            <w:shd w:val="clear" w:color="auto" w:fill="auto"/>
            <w:noWrap/>
            <w:vAlign w:val="bottom"/>
            <w:hideMark/>
          </w:tcPr>
          <w:p w14:paraId="521C11E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Country</w:t>
            </w:r>
          </w:p>
        </w:tc>
        <w:tc>
          <w:tcPr>
            <w:tcW w:w="1163" w:type="dxa"/>
            <w:tcBorders>
              <w:top w:val="nil"/>
              <w:left w:val="nil"/>
              <w:bottom w:val="nil"/>
              <w:right w:val="nil"/>
            </w:tcBorders>
            <w:shd w:val="clear" w:color="auto" w:fill="auto"/>
            <w:noWrap/>
            <w:vAlign w:val="bottom"/>
            <w:hideMark/>
          </w:tcPr>
          <w:p w14:paraId="19E86A92"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18</w:t>
            </w:r>
          </w:p>
        </w:tc>
        <w:tc>
          <w:tcPr>
            <w:tcW w:w="1163" w:type="dxa"/>
            <w:tcBorders>
              <w:top w:val="nil"/>
              <w:left w:val="nil"/>
              <w:bottom w:val="nil"/>
              <w:right w:val="nil"/>
            </w:tcBorders>
            <w:shd w:val="clear" w:color="auto" w:fill="auto"/>
            <w:noWrap/>
            <w:vAlign w:val="bottom"/>
            <w:hideMark/>
          </w:tcPr>
          <w:p w14:paraId="044D22BB"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53</w:t>
            </w:r>
          </w:p>
        </w:tc>
        <w:tc>
          <w:tcPr>
            <w:tcW w:w="1163" w:type="dxa"/>
            <w:tcBorders>
              <w:top w:val="nil"/>
              <w:left w:val="nil"/>
              <w:bottom w:val="nil"/>
              <w:right w:val="nil"/>
            </w:tcBorders>
            <w:shd w:val="clear" w:color="auto" w:fill="auto"/>
            <w:noWrap/>
            <w:vAlign w:val="bottom"/>
            <w:hideMark/>
          </w:tcPr>
          <w:p w14:paraId="1E3A228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71</w:t>
            </w:r>
          </w:p>
        </w:tc>
        <w:tc>
          <w:tcPr>
            <w:tcW w:w="1163" w:type="dxa"/>
            <w:tcBorders>
              <w:top w:val="nil"/>
              <w:left w:val="nil"/>
              <w:bottom w:val="nil"/>
              <w:right w:val="nil"/>
            </w:tcBorders>
            <w:shd w:val="clear" w:color="auto" w:fill="auto"/>
            <w:noWrap/>
            <w:vAlign w:val="bottom"/>
            <w:hideMark/>
          </w:tcPr>
          <w:p w14:paraId="374C1AB2"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18</w:t>
            </w:r>
          </w:p>
        </w:tc>
        <w:tc>
          <w:tcPr>
            <w:tcW w:w="1163" w:type="dxa"/>
            <w:tcBorders>
              <w:top w:val="nil"/>
              <w:left w:val="nil"/>
              <w:bottom w:val="nil"/>
              <w:right w:val="nil"/>
            </w:tcBorders>
            <w:shd w:val="clear" w:color="auto" w:fill="auto"/>
            <w:noWrap/>
            <w:vAlign w:val="bottom"/>
            <w:hideMark/>
          </w:tcPr>
          <w:p w14:paraId="7DA8DD3A"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53</w:t>
            </w:r>
          </w:p>
        </w:tc>
        <w:tc>
          <w:tcPr>
            <w:tcW w:w="1163" w:type="dxa"/>
            <w:tcBorders>
              <w:top w:val="nil"/>
              <w:left w:val="nil"/>
              <w:bottom w:val="nil"/>
              <w:right w:val="nil"/>
            </w:tcBorders>
            <w:shd w:val="clear" w:color="auto" w:fill="auto"/>
            <w:noWrap/>
            <w:vAlign w:val="bottom"/>
            <w:hideMark/>
          </w:tcPr>
          <w:p w14:paraId="523BED9C"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71</w:t>
            </w:r>
          </w:p>
        </w:tc>
      </w:tr>
      <w:tr w:rsidR="0012305F" w:rsidRPr="008B7FC2" w14:paraId="4A8EEAC1" w14:textId="77777777" w:rsidTr="00354437">
        <w:trPr>
          <w:trHeight w:hRule="exact" w:val="249"/>
        </w:trPr>
        <w:tc>
          <w:tcPr>
            <w:tcW w:w="2935" w:type="dxa"/>
            <w:tcBorders>
              <w:top w:val="nil"/>
              <w:left w:val="nil"/>
              <w:bottom w:val="nil"/>
              <w:right w:val="nil"/>
            </w:tcBorders>
            <w:shd w:val="clear" w:color="auto" w:fill="auto"/>
            <w:noWrap/>
            <w:vAlign w:val="bottom"/>
            <w:hideMark/>
          </w:tcPr>
          <w:p w14:paraId="7A75940D"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Hansen test of over</w:t>
            </w:r>
            <w:r>
              <w:rPr>
                <w:rFonts w:ascii="Times New Roman" w:eastAsia="Times New Roman" w:hAnsi="Times New Roman" w:cs="Times New Roman"/>
                <w:color w:val="000000"/>
                <w:sz w:val="20"/>
                <w:szCs w:val="20"/>
                <w:lang w:eastAsia="en-NZ"/>
              </w:rPr>
              <w:t>-</w:t>
            </w:r>
            <w:r w:rsidRPr="00CC59EC">
              <w:rPr>
                <w:rFonts w:ascii="Times New Roman" w:eastAsia="Times New Roman" w:hAnsi="Times New Roman" w:cs="Times New Roman"/>
                <w:color w:val="000000"/>
                <w:sz w:val="20"/>
                <w:szCs w:val="20"/>
                <w:lang w:eastAsia="en-NZ"/>
              </w:rPr>
              <w:t>identification</w:t>
            </w:r>
          </w:p>
        </w:tc>
        <w:tc>
          <w:tcPr>
            <w:tcW w:w="1163" w:type="dxa"/>
            <w:tcBorders>
              <w:top w:val="nil"/>
              <w:left w:val="nil"/>
              <w:bottom w:val="nil"/>
              <w:right w:val="nil"/>
            </w:tcBorders>
            <w:shd w:val="clear" w:color="auto" w:fill="auto"/>
            <w:noWrap/>
            <w:vAlign w:val="bottom"/>
            <w:hideMark/>
          </w:tcPr>
          <w:p w14:paraId="0BBDB07C"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0.657</w:t>
            </w:r>
          </w:p>
        </w:tc>
        <w:tc>
          <w:tcPr>
            <w:tcW w:w="1163" w:type="dxa"/>
            <w:tcBorders>
              <w:top w:val="nil"/>
              <w:left w:val="nil"/>
              <w:bottom w:val="nil"/>
              <w:right w:val="nil"/>
            </w:tcBorders>
            <w:shd w:val="clear" w:color="auto" w:fill="auto"/>
            <w:noWrap/>
            <w:vAlign w:val="bottom"/>
            <w:hideMark/>
          </w:tcPr>
          <w:p w14:paraId="07283EF8"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0.7072</w:t>
            </w:r>
          </w:p>
        </w:tc>
        <w:tc>
          <w:tcPr>
            <w:tcW w:w="1163" w:type="dxa"/>
            <w:tcBorders>
              <w:top w:val="nil"/>
              <w:left w:val="nil"/>
              <w:bottom w:val="nil"/>
              <w:right w:val="nil"/>
            </w:tcBorders>
            <w:shd w:val="clear" w:color="auto" w:fill="auto"/>
            <w:noWrap/>
            <w:vAlign w:val="bottom"/>
            <w:hideMark/>
          </w:tcPr>
          <w:p w14:paraId="2E04733B"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0.4025</w:t>
            </w:r>
          </w:p>
        </w:tc>
        <w:tc>
          <w:tcPr>
            <w:tcW w:w="1163" w:type="dxa"/>
            <w:tcBorders>
              <w:top w:val="nil"/>
              <w:left w:val="nil"/>
              <w:bottom w:val="nil"/>
              <w:right w:val="nil"/>
            </w:tcBorders>
            <w:shd w:val="clear" w:color="auto" w:fill="auto"/>
            <w:noWrap/>
            <w:vAlign w:val="bottom"/>
            <w:hideMark/>
          </w:tcPr>
          <w:p w14:paraId="7BC56EAE"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0.9084</w:t>
            </w:r>
          </w:p>
        </w:tc>
        <w:tc>
          <w:tcPr>
            <w:tcW w:w="1163" w:type="dxa"/>
            <w:tcBorders>
              <w:top w:val="nil"/>
              <w:left w:val="nil"/>
              <w:bottom w:val="nil"/>
              <w:right w:val="nil"/>
            </w:tcBorders>
            <w:shd w:val="clear" w:color="auto" w:fill="auto"/>
            <w:noWrap/>
            <w:vAlign w:val="bottom"/>
            <w:hideMark/>
          </w:tcPr>
          <w:p w14:paraId="6033F7A7"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0.673</w:t>
            </w:r>
          </w:p>
        </w:tc>
        <w:tc>
          <w:tcPr>
            <w:tcW w:w="1163" w:type="dxa"/>
            <w:tcBorders>
              <w:top w:val="nil"/>
              <w:left w:val="nil"/>
              <w:bottom w:val="nil"/>
              <w:right w:val="nil"/>
            </w:tcBorders>
            <w:shd w:val="clear" w:color="auto" w:fill="auto"/>
            <w:noWrap/>
            <w:vAlign w:val="bottom"/>
            <w:hideMark/>
          </w:tcPr>
          <w:p w14:paraId="44B0B7FB" w14:textId="77777777" w:rsidR="0012305F" w:rsidRPr="00CC59E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CC59EC">
              <w:rPr>
                <w:rFonts w:ascii="Times New Roman" w:eastAsia="Times New Roman" w:hAnsi="Times New Roman" w:cs="Times New Roman"/>
                <w:color w:val="000000"/>
                <w:sz w:val="20"/>
                <w:szCs w:val="20"/>
                <w:lang w:eastAsia="en-NZ"/>
              </w:rPr>
              <w:t>0.3166</w:t>
            </w:r>
          </w:p>
        </w:tc>
      </w:tr>
      <w:tr w:rsidR="0012305F" w:rsidRPr="008B7FC2" w14:paraId="17A75808" w14:textId="77777777" w:rsidTr="00354437">
        <w:trPr>
          <w:trHeight w:hRule="exact" w:val="249"/>
        </w:trPr>
        <w:tc>
          <w:tcPr>
            <w:tcW w:w="2935" w:type="dxa"/>
            <w:tcBorders>
              <w:top w:val="nil"/>
              <w:left w:val="nil"/>
              <w:bottom w:val="nil"/>
              <w:right w:val="nil"/>
            </w:tcBorders>
            <w:shd w:val="clear" w:color="auto" w:fill="auto"/>
            <w:noWrap/>
            <w:vAlign w:val="bottom"/>
            <w:hideMark/>
          </w:tcPr>
          <w:p w14:paraId="67D0CE6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AR(1)</w:t>
            </w:r>
          </w:p>
        </w:tc>
        <w:tc>
          <w:tcPr>
            <w:tcW w:w="1163" w:type="dxa"/>
            <w:tcBorders>
              <w:top w:val="nil"/>
              <w:left w:val="nil"/>
              <w:bottom w:val="nil"/>
              <w:right w:val="nil"/>
            </w:tcBorders>
            <w:shd w:val="clear" w:color="auto" w:fill="auto"/>
            <w:noWrap/>
            <w:vAlign w:val="bottom"/>
            <w:hideMark/>
          </w:tcPr>
          <w:p w14:paraId="508AE231"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0.3823</w:t>
            </w:r>
          </w:p>
        </w:tc>
        <w:tc>
          <w:tcPr>
            <w:tcW w:w="1163" w:type="dxa"/>
            <w:tcBorders>
              <w:top w:val="nil"/>
              <w:left w:val="nil"/>
              <w:bottom w:val="nil"/>
              <w:right w:val="nil"/>
            </w:tcBorders>
            <w:shd w:val="clear" w:color="auto" w:fill="auto"/>
            <w:noWrap/>
            <w:vAlign w:val="bottom"/>
            <w:hideMark/>
          </w:tcPr>
          <w:p w14:paraId="7B14420C"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0.1117</w:t>
            </w:r>
          </w:p>
        </w:tc>
        <w:tc>
          <w:tcPr>
            <w:tcW w:w="1163" w:type="dxa"/>
            <w:tcBorders>
              <w:top w:val="nil"/>
              <w:left w:val="nil"/>
              <w:bottom w:val="nil"/>
              <w:right w:val="nil"/>
            </w:tcBorders>
            <w:shd w:val="clear" w:color="auto" w:fill="auto"/>
            <w:noWrap/>
            <w:vAlign w:val="bottom"/>
            <w:hideMark/>
          </w:tcPr>
          <w:p w14:paraId="5336B4C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0.4999</w:t>
            </w:r>
          </w:p>
        </w:tc>
        <w:tc>
          <w:tcPr>
            <w:tcW w:w="1163" w:type="dxa"/>
            <w:tcBorders>
              <w:top w:val="nil"/>
              <w:left w:val="nil"/>
              <w:bottom w:val="nil"/>
              <w:right w:val="nil"/>
            </w:tcBorders>
            <w:shd w:val="clear" w:color="auto" w:fill="auto"/>
            <w:noWrap/>
            <w:vAlign w:val="bottom"/>
            <w:hideMark/>
          </w:tcPr>
          <w:p w14:paraId="74C312C8"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0.7276</w:t>
            </w:r>
          </w:p>
        </w:tc>
        <w:tc>
          <w:tcPr>
            <w:tcW w:w="1163" w:type="dxa"/>
            <w:tcBorders>
              <w:top w:val="nil"/>
              <w:left w:val="nil"/>
              <w:bottom w:val="nil"/>
              <w:right w:val="nil"/>
            </w:tcBorders>
            <w:shd w:val="clear" w:color="auto" w:fill="auto"/>
            <w:noWrap/>
            <w:vAlign w:val="bottom"/>
            <w:hideMark/>
          </w:tcPr>
          <w:p w14:paraId="7AB47B9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0.1958</w:t>
            </w:r>
          </w:p>
        </w:tc>
        <w:tc>
          <w:tcPr>
            <w:tcW w:w="1163" w:type="dxa"/>
            <w:tcBorders>
              <w:top w:val="nil"/>
              <w:left w:val="nil"/>
              <w:bottom w:val="nil"/>
              <w:right w:val="nil"/>
            </w:tcBorders>
            <w:shd w:val="clear" w:color="auto" w:fill="auto"/>
            <w:noWrap/>
            <w:vAlign w:val="bottom"/>
            <w:hideMark/>
          </w:tcPr>
          <w:p w14:paraId="78F63049"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0.512</w:t>
            </w:r>
          </w:p>
        </w:tc>
      </w:tr>
      <w:tr w:rsidR="0012305F" w:rsidRPr="008B7FC2" w14:paraId="50333D25" w14:textId="77777777" w:rsidTr="00354437">
        <w:trPr>
          <w:trHeight w:hRule="exact" w:val="249"/>
        </w:trPr>
        <w:tc>
          <w:tcPr>
            <w:tcW w:w="2935" w:type="dxa"/>
            <w:tcBorders>
              <w:top w:val="nil"/>
              <w:left w:val="nil"/>
              <w:bottom w:val="single" w:sz="4" w:space="0" w:color="auto"/>
              <w:right w:val="nil"/>
            </w:tcBorders>
            <w:shd w:val="clear" w:color="auto" w:fill="auto"/>
            <w:noWrap/>
            <w:vAlign w:val="bottom"/>
            <w:hideMark/>
          </w:tcPr>
          <w:p w14:paraId="09E8F9F6"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AR(2)</w:t>
            </w:r>
          </w:p>
        </w:tc>
        <w:tc>
          <w:tcPr>
            <w:tcW w:w="1163" w:type="dxa"/>
            <w:tcBorders>
              <w:top w:val="nil"/>
              <w:left w:val="nil"/>
              <w:bottom w:val="nil"/>
              <w:right w:val="nil"/>
            </w:tcBorders>
            <w:shd w:val="clear" w:color="auto" w:fill="auto"/>
            <w:noWrap/>
            <w:vAlign w:val="bottom"/>
            <w:hideMark/>
          </w:tcPr>
          <w:p w14:paraId="49C9F7A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0.1179</w:t>
            </w:r>
          </w:p>
        </w:tc>
        <w:tc>
          <w:tcPr>
            <w:tcW w:w="1163" w:type="dxa"/>
            <w:tcBorders>
              <w:top w:val="nil"/>
              <w:left w:val="nil"/>
              <w:bottom w:val="nil"/>
              <w:right w:val="nil"/>
            </w:tcBorders>
            <w:shd w:val="clear" w:color="auto" w:fill="auto"/>
            <w:noWrap/>
            <w:vAlign w:val="bottom"/>
            <w:hideMark/>
          </w:tcPr>
          <w:p w14:paraId="642FB995"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0.2846</w:t>
            </w:r>
          </w:p>
        </w:tc>
        <w:tc>
          <w:tcPr>
            <w:tcW w:w="1163" w:type="dxa"/>
            <w:tcBorders>
              <w:top w:val="nil"/>
              <w:left w:val="nil"/>
              <w:bottom w:val="nil"/>
              <w:right w:val="nil"/>
            </w:tcBorders>
            <w:shd w:val="clear" w:color="auto" w:fill="auto"/>
            <w:noWrap/>
            <w:vAlign w:val="bottom"/>
            <w:hideMark/>
          </w:tcPr>
          <w:p w14:paraId="15EF6E23"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0.0512</w:t>
            </w:r>
          </w:p>
        </w:tc>
        <w:tc>
          <w:tcPr>
            <w:tcW w:w="1163" w:type="dxa"/>
            <w:tcBorders>
              <w:top w:val="nil"/>
              <w:left w:val="nil"/>
              <w:bottom w:val="nil"/>
              <w:right w:val="nil"/>
            </w:tcBorders>
            <w:shd w:val="clear" w:color="auto" w:fill="auto"/>
            <w:noWrap/>
            <w:vAlign w:val="bottom"/>
            <w:hideMark/>
          </w:tcPr>
          <w:p w14:paraId="1D60E280"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0.3752</w:t>
            </w:r>
          </w:p>
        </w:tc>
        <w:tc>
          <w:tcPr>
            <w:tcW w:w="1163" w:type="dxa"/>
            <w:tcBorders>
              <w:top w:val="nil"/>
              <w:left w:val="nil"/>
              <w:bottom w:val="nil"/>
              <w:right w:val="nil"/>
            </w:tcBorders>
            <w:shd w:val="clear" w:color="auto" w:fill="auto"/>
            <w:noWrap/>
            <w:vAlign w:val="bottom"/>
            <w:hideMark/>
          </w:tcPr>
          <w:p w14:paraId="28DDFB4E"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0.2923</w:t>
            </w:r>
          </w:p>
        </w:tc>
        <w:tc>
          <w:tcPr>
            <w:tcW w:w="1163" w:type="dxa"/>
            <w:tcBorders>
              <w:top w:val="nil"/>
              <w:left w:val="nil"/>
              <w:bottom w:val="nil"/>
              <w:right w:val="nil"/>
            </w:tcBorders>
            <w:shd w:val="clear" w:color="auto" w:fill="auto"/>
            <w:noWrap/>
            <w:vAlign w:val="bottom"/>
            <w:hideMark/>
          </w:tcPr>
          <w:p w14:paraId="66FE98A7" w14:textId="77777777" w:rsidR="0012305F" w:rsidRPr="008B7FC2"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8B7FC2">
              <w:rPr>
                <w:rFonts w:ascii="Times New Roman" w:eastAsia="Times New Roman" w:hAnsi="Times New Roman" w:cs="Times New Roman"/>
                <w:color w:val="000000"/>
                <w:sz w:val="20"/>
                <w:szCs w:val="20"/>
                <w:lang w:eastAsia="en-NZ"/>
              </w:rPr>
              <w:t>0.0905</w:t>
            </w:r>
          </w:p>
        </w:tc>
      </w:tr>
      <w:tr w:rsidR="0012305F" w:rsidRPr="008B7FC2" w14:paraId="29EEEDAC" w14:textId="77777777" w:rsidTr="00354437">
        <w:trPr>
          <w:trHeight w:hRule="exact" w:val="1533"/>
        </w:trPr>
        <w:tc>
          <w:tcPr>
            <w:tcW w:w="9913" w:type="dxa"/>
            <w:gridSpan w:val="7"/>
            <w:tcBorders>
              <w:top w:val="nil"/>
              <w:left w:val="nil"/>
              <w:bottom w:val="single" w:sz="4" w:space="0" w:color="auto"/>
              <w:right w:val="nil"/>
            </w:tcBorders>
            <w:shd w:val="clear" w:color="auto" w:fill="auto"/>
            <w:noWrap/>
            <w:vAlign w:val="bottom"/>
            <w:hideMark/>
          </w:tcPr>
          <w:p w14:paraId="58BDA5A8" w14:textId="77777777" w:rsidR="0012305F"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p w14:paraId="7E89097A" w14:textId="77777777" w:rsidR="0012305F" w:rsidRDefault="0012305F" w:rsidP="00C5618F">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xml:space="preserve">Notes: Table 5 reports the impact of financial openness on the FD and income inequality relationship. </w:t>
            </w:r>
          </w:p>
          <w:p w14:paraId="6A3D794A" w14:textId="77777777" w:rsidR="0012305F" w:rsidRDefault="0012305F" w:rsidP="00C5618F">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xml:space="preserve">Each regression includes country and time-fixed effects. Robust standard errors clustered at the country level are reported in parentheses. </w:t>
            </w:r>
          </w:p>
          <w:p w14:paraId="53630258" w14:textId="77777777" w:rsidR="0012305F" w:rsidRDefault="0012305F" w:rsidP="00C5618F">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 *** indicate significance at the 10%, 5% and 1% levels, respectively.</w:t>
            </w:r>
          </w:p>
          <w:p w14:paraId="185DCA7B" w14:textId="77777777" w:rsidR="0012305F" w:rsidRDefault="0012305F" w:rsidP="00C5618F">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All variables are defined in Appendix A</w:t>
            </w:r>
          </w:p>
          <w:p w14:paraId="612D825C" w14:textId="77777777" w:rsidR="0012305F" w:rsidRPr="008B7FC2" w:rsidRDefault="0012305F" w:rsidP="00354437">
            <w:pPr>
              <w:spacing w:after="0" w:line="240" w:lineRule="auto"/>
              <w:ind w:firstLine="0"/>
              <w:jc w:val="left"/>
              <w:rPr>
                <w:rFonts w:ascii="Times New Roman" w:eastAsia="Times New Roman" w:hAnsi="Times New Roman" w:cs="Times New Roman"/>
                <w:sz w:val="20"/>
                <w:szCs w:val="20"/>
                <w:lang w:eastAsia="en-NZ"/>
              </w:rPr>
            </w:pPr>
          </w:p>
        </w:tc>
      </w:tr>
    </w:tbl>
    <w:p w14:paraId="40F5C6E3" w14:textId="77777777" w:rsidR="00176DAD" w:rsidRDefault="00176DAD" w:rsidP="0012305F">
      <w:pPr>
        <w:spacing w:line="240" w:lineRule="auto"/>
        <w:jc w:val="center"/>
        <w:rPr>
          <w:rFonts w:cstheme="majorBidi"/>
          <w:b/>
          <w:bCs/>
          <w:sz w:val="20"/>
          <w:szCs w:val="20"/>
        </w:rPr>
      </w:pPr>
    </w:p>
    <w:p w14:paraId="20788425" w14:textId="77777777" w:rsidR="00176DAD" w:rsidRDefault="00176DAD" w:rsidP="0012305F">
      <w:pPr>
        <w:spacing w:line="240" w:lineRule="auto"/>
        <w:jc w:val="center"/>
        <w:rPr>
          <w:rFonts w:cstheme="majorBidi"/>
          <w:b/>
          <w:bCs/>
          <w:sz w:val="20"/>
          <w:szCs w:val="20"/>
        </w:rPr>
      </w:pPr>
    </w:p>
    <w:p w14:paraId="4E20A8B0" w14:textId="15D2170F" w:rsidR="0012305F" w:rsidRPr="004308FB" w:rsidRDefault="0012305F" w:rsidP="0012305F">
      <w:pPr>
        <w:spacing w:line="240" w:lineRule="auto"/>
        <w:jc w:val="center"/>
        <w:rPr>
          <w:rFonts w:cstheme="majorBidi"/>
          <w:b/>
          <w:bCs/>
          <w:sz w:val="22"/>
        </w:rPr>
      </w:pPr>
      <w:r w:rsidRPr="004308FB">
        <w:rPr>
          <w:rFonts w:cstheme="majorBidi"/>
          <w:b/>
          <w:bCs/>
          <w:sz w:val="22"/>
        </w:rPr>
        <w:t xml:space="preserve">Figure </w:t>
      </w:r>
      <w:r w:rsidRPr="004308FB">
        <w:rPr>
          <w:rFonts w:cstheme="majorBidi"/>
          <w:b/>
          <w:bCs/>
          <w:sz w:val="22"/>
        </w:rPr>
        <w:fldChar w:fldCharType="begin"/>
      </w:r>
      <w:r w:rsidRPr="004308FB">
        <w:rPr>
          <w:rFonts w:cstheme="majorBidi"/>
          <w:b/>
          <w:bCs/>
          <w:sz w:val="22"/>
        </w:rPr>
        <w:instrText xml:space="preserve"> SEQ Figure \* ARABIC </w:instrText>
      </w:r>
      <w:r w:rsidRPr="004308FB">
        <w:rPr>
          <w:rFonts w:cstheme="majorBidi"/>
          <w:b/>
          <w:bCs/>
          <w:sz w:val="22"/>
        </w:rPr>
        <w:fldChar w:fldCharType="separate"/>
      </w:r>
      <w:r w:rsidR="00FB12E6">
        <w:rPr>
          <w:rFonts w:cstheme="majorBidi"/>
          <w:b/>
          <w:bCs/>
          <w:noProof/>
          <w:sz w:val="22"/>
        </w:rPr>
        <w:t>5</w:t>
      </w:r>
      <w:r w:rsidRPr="004308FB">
        <w:rPr>
          <w:rFonts w:cstheme="majorBidi"/>
          <w:sz w:val="22"/>
        </w:rPr>
        <w:fldChar w:fldCharType="end"/>
      </w:r>
      <w:r w:rsidR="00176DAD" w:rsidRPr="004308FB">
        <w:rPr>
          <w:rFonts w:cstheme="majorBidi"/>
          <w:b/>
          <w:bCs/>
          <w:sz w:val="22"/>
        </w:rPr>
        <w:t>.</w:t>
      </w:r>
      <w:r w:rsidRPr="004308FB">
        <w:rPr>
          <w:rFonts w:cstheme="majorBidi"/>
          <w:b/>
          <w:bCs/>
          <w:sz w:val="22"/>
        </w:rPr>
        <w:t xml:space="preserve"> Marginal impact of FD on income inequality for diﬀerent levels of TO</w:t>
      </w:r>
    </w:p>
    <w:p w14:paraId="55F45389" w14:textId="77777777" w:rsidR="0012305F" w:rsidRDefault="0012305F" w:rsidP="0012305F">
      <w:pPr>
        <w:spacing w:line="240" w:lineRule="auto"/>
        <w:ind w:left="-284" w:right="-472" w:firstLine="0"/>
        <w:rPr>
          <w:noProof/>
        </w:rPr>
      </w:pPr>
      <w:r w:rsidRPr="000977FE">
        <w:rPr>
          <w:noProof/>
        </w:rPr>
        <w:t xml:space="preserve"> </w:t>
      </w:r>
      <w:r>
        <w:rPr>
          <w:noProof/>
          <w:lang w:eastAsia="en-NZ"/>
        </w:rPr>
        <w:drawing>
          <wp:inline distT="0" distB="0" distL="0" distR="0" wp14:anchorId="0842C4B2" wp14:editId="04809FFC">
            <wp:extent cx="3024000" cy="2052000"/>
            <wp:effectExtent l="0" t="0" r="5080" b="5715"/>
            <wp:docPr id="23" name="Chart 23">
              <a:extLst xmlns:a="http://schemas.openxmlformats.org/drawingml/2006/main">
                <a:ext uri="{FF2B5EF4-FFF2-40B4-BE49-F238E27FC236}">
                  <a16:creationId xmlns:a16="http://schemas.microsoft.com/office/drawing/2014/main" id="{8284121C-9991-46D7-B562-35E7FAF88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NZ"/>
        </w:rPr>
        <w:drawing>
          <wp:inline distT="0" distB="0" distL="0" distR="0" wp14:anchorId="55862651" wp14:editId="1678CBDE">
            <wp:extent cx="3024000" cy="2052000"/>
            <wp:effectExtent l="0" t="0" r="5080" b="5715"/>
            <wp:docPr id="24" name="Chart 24">
              <a:extLst xmlns:a="http://schemas.openxmlformats.org/drawingml/2006/main">
                <a:ext uri="{FF2B5EF4-FFF2-40B4-BE49-F238E27FC236}">
                  <a16:creationId xmlns:a16="http://schemas.microsoft.com/office/drawing/2014/main" id="{16713451-2466-47BF-8805-CCC723836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BB974C" w14:textId="77777777" w:rsidR="002931A4" w:rsidRPr="002931A4" w:rsidRDefault="002931A4" w:rsidP="0012305F">
      <w:pPr>
        <w:spacing w:line="240" w:lineRule="auto"/>
        <w:ind w:left="-284" w:right="-472" w:firstLine="0"/>
        <w:rPr>
          <w:sz w:val="16"/>
          <w:szCs w:val="16"/>
        </w:rPr>
      </w:pPr>
    </w:p>
    <w:p w14:paraId="19358251" w14:textId="3AB1EB7E" w:rsidR="0012305F" w:rsidRPr="00A17788" w:rsidRDefault="0012305F" w:rsidP="00176DAD">
      <w:pPr>
        <w:pStyle w:val="Heading2"/>
        <w:numPr>
          <w:ilvl w:val="1"/>
          <w:numId w:val="1"/>
        </w:numPr>
        <w:ind w:left="426"/>
      </w:pPr>
      <w:r w:rsidRPr="00A17788">
        <w:t>Dynamic Threshold Regression</w:t>
      </w:r>
    </w:p>
    <w:p w14:paraId="34D52535" w14:textId="77777777" w:rsidR="0012305F" w:rsidRDefault="0012305F" w:rsidP="00176DAD">
      <w:pPr>
        <w:ind w:firstLine="0"/>
      </w:pPr>
      <w:r>
        <w:t>Although the split-sampling and interaction analysis provide informative results, each approach has its limitations. In the split-sampling regression, the result may be sensitive to the arbitrary cut-off value. With regard to the interaction analysis, it is assumed that the impact of banking development on the Gini coefficient grows monotonically with the increase in financial or trade openness. To overcome these limitations, we perform a dynamic panel threshold model to</w:t>
      </w:r>
      <w:r w:rsidRPr="00FB4E07">
        <w:t xml:space="preserve"> test the existence of a threshold level of financial </w:t>
      </w:r>
      <w:r>
        <w:t xml:space="preserve">or trade openness </w:t>
      </w:r>
      <w:r w:rsidRPr="00FB4E07">
        <w:t xml:space="preserve">in the </w:t>
      </w:r>
      <w:r>
        <w:t xml:space="preserve">relationship between FD and income inequality. Table 6 presents the estimation result of the dynamic panel threshold model in Eq. 6, where the threshold variable is either financial openness (columns 1 and 3) or trade openness (columns 2 and 4) and </w:t>
      </w:r>
      <w:proofErr w:type="spellStart"/>
      <w:r w:rsidRPr="00C929B3">
        <w:rPr>
          <w:i/>
          <w:iCs/>
        </w:rPr>
        <w:t>PrivateCredit</w:t>
      </w:r>
      <w:proofErr w:type="spellEnd"/>
      <w:r>
        <w:t xml:space="preserve"> or </w:t>
      </w:r>
      <w:proofErr w:type="spellStart"/>
      <w:r w:rsidRPr="00C929B3">
        <w:rPr>
          <w:i/>
          <w:iCs/>
        </w:rPr>
        <w:t>LiquidLiabilities</w:t>
      </w:r>
      <w:proofErr w:type="spellEnd"/>
      <w:r>
        <w:t xml:space="preserve"> measure FD. The first and second rows </w:t>
      </w:r>
      <w:r w:rsidRPr="006470A4">
        <w:t>display</w:t>
      </w:r>
      <w:r>
        <w:t xml:space="preserve"> the estimated FD threshold values and the 95% confidence intervals, respectively</w:t>
      </w:r>
      <w:r w:rsidRPr="006470A4">
        <w:t>.</w:t>
      </w:r>
      <w:r>
        <w:t xml:space="preserve"> </w:t>
      </w:r>
      <w:r w:rsidRPr="000A7B53">
        <w:t xml:space="preserve">The </w:t>
      </w:r>
      <w:r>
        <w:t xml:space="preserve">below-threshold and above-threshold </w:t>
      </w:r>
      <w:r w:rsidRPr="000A7B53">
        <w:t>slope parameter estimates</w:t>
      </w:r>
      <w:r>
        <w:t xml:space="preserve"> illustrate </w:t>
      </w:r>
      <w:r w:rsidRPr="000A7B53">
        <w:t xml:space="preserve">the regime-dependent marginal effects of </w:t>
      </w:r>
      <w:r>
        <w:t>FD</w:t>
      </w:r>
      <w:r w:rsidRPr="000A7B53">
        <w:t xml:space="preserve"> on </w:t>
      </w:r>
      <w:r>
        <w:t>income inequality</w:t>
      </w:r>
      <w:r w:rsidRPr="000A7B53">
        <w:t>.</w:t>
      </w:r>
    </w:p>
    <w:p w14:paraId="61298641" w14:textId="37BE5AA2" w:rsidR="00176DAD" w:rsidRDefault="00176DAD" w:rsidP="00176DAD">
      <w:r>
        <w:t xml:space="preserve">Columns (1) and (3) of Table 6 present the threshold impact of financial openness in the FD-income </w:t>
      </w:r>
      <w:r w:rsidRPr="0060324C">
        <w:t xml:space="preserve">inequality relationship. Regardless of </w:t>
      </w:r>
      <w:r>
        <w:t xml:space="preserve">the </w:t>
      </w:r>
      <w:r w:rsidRPr="0060324C">
        <w:t>FD measurement, the threshold value (financial openness) point estimate is 1.58 with a corresponding 95</w:t>
      </w:r>
      <w:r>
        <w:t>%</w:t>
      </w:r>
      <w:r w:rsidRPr="0060324C">
        <w:t xml:space="preserve"> confidence interval [-0.1, 1.75], which means that observations with financial openness of less than 1.58 are classified into the low financial openness regime, while those with greater values are classified into the high financial openness regime, which includes</w:t>
      </w:r>
      <w:r>
        <w:t xml:space="preserve"> approximately </w:t>
      </w:r>
      <w:r w:rsidRPr="0060324C">
        <w:t xml:space="preserve">13% of observations. </w:t>
      </w:r>
      <w:r>
        <w:t>With regard to</w:t>
      </w:r>
      <w:r w:rsidRPr="0060324C">
        <w:t xml:space="preserve"> the regime-dependent marginal effects, FD appears to have a significantly positive effect on income inequality if financial openness is greater than the threshold value of 1.58. In contrast, the coefficient estimate of FD is insignificant when observations fall below the threshold level. Regarding the control variables, in both columns, the estimated coefficient of </w:t>
      </w:r>
      <w:r w:rsidRPr="0060324C">
        <w:rPr>
          <w:i/>
          <w:iCs/>
        </w:rPr>
        <w:t>FO</w:t>
      </w:r>
      <w:r w:rsidRPr="0060324C">
        <w:t xml:space="preserve"> is significant and negative, suggesting</w:t>
      </w:r>
      <w:r>
        <w:t xml:space="preserve"> </w:t>
      </w:r>
      <w:r w:rsidRPr="00C929B3">
        <w:t xml:space="preserve">that </w:t>
      </w:r>
      <w:r>
        <w:t>an</w:t>
      </w:r>
      <w:r w:rsidRPr="00C929B3">
        <w:t xml:space="preserve"> increase in financial openness </w:t>
      </w:r>
      <w:r>
        <w:t>reduces</w:t>
      </w:r>
      <w:r w:rsidRPr="00C929B3">
        <w:t xml:space="preserve"> income inequality. In addition, consistent with the Kuznets hypothesis, economic growth </w:t>
      </w:r>
      <w:r w:rsidRPr="00C929B3">
        <w:lastRenderedPageBreak/>
        <w:t xml:space="preserve">alleviates income inequality. However, the effect of </w:t>
      </w:r>
      <w:r w:rsidRPr="00C929B3">
        <w:rPr>
          <w:i/>
          <w:iCs/>
        </w:rPr>
        <w:t>growth</w:t>
      </w:r>
      <w:r w:rsidRPr="00C929B3">
        <w:t xml:space="preserve"> on income inequality diminishes when </w:t>
      </w:r>
      <w:r>
        <w:t>a</w:t>
      </w:r>
      <w:r w:rsidRPr="00C929B3">
        <w:t xml:space="preserve"> country’s financial openness increase</w:t>
      </w:r>
      <w:r>
        <w:t>s</w:t>
      </w:r>
      <w:r w:rsidRPr="00C929B3">
        <w:t xml:space="preserve">. Furthermore, </w:t>
      </w:r>
      <w:proofErr w:type="spellStart"/>
      <w:r w:rsidRPr="00C929B3">
        <w:rPr>
          <w:i/>
          <w:iCs/>
        </w:rPr>
        <w:t>GovExp</w:t>
      </w:r>
      <w:proofErr w:type="spellEnd"/>
      <w:r w:rsidRPr="00C929B3">
        <w:t xml:space="preserve"> </w:t>
      </w:r>
      <w:r>
        <w:t>increases</w:t>
      </w:r>
      <w:r w:rsidRPr="00C929B3">
        <w:t xml:space="preserve"> income inequality.</w:t>
      </w:r>
      <w:r>
        <w:t xml:space="preserve"> A</w:t>
      </w:r>
      <w:r w:rsidRPr="00C929B3">
        <w:t xml:space="preserve"> previous study</w:t>
      </w:r>
      <w:r>
        <w:t xml:space="preserve"> by</w:t>
      </w:r>
      <w:r w:rsidRPr="00C929B3">
        <w:t xml:space="preserve"> </w:t>
      </w:r>
      <w:r w:rsidRPr="00C929B3">
        <w:fldChar w:fldCharType="begin" w:fldLock="1"/>
      </w:r>
      <w:r>
        <w:instrText>ADDIN CSL_CITATION {"citationItems":[{"id":"ITEM-1","itemData":{"DOI":"10.1017/S1365100512000843","ISSN":"1365-1005","abstract":"This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Dynamics","id":"ITEM-1","issue":"5","issued":{"date-parts":[["2014"]]},"page":"1091-1128","publisher":"Cambridge University Press","title":"FINANCE AND INEQUALITY: HOW DOES GLOBALIZATION CHANGE THEIR RELATIONSHIP?","type":"article-journal","volume":"18"},"uris":["http://www.mendeley.com/documents/?uuid=8098cfdc-f149-3010-b8b3-1439aebcb663"]}],"mendeley":{"formattedCitation":"(Kunieda et al., 2014)","manualFormatting":"Kunieda et al. (2014)","plainTextFormattedCitation":"(Kunieda et al., 2014)","previouslyFormattedCitation":"(Kunieda et al., 2014)"},"properties":{"noteIndex":0},"schema":"https://github.com/citation-style-language/schema/raw/master/csl-citation.json"}</w:instrText>
      </w:r>
      <w:r w:rsidRPr="00C929B3">
        <w:fldChar w:fldCharType="separate"/>
      </w:r>
      <w:r w:rsidRPr="00C929B3">
        <w:rPr>
          <w:noProof/>
        </w:rPr>
        <w:t xml:space="preserve">Kunieda et al. </w:t>
      </w:r>
      <w:r>
        <w:rPr>
          <w:noProof/>
        </w:rPr>
        <w:t>(</w:t>
      </w:r>
      <w:r w:rsidRPr="00C929B3">
        <w:rPr>
          <w:noProof/>
        </w:rPr>
        <w:t>2014)</w:t>
      </w:r>
      <w:r w:rsidRPr="00C929B3">
        <w:fldChar w:fldCharType="end"/>
      </w:r>
      <w:r w:rsidRPr="00C929B3">
        <w:t xml:space="preserve"> has examined the impact of financial openness on FD-income inequality, although, to the best of our knowledge, the dynamic panel threshold method has not been used to examine the FD-FO-income inequality nexus.</w:t>
      </w:r>
    </w:p>
    <w:p w14:paraId="70013C8A" w14:textId="6D529DED" w:rsidR="0012305F" w:rsidRPr="007B722A" w:rsidRDefault="0012305F" w:rsidP="0012305F">
      <w:pPr>
        <w:pStyle w:val="Caption"/>
        <w:jc w:val="center"/>
        <w:rPr>
          <w:rFonts w:cstheme="majorBidi"/>
          <w:b/>
          <w:bCs/>
          <w:i w:val="0"/>
          <w:iCs w:val="0"/>
          <w:color w:val="auto"/>
          <w:sz w:val="32"/>
          <w:szCs w:val="32"/>
        </w:rPr>
      </w:pPr>
      <w:r w:rsidRPr="007B722A">
        <w:rPr>
          <w:rFonts w:cstheme="majorBidi"/>
          <w:b/>
          <w:bCs/>
          <w:i w:val="0"/>
          <w:iCs w:val="0"/>
          <w:color w:val="auto"/>
          <w:sz w:val="22"/>
          <w:szCs w:val="22"/>
        </w:rPr>
        <w:t xml:space="preserve">Table </w:t>
      </w:r>
      <w:r w:rsidRPr="007B722A">
        <w:rPr>
          <w:rFonts w:cstheme="majorBidi"/>
          <w:b/>
          <w:bCs/>
          <w:i w:val="0"/>
          <w:iCs w:val="0"/>
          <w:color w:val="auto"/>
          <w:sz w:val="22"/>
          <w:szCs w:val="22"/>
        </w:rPr>
        <w:fldChar w:fldCharType="begin"/>
      </w:r>
      <w:r w:rsidRPr="007B722A">
        <w:rPr>
          <w:rFonts w:cstheme="majorBidi"/>
          <w:b/>
          <w:bCs/>
          <w:i w:val="0"/>
          <w:iCs w:val="0"/>
          <w:color w:val="auto"/>
          <w:sz w:val="22"/>
          <w:szCs w:val="22"/>
        </w:rPr>
        <w:instrText xml:space="preserve"> SEQ Table \* ARABIC </w:instrText>
      </w:r>
      <w:r w:rsidRPr="007B722A">
        <w:rPr>
          <w:rFonts w:cstheme="majorBidi"/>
          <w:b/>
          <w:bCs/>
          <w:i w:val="0"/>
          <w:iCs w:val="0"/>
          <w:color w:val="auto"/>
          <w:sz w:val="22"/>
          <w:szCs w:val="22"/>
        </w:rPr>
        <w:fldChar w:fldCharType="separate"/>
      </w:r>
      <w:r w:rsidR="00FB12E6">
        <w:rPr>
          <w:rFonts w:cstheme="majorBidi"/>
          <w:b/>
          <w:bCs/>
          <w:i w:val="0"/>
          <w:iCs w:val="0"/>
          <w:noProof/>
          <w:color w:val="auto"/>
          <w:sz w:val="22"/>
          <w:szCs w:val="22"/>
        </w:rPr>
        <w:t>6</w:t>
      </w:r>
      <w:r w:rsidRPr="007B722A">
        <w:rPr>
          <w:rFonts w:cstheme="majorBidi"/>
          <w:b/>
          <w:bCs/>
          <w:i w:val="0"/>
          <w:iCs w:val="0"/>
          <w:color w:val="auto"/>
          <w:sz w:val="22"/>
          <w:szCs w:val="22"/>
        </w:rPr>
        <w:fldChar w:fldCharType="end"/>
      </w:r>
      <w:r w:rsidR="00176DAD" w:rsidRPr="007B722A">
        <w:rPr>
          <w:rFonts w:cstheme="majorBidi"/>
          <w:b/>
          <w:bCs/>
          <w:i w:val="0"/>
          <w:iCs w:val="0"/>
          <w:color w:val="auto"/>
          <w:sz w:val="22"/>
          <w:szCs w:val="22"/>
        </w:rPr>
        <w:t>.</w:t>
      </w:r>
      <w:r w:rsidRPr="007B722A">
        <w:rPr>
          <w:rFonts w:cstheme="majorBidi"/>
          <w:b/>
          <w:bCs/>
          <w:i w:val="0"/>
          <w:iCs w:val="0"/>
          <w:color w:val="auto"/>
          <w:sz w:val="22"/>
          <w:szCs w:val="22"/>
        </w:rPr>
        <w:t xml:space="preserve"> Income inequality, FD and Openness (Dynamic panel threshold model)</w:t>
      </w:r>
    </w:p>
    <w:tbl>
      <w:tblPr>
        <w:tblW w:w="9426" w:type="dxa"/>
        <w:tblLook w:val="04A0" w:firstRow="1" w:lastRow="0" w:firstColumn="1" w:lastColumn="0" w:noHBand="0" w:noVBand="1"/>
      </w:tblPr>
      <w:tblGrid>
        <w:gridCol w:w="2570"/>
        <w:gridCol w:w="1756"/>
        <w:gridCol w:w="1672"/>
        <w:gridCol w:w="1756"/>
        <w:gridCol w:w="1672"/>
      </w:tblGrid>
      <w:tr w:rsidR="0012305F" w:rsidRPr="001B144C" w14:paraId="074BF261" w14:textId="77777777" w:rsidTr="00354437">
        <w:trPr>
          <w:trHeight w:hRule="exact" w:val="255"/>
        </w:trPr>
        <w:tc>
          <w:tcPr>
            <w:tcW w:w="2570" w:type="dxa"/>
            <w:tcBorders>
              <w:top w:val="nil"/>
              <w:left w:val="nil"/>
              <w:bottom w:val="nil"/>
              <w:right w:val="nil"/>
            </w:tcBorders>
            <w:shd w:val="clear" w:color="auto" w:fill="auto"/>
            <w:noWrap/>
            <w:vAlign w:val="bottom"/>
            <w:hideMark/>
          </w:tcPr>
          <w:p w14:paraId="7A7C759D" w14:textId="77777777" w:rsidR="0012305F" w:rsidRPr="001B144C"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3428" w:type="dxa"/>
            <w:gridSpan w:val="2"/>
            <w:tcBorders>
              <w:top w:val="nil"/>
              <w:left w:val="nil"/>
              <w:bottom w:val="single" w:sz="4" w:space="0" w:color="auto"/>
              <w:right w:val="nil"/>
            </w:tcBorders>
            <w:shd w:val="clear" w:color="auto" w:fill="auto"/>
            <w:noWrap/>
            <w:vAlign w:val="bottom"/>
            <w:hideMark/>
          </w:tcPr>
          <w:p w14:paraId="13B8EF11"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PrivateCredit</w:t>
            </w:r>
            <w:proofErr w:type="spellEnd"/>
          </w:p>
        </w:tc>
        <w:tc>
          <w:tcPr>
            <w:tcW w:w="3428" w:type="dxa"/>
            <w:gridSpan w:val="2"/>
            <w:tcBorders>
              <w:top w:val="nil"/>
              <w:left w:val="nil"/>
              <w:bottom w:val="single" w:sz="4" w:space="0" w:color="auto"/>
              <w:right w:val="nil"/>
            </w:tcBorders>
            <w:shd w:val="clear" w:color="auto" w:fill="auto"/>
            <w:noWrap/>
            <w:vAlign w:val="bottom"/>
            <w:hideMark/>
          </w:tcPr>
          <w:p w14:paraId="38B8095C"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roofErr w:type="spellStart"/>
            <w:r>
              <w:rPr>
                <w:rFonts w:ascii="Times New Roman" w:eastAsia="Times New Roman" w:hAnsi="Times New Roman" w:cs="Times New Roman"/>
                <w:color w:val="000000"/>
                <w:sz w:val="20"/>
                <w:szCs w:val="20"/>
                <w:lang w:eastAsia="en-NZ"/>
              </w:rPr>
              <w:t>LiquidLiabilities</w:t>
            </w:r>
            <w:proofErr w:type="spellEnd"/>
          </w:p>
        </w:tc>
      </w:tr>
      <w:tr w:rsidR="0012305F" w:rsidRPr="001B144C" w14:paraId="61191725" w14:textId="77777777" w:rsidTr="00354437">
        <w:trPr>
          <w:trHeight w:hRule="exact" w:val="529"/>
        </w:trPr>
        <w:tc>
          <w:tcPr>
            <w:tcW w:w="2570" w:type="dxa"/>
            <w:tcBorders>
              <w:top w:val="nil"/>
              <w:left w:val="nil"/>
              <w:bottom w:val="nil"/>
              <w:right w:val="nil"/>
            </w:tcBorders>
            <w:shd w:val="clear" w:color="auto" w:fill="auto"/>
            <w:noWrap/>
            <w:vAlign w:val="bottom"/>
            <w:hideMark/>
          </w:tcPr>
          <w:p w14:paraId="079E328E"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single" w:sz="4" w:space="0" w:color="auto"/>
              <w:left w:val="nil"/>
              <w:bottom w:val="nil"/>
              <w:right w:val="nil"/>
            </w:tcBorders>
            <w:shd w:val="clear" w:color="auto" w:fill="auto"/>
            <w:noWrap/>
            <w:vAlign w:val="bottom"/>
            <w:hideMark/>
          </w:tcPr>
          <w:p w14:paraId="5B0637B8" w14:textId="77777777" w:rsidR="001230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(1)</w:t>
            </w:r>
          </w:p>
          <w:p w14:paraId="18946849"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FO</w:t>
            </w:r>
          </w:p>
        </w:tc>
        <w:tc>
          <w:tcPr>
            <w:tcW w:w="1672" w:type="dxa"/>
            <w:tcBorders>
              <w:top w:val="single" w:sz="4" w:space="0" w:color="auto"/>
              <w:left w:val="nil"/>
              <w:bottom w:val="nil"/>
              <w:right w:val="nil"/>
            </w:tcBorders>
            <w:shd w:val="clear" w:color="auto" w:fill="auto"/>
            <w:noWrap/>
            <w:vAlign w:val="bottom"/>
            <w:hideMark/>
          </w:tcPr>
          <w:p w14:paraId="10717537" w14:textId="77777777" w:rsidR="001230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(2)</w:t>
            </w:r>
          </w:p>
          <w:p w14:paraId="6BAA7766"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TO</w:t>
            </w:r>
          </w:p>
        </w:tc>
        <w:tc>
          <w:tcPr>
            <w:tcW w:w="1756" w:type="dxa"/>
            <w:tcBorders>
              <w:top w:val="single" w:sz="4" w:space="0" w:color="auto"/>
              <w:left w:val="nil"/>
              <w:bottom w:val="nil"/>
              <w:right w:val="nil"/>
            </w:tcBorders>
            <w:shd w:val="clear" w:color="auto" w:fill="auto"/>
            <w:noWrap/>
            <w:vAlign w:val="bottom"/>
            <w:hideMark/>
          </w:tcPr>
          <w:p w14:paraId="05B37BA5" w14:textId="77777777" w:rsidR="001230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(3)</w:t>
            </w:r>
          </w:p>
          <w:p w14:paraId="519B1885"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FO</w:t>
            </w:r>
          </w:p>
        </w:tc>
        <w:tc>
          <w:tcPr>
            <w:tcW w:w="1672" w:type="dxa"/>
            <w:tcBorders>
              <w:top w:val="single" w:sz="4" w:space="0" w:color="auto"/>
              <w:left w:val="nil"/>
              <w:bottom w:val="nil"/>
              <w:right w:val="nil"/>
            </w:tcBorders>
            <w:shd w:val="clear" w:color="auto" w:fill="auto"/>
            <w:noWrap/>
            <w:vAlign w:val="bottom"/>
            <w:hideMark/>
          </w:tcPr>
          <w:p w14:paraId="46088D45" w14:textId="77777777" w:rsidR="0012305F"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(4)</w:t>
            </w:r>
          </w:p>
          <w:p w14:paraId="51205992"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 xml:space="preserve">FO   </w:t>
            </w:r>
          </w:p>
        </w:tc>
      </w:tr>
      <w:tr w:rsidR="0012305F" w:rsidRPr="001B144C" w14:paraId="32EE3434" w14:textId="77777777" w:rsidTr="00354437">
        <w:trPr>
          <w:trHeight w:hRule="exact" w:val="76"/>
        </w:trPr>
        <w:tc>
          <w:tcPr>
            <w:tcW w:w="2570" w:type="dxa"/>
            <w:tcBorders>
              <w:top w:val="nil"/>
              <w:left w:val="nil"/>
              <w:bottom w:val="single" w:sz="4" w:space="0" w:color="auto"/>
              <w:right w:val="nil"/>
            </w:tcBorders>
            <w:shd w:val="clear" w:color="auto" w:fill="auto"/>
            <w:noWrap/>
            <w:vAlign w:val="bottom"/>
            <w:hideMark/>
          </w:tcPr>
          <w:p w14:paraId="1A99CFDE"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single" w:sz="4" w:space="0" w:color="auto"/>
              <w:right w:val="nil"/>
            </w:tcBorders>
            <w:shd w:val="clear" w:color="auto" w:fill="auto"/>
            <w:noWrap/>
            <w:vAlign w:val="bottom"/>
            <w:hideMark/>
          </w:tcPr>
          <w:p w14:paraId="19C840EE" w14:textId="77777777" w:rsidR="0012305F" w:rsidRPr="001B144C"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672" w:type="dxa"/>
            <w:tcBorders>
              <w:top w:val="nil"/>
              <w:left w:val="nil"/>
              <w:bottom w:val="single" w:sz="4" w:space="0" w:color="auto"/>
              <w:right w:val="nil"/>
            </w:tcBorders>
            <w:shd w:val="clear" w:color="auto" w:fill="auto"/>
            <w:noWrap/>
            <w:vAlign w:val="bottom"/>
            <w:hideMark/>
          </w:tcPr>
          <w:p w14:paraId="326FB6AA"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756" w:type="dxa"/>
            <w:tcBorders>
              <w:top w:val="nil"/>
              <w:left w:val="nil"/>
              <w:bottom w:val="single" w:sz="4" w:space="0" w:color="auto"/>
              <w:right w:val="nil"/>
            </w:tcBorders>
            <w:shd w:val="clear" w:color="auto" w:fill="auto"/>
            <w:noWrap/>
            <w:vAlign w:val="bottom"/>
            <w:hideMark/>
          </w:tcPr>
          <w:p w14:paraId="02BF6730"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672" w:type="dxa"/>
            <w:tcBorders>
              <w:top w:val="nil"/>
              <w:left w:val="nil"/>
              <w:bottom w:val="single" w:sz="4" w:space="0" w:color="auto"/>
              <w:right w:val="nil"/>
            </w:tcBorders>
            <w:shd w:val="clear" w:color="auto" w:fill="auto"/>
            <w:noWrap/>
            <w:vAlign w:val="bottom"/>
            <w:hideMark/>
          </w:tcPr>
          <w:p w14:paraId="03E63E3C"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r>
      <w:tr w:rsidR="0012305F" w:rsidRPr="001B144C" w14:paraId="471A3EAF" w14:textId="77777777" w:rsidTr="00354437">
        <w:trPr>
          <w:trHeight w:hRule="exact" w:val="255"/>
        </w:trPr>
        <w:tc>
          <w:tcPr>
            <w:tcW w:w="2570" w:type="dxa"/>
            <w:tcBorders>
              <w:top w:val="single" w:sz="4" w:space="0" w:color="auto"/>
              <w:left w:val="nil"/>
              <w:bottom w:val="nil"/>
              <w:right w:val="nil"/>
            </w:tcBorders>
            <w:shd w:val="clear" w:color="auto" w:fill="auto"/>
            <w:noWrap/>
            <w:vAlign w:val="bottom"/>
            <w:hideMark/>
          </w:tcPr>
          <w:p w14:paraId="77558665"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Threshold</w:t>
            </w:r>
          </w:p>
        </w:tc>
        <w:tc>
          <w:tcPr>
            <w:tcW w:w="1756" w:type="dxa"/>
            <w:tcBorders>
              <w:top w:val="single" w:sz="4" w:space="0" w:color="auto"/>
              <w:left w:val="nil"/>
              <w:bottom w:val="nil"/>
              <w:right w:val="nil"/>
            </w:tcBorders>
            <w:shd w:val="clear" w:color="auto" w:fill="auto"/>
            <w:noWrap/>
            <w:vAlign w:val="bottom"/>
            <w:hideMark/>
          </w:tcPr>
          <w:p w14:paraId="2711C7A4"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1.5798</w:t>
            </w:r>
          </w:p>
        </w:tc>
        <w:tc>
          <w:tcPr>
            <w:tcW w:w="1672" w:type="dxa"/>
            <w:tcBorders>
              <w:top w:val="single" w:sz="4" w:space="0" w:color="auto"/>
              <w:left w:val="nil"/>
              <w:bottom w:val="nil"/>
              <w:right w:val="nil"/>
            </w:tcBorders>
            <w:shd w:val="clear" w:color="auto" w:fill="auto"/>
            <w:noWrap/>
            <w:vAlign w:val="bottom"/>
            <w:hideMark/>
          </w:tcPr>
          <w:p w14:paraId="7024B2DF"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3.9382</w:t>
            </w:r>
          </w:p>
        </w:tc>
        <w:tc>
          <w:tcPr>
            <w:tcW w:w="1756" w:type="dxa"/>
            <w:tcBorders>
              <w:top w:val="single" w:sz="4" w:space="0" w:color="auto"/>
              <w:left w:val="nil"/>
              <w:bottom w:val="nil"/>
              <w:right w:val="nil"/>
            </w:tcBorders>
            <w:shd w:val="clear" w:color="auto" w:fill="auto"/>
            <w:noWrap/>
            <w:vAlign w:val="bottom"/>
            <w:hideMark/>
          </w:tcPr>
          <w:p w14:paraId="4AEEFC1D"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1.5798</w:t>
            </w:r>
          </w:p>
        </w:tc>
        <w:tc>
          <w:tcPr>
            <w:tcW w:w="1672" w:type="dxa"/>
            <w:tcBorders>
              <w:top w:val="single" w:sz="4" w:space="0" w:color="auto"/>
              <w:left w:val="nil"/>
              <w:bottom w:val="nil"/>
              <w:right w:val="nil"/>
            </w:tcBorders>
            <w:shd w:val="clear" w:color="auto" w:fill="auto"/>
            <w:noWrap/>
            <w:vAlign w:val="bottom"/>
            <w:hideMark/>
          </w:tcPr>
          <w:p w14:paraId="4D4ABBFA"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3.9382</w:t>
            </w:r>
          </w:p>
        </w:tc>
      </w:tr>
      <w:tr w:rsidR="0012305F" w:rsidRPr="001B144C" w14:paraId="6FE18D7B" w14:textId="77777777" w:rsidTr="00354437">
        <w:trPr>
          <w:trHeight w:hRule="exact" w:val="255"/>
        </w:trPr>
        <w:tc>
          <w:tcPr>
            <w:tcW w:w="2570" w:type="dxa"/>
            <w:tcBorders>
              <w:top w:val="nil"/>
              <w:left w:val="nil"/>
              <w:bottom w:val="nil"/>
              <w:right w:val="nil"/>
            </w:tcBorders>
            <w:shd w:val="clear" w:color="auto" w:fill="auto"/>
            <w:noWrap/>
            <w:vAlign w:val="bottom"/>
            <w:hideMark/>
          </w:tcPr>
          <w:p w14:paraId="54E3A9BF"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95% confidence interval</w:t>
            </w:r>
          </w:p>
        </w:tc>
        <w:tc>
          <w:tcPr>
            <w:tcW w:w="1756" w:type="dxa"/>
            <w:tcBorders>
              <w:top w:val="nil"/>
              <w:left w:val="nil"/>
              <w:bottom w:val="nil"/>
              <w:right w:val="nil"/>
            </w:tcBorders>
            <w:shd w:val="clear" w:color="auto" w:fill="auto"/>
            <w:noWrap/>
            <w:vAlign w:val="bottom"/>
            <w:hideMark/>
          </w:tcPr>
          <w:p w14:paraId="3CF3ECFD"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[-0.0979,1.7466]</w:t>
            </w:r>
          </w:p>
        </w:tc>
        <w:tc>
          <w:tcPr>
            <w:tcW w:w="1672" w:type="dxa"/>
            <w:tcBorders>
              <w:top w:val="nil"/>
              <w:left w:val="nil"/>
              <w:bottom w:val="nil"/>
              <w:right w:val="nil"/>
            </w:tcBorders>
            <w:shd w:val="clear" w:color="auto" w:fill="auto"/>
            <w:noWrap/>
            <w:vAlign w:val="bottom"/>
            <w:hideMark/>
          </w:tcPr>
          <w:p w14:paraId="74D76F43"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[3.6001,4.9366]</w:t>
            </w:r>
          </w:p>
        </w:tc>
        <w:tc>
          <w:tcPr>
            <w:tcW w:w="1756" w:type="dxa"/>
            <w:tcBorders>
              <w:top w:val="nil"/>
              <w:left w:val="nil"/>
              <w:bottom w:val="nil"/>
              <w:right w:val="nil"/>
            </w:tcBorders>
            <w:shd w:val="clear" w:color="auto" w:fill="auto"/>
            <w:noWrap/>
            <w:vAlign w:val="bottom"/>
            <w:hideMark/>
          </w:tcPr>
          <w:p w14:paraId="07D456E1"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[-0.0979,1.7466]</w:t>
            </w:r>
          </w:p>
        </w:tc>
        <w:tc>
          <w:tcPr>
            <w:tcW w:w="1672" w:type="dxa"/>
            <w:tcBorders>
              <w:top w:val="nil"/>
              <w:left w:val="nil"/>
              <w:bottom w:val="nil"/>
              <w:right w:val="nil"/>
            </w:tcBorders>
            <w:shd w:val="clear" w:color="auto" w:fill="auto"/>
            <w:noWrap/>
            <w:vAlign w:val="bottom"/>
            <w:hideMark/>
          </w:tcPr>
          <w:p w14:paraId="78159AD3"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[3.6001,4.9366]</w:t>
            </w:r>
          </w:p>
        </w:tc>
      </w:tr>
      <w:tr w:rsidR="0012305F" w:rsidRPr="001B144C" w14:paraId="191AB3DE" w14:textId="77777777" w:rsidTr="00354437">
        <w:trPr>
          <w:trHeight w:hRule="exact" w:val="255"/>
        </w:trPr>
        <w:tc>
          <w:tcPr>
            <w:tcW w:w="2570" w:type="dxa"/>
            <w:tcBorders>
              <w:top w:val="nil"/>
              <w:left w:val="nil"/>
              <w:bottom w:val="nil"/>
              <w:right w:val="nil"/>
            </w:tcBorders>
            <w:shd w:val="clear" w:color="auto" w:fill="auto"/>
            <w:noWrap/>
            <w:vAlign w:val="bottom"/>
            <w:hideMark/>
          </w:tcPr>
          <w:p w14:paraId="3AFD9933"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2DEB1A90" w14:textId="77777777" w:rsidR="0012305F" w:rsidRPr="001B144C" w:rsidRDefault="0012305F" w:rsidP="00354437">
            <w:pPr>
              <w:spacing w:after="0" w:line="240" w:lineRule="auto"/>
              <w:ind w:firstLine="0"/>
              <w:jc w:val="left"/>
              <w:rPr>
                <w:rFonts w:ascii="Times New Roman" w:eastAsia="Times New Roman" w:hAnsi="Times New Roman" w:cs="Times New Roman"/>
                <w:sz w:val="20"/>
                <w:szCs w:val="20"/>
                <w:lang w:eastAsia="en-NZ"/>
              </w:rPr>
            </w:pPr>
          </w:p>
        </w:tc>
        <w:tc>
          <w:tcPr>
            <w:tcW w:w="1672" w:type="dxa"/>
            <w:tcBorders>
              <w:top w:val="nil"/>
              <w:left w:val="nil"/>
              <w:bottom w:val="nil"/>
              <w:right w:val="nil"/>
            </w:tcBorders>
            <w:shd w:val="clear" w:color="auto" w:fill="auto"/>
            <w:noWrap/>
            <w:vAlign w:val="bottom"/>
            <w:hideMark/>
          </w:tcPr>
          <w:p w14:paraId="2F66C268"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756" w:type="dxa"/>
            <w:tcBorders>
              <w:top w:val="nil"/>
              <w:left w:val="nil"/>
              <w:bottom w:val="nil"/>
              <w:right w:val="nil"/>
            </w:tcBorders>
            <w:shd w:val="clear" w:color="auto" w:fill="auto"/>
            <w:noWrap/>
            <w:vAlign w:val="bottom"/>
            <w:hideMark/>
          </w:tcPr>
          <w:p w14:paraId="143CDD2F"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672" w:type="dxa"/>
            <w:tcBorders>
              <w:top w:val="nil"/>
              <w:left w:val="nil"/>
              <w:bottom w:val="nil"/>
              <w:right w:val="nil"/>
            </w:tcBorders>
            <w:shd w:val="clear" w:color="auto" w:fill="auto"/>
            <w:noWrap/>
            <w:vAlign w:val="bottom"/>
            <w:hideMark/>
          </w:tcPr>
          <w:p w14:paraId="7DFE1FE6"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r>
      <w:tr w:rsidR="0012305F" w:rsidRPr="001B144C" w14:paraId="02E819F7" w14:textId="77777777" w:rsidTr="00354437">
        <w:trPr>
          <w:trHeight w:hRule="exact" w:val="255"/>
        </w:trPr>
        <w:tc>
          <w:tcPr>
            <w:tcW w:w="2570" w:type="dxa"/>
            <w:tcBorders>
              <w:top w:val="nil"/>
              <w:left w:val="nil"/>
              <w:bottom w:val="nil"/>
              <w:right w:val="nil"/>
            </w:tcBorders>
            <w:shd w:val="clear" w:color="auto" w:fill="auto"/>
            <w:noWrap/>
            <w:vAlign w:val="bottom"/>
            <w:hideMark/>
          </w:tcPr>
          <w:p w14:paraId="3073021F"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Impact of F</w:t>
            </w:r>
            <w:r>
              <w:rPr>
                <w:rFonts w:ascii="Times New Roman" w:eastAsia="Times New Roman" w:hAnsi="Times New Roman" w:cs="Times New Roman"/>
                <w:color w:val="000000"/>
                <w:sz w:val="20"/>
                <w:szCs w:val="20"/>
                <w:lang w:eastAsia="en-NZ"/>
              </w:rPr>
              <w:t>D</w:t>
            </w:r>
            <w:r w:rsidRPr="001B144C">
              <w:rPr>
                <w:rFonts w:ascii="Times New Roman" w:eastAsia="Times New Roman" w:hAnsi="Times New Roman" w:cs="Times New Roman"/>
                <w:color w:val="000000"/>
                <w:sz w:val="20"/>
                <w:szCs w:val="20"/>
                <w:lang w:eastAsia="en-NZ"/>
              </w:rPr>
              <w:t>:</w:t>
            </w:r>
          </w:p>
        </w:tc>
        <w:tc>
          <w:tcPr>
            <w:tcW w:w="1756" w:type="dxa"/>
            <w:tcBorders>
              <w:top w:val="nil"/>
              <w:left w:val="nil"/>
              <w:bottom w:val="nil"/>
              <w:right w:val="nil"/>
            </w:tcBorders>
            <w:shd w:val="clear" w:color="auto" w:fill="auto"/>
            <w:noWrap/>
            <w:vAlign w:val="bottom"/>
            <w:hideMark/>
          </w:tcPr>
          <w:p w14:paraId="47253B20"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672" w:type="dxa"/>
            <w:tcBorders>
              <w:top w:val="nil"/>
              <w:left w:val="nil"/>
              <w:bottom w:val="nil"/>
              <w:right w:val="nil"/>
            </w:tcBorders>
            <w:shd w:val="clear" w:color="auto" w:fill="auto"/>
            <w:noWrap/>
            <w:vAlign w:val="bottom"/>
            <w:hideMark/>
          </w:tcPr>
          <w:p w14:paraId="7A5A089F"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756" w:type="dxa"/>
            <w:tcBorders>
              <w:top w:val="nil"/>
              <w:left w:val="nil"/>
              <w:bottom w:val="nil"/>
              <w:right w:val="nil"/>
            </w:tcBorders>
            <w:shd w:val="clear" w:color="auto" w:fill="auto"/>
            <w:noWrap/>
            <w:vAlign w:val="bottom"/>
            <w:hideMark/>
          </w:tcPr>
          <w:p w14:paraId="6B09BF55"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672" w:type="dxa"/>
            <w:tcBorders>
              <w:top w:val="nil"/>
              <w:left w:val="nil"/>
              <w:bottom w:val="nil"/>
              <w:right w:val="nil"/>
            </w:tcBorders>
            <w:shd w:val="clear" w:color="auto" w:fill="auto"/>
            <w:noWrap/>
            <w:vAlign w:val="bottom"/>
            <w:hideMark/>
          </w:tcPr>
          <w:p w14:paraId="6FFE1E94" w14:textId="77777777" w:rsidR="0012305F" w:rsidRPr="001B144C" w:rsidRDefault="0012305F" w:rsidP="00354437">
            <w:pPr>
              <w:spacing w:after="0" w:line="240" w:lineRule="auto"/>
              <w:ind w:firstLine="0"/>
              <w:jc w:val="center"/>
              <w:rPr>
                <w:rFonts w:ascii="Times New Roman" w:eastAsia="Times New Roman" w:hAnsi="Times New Roman" w:cs="Times New Roman"/>
                <w:sz w:val="20"/>
                <w:szCs w:val="20"/>
                <w:lang w:eastAsia="en-NZ"/>
              </w:rPr>
            </w:pPr>
          </w:p>
        </w:tc>
      </w:tr>
      <w:tr w:rsidR="0012305F" w:rsidRPr="001B144C" w14:paraId="37F4F8FA" w14:textId="77777777" w:rsidTr="00354437">
        <w:trPr>
          <w:trHeight w:hRule="exact" w:val="255"/>
        </w:trPr>
        <w:tc>
          <w:tcPr>
            <w:tcW w:w="2570" w:type="dxa"/>
            <w:tcBorders>
              <w:top w:val="nil"/>
              <w:left w:val="nil"/>
              <w:bottom w:val="nil"/>
              <w:right w:val="nil"/>
            </w:tcBorders>
            <w:shd w:val="clear" w:color="auto" w:fill="auto"/>
            <w:noWrap/>
            <w:vAlign w:val="bottom"/>
            <w:hideMark/>
          </w:tcPr>
          <w:p w14:paraId="1D38D87F"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Below threshold</w:t>
            </w:r>
          </w:p>
        </w:tc>
        <w:tc>
          <w:tcPr>
            <w:tcW w:w="1756" w:type="dxa"/>
            <w:tcBorders>
              <w:top w:val="nil"/>
              <w:left w:val="nil"/>
              <w:bottom w:val="nil"/>
              <w:right w:val="nil"/>
            </w:tcBorders>
            <w:shd w:val="clear" w:color="auto" w:fill="auto"/>
            <w:noWrap/>
            <w:vAlign w:val="bottom"/>
            <w:hideMark/>
          </w:tcPr>
          <w:p w14:paraId="28D649B8"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-0.0014</w:t>
            </w:r>
          </w:p>
        </w:tc>
        <w:tc>
          <w:tcPr>
            <w:tcW w:w="1672" w:type="dxa"/>
            <w:tcBorders>
              <w:top w:val="nil"/>
              <w:left w:val="nil"/>
              <w:bottom w:val="nil"/>
              <w:right w:val="nil"/>
            </w:tcBorders>
            <w:shd w:val="clear" w:color="auto" w:fill="auto"/>
            <w:noWrap/>
            <w:vAlign w:val="bottom"/>
            <w:hideMark/>
          </w:tcPr>
          <w:p w14:paraId="3FD6F08F"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0.0058</w:t>
            </w:r>
          </w:p>
        </w:tc>
        <w:tc>
          <w:tcPr>
            <w:tcW w:w="1756" w:type="dxa"/>
            <w:tcBorders>
              <w:top w:val="nil"/>
              <w:left w:val="nil"/>
              <w:bottom w:val="nil"/>
              <w:right w:val="nil"/>
            </w:tcBorders>
            <w:shd w:val="clear" w:color="auto" w:fill="auto"/>
            <w:noWrap/>
            <w:vAlign w:val="bottom"/>
            <w:hideMark/>
          </w:tcPr>
          <w:p w14:paraId="33D77A30"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0.0056</w:t>
            </w:r>
          </w:p>
        </w:tc>
        <w:tc>
          <w:tcPr>
            <w:tcW w:w="1672" w:type="dxa"/>
            <w:tcBorders>
              <w:top w:val="nil"/>
              <w:left w:val="nil"/>
              <w:bottom w:val="nil"/>
              <w:right w:val="nil"/>
            </w:tcBorders>
            <w:shd w:val="clear" w:color="auto" w:fill="auto"/>
            <w:noWrap/>
            <w:vAlign w:val="bottom"/>
            <w:hideMark/>
          </w:tcPr>
          <w:p w14:paraId="6C774DEA"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0.017</w:t>
            </w:r>
          </w:p>
        </w:tc>
      </w:tr>
      <w:tr w:rsidR="0012305F" w:rsidRPr="001B144C" w14:paraId="44DC86E6" w14:textId="77777777" w:rsidTr="00354437">
        <w:trPr>
          <w:trHeight w:hRule="exact" w:val="255"/>
        </w:trPr>
        <w:tc>
          <w:tcPr>
            <w:tcW w:w="2570" w:type="dxa"/>
            <w:tcBorders>
              <w:top w:val="nil"/>
              <w:left w:val="nil"/>
              <w:bottom w:val="nil"/>
              <w:right w:val="nil"/>
            </w:tcBorders>
            <w:shd w:val="clear" w:color="auto" w:fill="auto"/>
            <w:noWrap/>
            <w:vAlign w:val="bottom"/>
            <w:hideMark/>
          </w:tcPr>
          <w:p w14:paraId="4C00691C"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46CD2C4A"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(0.0067)</w:t>
            </w:r>
          </w:p>
        </w:tc>
        <w:tc>
          <w:tcPr>
            <w:tcW w:w="1672" w:type="dxa"/>
            <w:tcBorders>
              <w:top w:val="nil"/>
              <w:left w:val="nil"/>
              <w:bottom w:val="nil"/>
              <w:right w:val="nil"/>
            </w:tcBorders>
            <w:shd w:val="clear" w:color="auto" w:fill="auto"/>
            <w:noWrap/>
            <w:vAlign w:val="bottom"/>
            <w:hideMark/>
          </w:tcPr>
          <w:p w14:paraId="4828F9E9"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(0.0054)</w:t>
            </w:r>
          </w:p>
        </w:tc>
        <w:tc>
          <w:tcPr>
            <w:tcW w:w="1756" w:type="dxa"/>
            <w:tcBorders>
              <w:top w:val="nil"/>
              <w:left w:val="nil"/>
              <w:bottom w:val="nil"/>
              <w:right w:val="nil"/>
            </w:tcBorders>
            <w:shd w:val="clear" w:color="auto" w:fill="auto"/>
            <w:noWrap/>
            <w:vAlign w:val="bottom"/>
            <w:hideMark/>
          </w:tcPr>
          <w:p w14:paraId="6708301E"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(0.0131)</w:t>
            </w:r>
          </w:p>
        </w:tc>
        <w:tc>
          <w:tcPr>
            <w:tcW w:w="1672" w:type="dxa"/>
            <w:tcBorders>
              <w:top w:val="nil"/>
              <w:left w:val="nil"/>
              <w:bottom w:val="nil"/>
              <w:right w:val="nil"/>
            </w:tcBorders>
            <w:shd w:val="clear" w:color="auto" w:fill="auto"/>
            <w:noWrap/>
            <w:vAlign w:val="bottom"/>
            <w:hideMark/>
          </w:tcPr>
          <w:p w14:paraId="402ACBE2"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(-0.011)</w:t>
            </w:r>
          </w:p>
        </w:tc>
      </w:tr>
      <w:tr w:rsidR="0012305F" w:rsidRPr="001B144C" w14:paraId="457756C1" w14:textId="77777777" w:rsidTr="00354437">
        <w:trPr>
          <w:trHeight w:hRule="exact" w:val="255"/>
        </w:trPr>
        <w:tc>
          <w:tcPr>
            <w:tcW w:w="2570" w:type="dxa"/>
            <w:tcBorders>
              <w:top w:val="nil"/>
              <w:left w:val="nil"/>
              <w:bottom w:val="nil"/>
              <w:right w:val="nil"/>
            </w:tcBorders>
            <w:shd w:val="clear" w:color="auto" w:fill="auto"/>
            <w:noWrap/>
            <w:vAlign w:val="bottom"/>
            <w:hideMark/>
          </w:tcPr>
          <w:p w14:paraId="5B3011AD"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A</w:t>
            </w:r>
            <w:r w:rsidRPr="001B144C">
              <w:rPr>
                <w:rFonts w:ascii="Times New Roman" w:eastAsia="Times New Roman" w:hAnsi="Times New Roman" w:cs="Times New Roman"/>
                <w:color w:val="000000"/>
                <w:sz w:val="20"/>
                <w:szCs w:val="20"/>
                <w:lang w:eastAsia="en-NZ"/>
              </w:rPr>
              <w:t>bove threshold</w:t>
            </w:r>
          </w:p>
        </w:tc>
        <w:tc>
          <w:tcPr>
            <w:tcW w:w="1756" w:type="dxa"/>
            <w:tcBorders>
              <w:top w:val="nil"/>
              <w:left w:val="nil"/>
              <w:bottom w:val="nil"/>
              <w:right w:val="nil"/>
            </w:tcBorders>
            <w:shd w:val="clear" w:color="auto" w:fill="auto"/>
            <w:noWrap/>
            <w:vAlign w:val="bottom"/>
            <w:hideMark/>
          </w:tcPr>
          <w:p w14:paraId="5E22F7CE"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0.0396***</w:t>
            </w:r>
          </w:p>
        </w:tc>
        <w:tc>
          <w:tcPr>
            <w:tcW w:w="1672" w:type="dxa"/>
            <w:tcBorders>
              <w:top w:val="nil"/>
              <w:left w:val="nil"/>
              <w:bottom w:val="nil"/>
              <w:right w:val="nil"/>
            </w:tcBorders>
            <w:shd w:val="clear" w:color="auto" w:fill="auto"/>
            <w:noWrap/>
            <w:vAlign w:val="bottom"/>
            <w:hideMark/>
          </w:tcPr>
          <w:p w14:paraId="7E89917E"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0.0110**</w:t>
            </w:r>
          </w:p>
        </w:tc>
        <w:tc>
          <w:tcPr>
            <w:tcW w:w="1756" w:type="dxa"/>
            <w:tcBorders>
              <w:top w:val="nil"/>
              <w:left w:val="nil"/>
              <w:bottom w:val="nil"/>
              <w:right w:val="nil"/>
            </w:tcBorders>
            <w:shd w:val="clear" w:color="auto" w:fill="auto"/>
            <w:noWrap/>
            <w:vAlign w:val="bottom"/>
            <w:hideMark/>
          </w:tcPr>
          <w:p w14:paraId="7E9F920B"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0.0326**</w:t>
            </w:r>
          </w:p>
        </w:tc>
        <w:tc>
          <w:tcPr>
            <w:tcW w:w="1672" w:type="dxa"/>
            <w:tcBorders>
              <w:top w:val="nil"/>
              <w:left w:val="nil"/>
              <w:bottom w:val="nil"/>
              <w:right w:val="nil"/>
            </w:tcBorders>
            <w:shd w:val="clear" w:color="auto" w:fill="auto"/>
            <w:noWrap/>
            <w:vAlign w:val="bottom"/>
            <w:hideMark/>
          </w:tcPr>
          <w:p w14:paraId="4AB2B931"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 xml:space="preserve">0.0227** </w:t>
            </w:r>
          </w:p>
        </w:tc>
      </w:tr>
      <w:tr w:rsidR="0012305F" w:rsidRPr="001B144C" w14:paraId="0DE62D85" w14:textId="77777777" w:rsidTr="00354437">
        <w:trPr>
          <w:trHeight w:hRule="exact" w:val="255"/>
        </w:trPr>
        <w:tc>
          <w:tcPr>
            <w:tcW w:w="2570" w:type="dxa"/>
            <w:tcBorders>
              <w:top w:val="nil"/>
              <w:left w:val="nil"/>
              <w:bottom w:val="nil"/>
              <w:right w:val="nil"/>
            </w:tcBorders>
            <w:shd w:val="clear" w:color="auto" w:fill="auto"/>
            <w:noWrap/>
            <w:vAlign w:val="bottom"/>
            <w:hideMark/>
          </w:tcPr>
          <w:p w14:paraId="0E480EAC"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7D6786D1"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(0.0115)</w:t>
            </w:r>
          </w:p>
        </w:tc>
        <w:tc>
          <w:tcPr>
            <w:tcW w:w="1672" w:type="dxa"/>
            <w:tcBorders>
              <w:top w:val="nil"/>
              <w:left w:val="nil"/>
              <w:bottom w:val="nil"/>
              <w:right w:val="nil"/>
            </w:tcBorders>
            <w:shd w:val="clear" w:color="auto" w:fill="auto"/>
            <w:noWrap/>
            <w:vAlign w:val="bottom"/>
            <w:hideMark/>
          </w:tcPr>
          <w:p w14:paraId="07ABF1D2"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(0.0055)</w:t>
            </w:r>
          </w:p>
        </w:tc>
        <w:tc>
          <w:tcPr>
            <w:tcW w:w="1756" w:type="dxa"/>
            <w:tcBorders>
              <w:top w:val="nil"/>
              <w:left w:val="nil"/>
              <w:bottom w:val="nil"/>
              <w:right w:val="nil"/>
            </w:tcBorders>
            <w:shd w:val="clear" w:color="auto" w:fill="auto"/>
            <w:noWrap/>
            <w:vAlign w:val="bottom"/>
            <w:hideMark/>
          </w:tcPr>
          <w:p w14:paraId="6A68BC5C"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(0.0146)</w:t>
            </w:r>
          </w:p>
        </w:tc>
        <w:tc>
          <w:tcPr>
            <w:tcW w:w="1672" w:type="dxa"/>
            <w:tcBorders>
              <w:top w:val="nil"/>
              <w:left w:val="nil"/>
              <w:bottom w:val="nil"/>
              <w:right w:val="nil"/>
            </w:tcBorders>
            <w:shd w:val="clear" w:color="auto" w:fill="auto"/>
            <w:noWrap/>
            <w:vAlign w:val="bottom"/>
            <w:hideMark/>
          </w:tcPr>
          <w:p w14:paraId="4F0F02AB"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(0.0106)</w:t>
            </w:r>
          </w:p>
        </w:tc>
      </w:tr>
      <w:tr w:rsidR="0012305F" w:rsidRPr="001B144C" w14:paraId="3F5B6DFC" w14:textId="77777777" w:rsidTr="00354437">
        <w:trPr>
          <w:trHeight w:hRule="exact" w:val="255"/>
        </w:trPr>
        <w:tc>
          <w:tcPr>
            <w:tcW w:w="2570" w:type="dxa"/>
            <w:tcBorders>
              <w:top w:val="nil"/>
              <w:left w:val="nil"/>
              <w:bottom w:val="nil"/>
              <w:right w:val="nil"/>
            </w:tcBorders>
            <w:shd w:val="clear" w:color="auto" w:fill="auto"/>
            <w:noWrap/>
            <w:vAlign w:val="bottom"/>
            <w:hideMark/>
          </w:tcPr>
          <w:p w14:paraId="526D0129"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Impact of covariates:</w:t>
            </w:r>
          </w:p>
        </w:tc>
        <w:tc>
          <w:tcPr>
            <w:tcW w:w="1756" w:type="dxa"/>
            <w:tcBorders>
              <w:top w:val="nil"/>
              <w:left w:val="nil"/>
              <w:bottom w:val="nil"/>
              <w:right w:val="nil"/>
            </w:tcBorders>
            <w:shd w:val="clear" w:color="auto" w:fill="auto"/>
            <w:noWrap/>
            <w:vAlign w:val="bottom"/>
            <w:hideMark/>
          </w:tcPr>
          <w:p w14:paraId="3AD2646D" w14:textId="77777777" w:rsidR="0012305F" w:rsidRPr="003D5B36"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
        </w:tc>
        <w:tc>
          <w:tcPr>
            <w:tcW w:w="1672" w:type="dxa"/>
            <w:tcBorders>
              <w:top w:val="nil"/>
              <w:left w:val="nil"/>
              <w:bottom w:val="nil"/>
              <w:right w:val="nil"/>
            </w:tcBorders>
            <w:shd w:val="clear" w:color="auto" w:fill="auto"/>
            <w:noWrap/>
            <w:vAlign w:val="bottom"/>
            <w:hideMark/>
          </w:tcPr>
          <w:p w14:paraId="34637DF8" w14:textId="77777777" w:rsidR="0012305F" w:rsidRPr="003D5B36"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756" w:type="dxa"/>
            <w:tcBorders>
              <w:top w:val="nil"/>
              <w:left w:val="nil"/>
              <w:bottom w:val="nil"/>
              <w:right w:val="nil"/>
            </w:tcBorders>
            <w:shd w:val="clear" w:color="auto" w:fill="auto"/>
            <w:noWrap/>
            <w:vAlign w:val="bottom"/>
            <w:hideMark/>
          </w:tcPr>
          <w:p w14:paraId="67E45ACC" w14:textId="77777777" w:rsidR="0012305F" w:rsidRPr="003D5B36" w:rsidRDefault="0012305F" w:rsidP="00354437">
            <w:pPr>
              <w:spacing w:after="0" w:line="240" w:lineRule="auto"/>
              <w:ind w:firstLine="0"/>
              <w:jc w:val="center"/>
              <w:rPr>
                <w:rFonts w:ascii="Times New Roman" w:eastAsia="Times New Roman" w:hAnsi="Times New Roman" w:cs="Times New Roman"/>
                <w:sz w:val="20"/>
                <w:szCs w:val="20"/>
                <w:lang w:eastAsia="en-NZ"/>
              </w:rPr>
            </w:pPr>
          </w:p>
        </w:tc>
        <w:tc>
          <w:tcPr>
            <w:tcW w:w="1672" w:type="dxa"/>
            <w:tcBorders>
              <w:top w:val="nil"/>
              <w:left w:val="nil"/>
              <w:bottom w:val="nil"/>
              <w:right w:val="nil"/>
            </w:tcBorders>
            <w:shd w:val="clear" w:color="auto" w:fill="auto"/>
            <w:noWrap/>
            <w:vAlign w:val="bottom"/>
            <w:hideMark/>
          </w:tcPr>
          <w:p w14:paraId="3E7C3DCB" w14:textId="77777777" w:rsidR="0012305F" w:rsidRPr="003D5B36" w:rsidRDefault="0012305F" w:rsidP="00354437">
            <w:pPr>
              <w:spacing w:after="0" w:line="240" w:lineRule="auto"/>
              <w:ind w:firstLine="0"/>
              <w:jc w:val="center"/>
              <w:rPr>
                <w:rFonts w:ascii="Times New Roman" w:eastAsia="Times New Roman" w:hAnsi="Times New Roman" w:cs="Times New Roman"/>
                <w:sz w:val="20"/>
                <w:szCs w:val="20"/>
                <w:lang w:eastAsia="en-NZ"/>
              </w:rPr>
            </w:pPr>
          </w:p>
        </w:tc>
      </w:tr>
      <w:tr w:rsidR="0012305F" w:rsidRPr="001B144C" w14:paraId="48E2B3A8" w14:textId="77777777" w:rsidTr="00354437">
        <w:trPr>
          <w:trHeight w:hRule="exact" w:val="255"/>
        </w:trPr>
        <w:tc>
          <w:tcPr>
            <w:tcW w:w="2570" w:type="dxa"/>
            <w:tcBorders>
              <w:top w:val="nil"/>
              <w:left w:val="nil"/>
              <w:bottom w:val="nil"/>
              <w:right w:val="nil"/>
            </w:tcBorders>
            <w:shd w:val="clear" w:color="auto" w:fill="auto"/>
            <w:noWrap/>
            <w:vAlign w:val="bottom"/>
            <w:hideMark/>
          </w:tcPr>
          <w:p w14:paraId="31974333"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1B144C">
              <w:rPr>
                <w:rFonts w:ascii="Times New Roman" w:eastAsia="Times New Roman" w:hAnsi="Times New Roman" w:cs="Times New Roman"/>
                <w:color w:val="000000"/>
                <w:sz w:val="20"/>
                <w:szCs w:val="20"/>
                <w:lang w:eastAsia="en-NZ"/>
              </w:rPr>
              <w:t>Lag.GrossGini</w:t>
            </w:r>
            <w:proofErr w:type="spellEnd"/>
          </w:p>
        </w:tc>
        <w:tc>
          <w:tcPr>
            <w:tcW w:w="1756" w:type="dxa"/>
            <w:tcBorders>
              <w:top w:val="nil"/>
              <w:left w:val="nil"/>
              <w:bottom w:val="nil"/>
              <w:right w:val="nil"/>
            </w:tcBorders>
            <w:shd w:val="clear" w:color="auto" w:fill="auto"/>
            <w:noWrap/>
            <w:vAlign w:val="bottom"/>
            <w:hideMark/>
          </w:tcPr>
          <w:p w14:paraId="12F9CF86"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0.9100***</w:t>
            </w:r>
          </w:p>
        </w:tc>
        <w:tc>
          <w:tcPr>
            <w:tcW w:w="1672" w:type="dxa"/>
            <w:tcBorders>
              <w:top w:val="nil"/>
              <w:left w:val="nil"/>
              <w:bottom w:val="nil"/>
              <w:right w:val="nil"/>
            </w:tcBorders>
            <w:shd w:val="clear" w:color="auto" w:fill="auto"/>
            <w:noWrap/>
            <w:vAlign w:val="bottom"/>
            <w:hideMark/>
          </w:tcPr>
          <w:p w14:paraId="149B12E9"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0.8859***</w:t>
            </w:r>
          </w:p>
        </w:tc>
        <w:tc>
          <w:tcPr>
            <w:tcW w:w="1756" w:type="dxa"/>
            <w:tcBorders>
              <w:top w:val="nil"/>
              <w:left w:val="nil"/>
              <w:bottom w:val="nil"/>
              <w:right w:val="nil"/>
            </w:tcBorders>
            <w:shd w:val="clear" w:color="auto" w:fill="auto"/>
            <w:noWrap/>
            <w:vAlign w:val="bottom"/>
            <w:hideMark/>
          </w:tcPr>
          <w:p w14:paraId="1C313636"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0.9559***</w:t>
            </w:r>
          </w:p>
        </w:tc>
        <w:tc>
          <w:tcPr>
            <w:tcW w:w="1672" w:type="dxa"/>
            <w:tcBorders>
              <w:top w:val="nil"/>
              <w:left w:val="nil"/>
              <w:bottom w:val="nil"/>
              <w:right w:val="nil"/>
            </w:tcBorders>
            <w:shd w:val="clear" w:color="auto" w:fill="auto"/>
            <w:noWrap/>
            <w:vAlign w:val="bottom"/>
            <w:hideMark/>
          </w:tcPr>
          <w:p w14:paraId="26F9669F"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0.9068***</w:t>
            </w:r>
          </w:p>
        </w:tc>
      </w:tr>
      <w:tr w:rsidR="0012305F" w:rsidRPr="001B144C" w14:paraId="3ACEE9EA" w14:textId="77777777" w:rsidTr="00354437">
        <w:trPr>
          <w:trHeight w:hRule="exact" w:val="255"/>
        </w:trPr>
        <w:tc>
          <w:tcPr>
            <w:tcW w:w="2570" w:type="dxa"/>
            <w:tcBorders>
              <w:top w:val="nil"/>
              <w:left w:val="nil"/>
              <w:bottom w:val="nil"/>
              <w:right w:val="nil"/>
            </w:tcBorders>
            <w:shd w:val="clear" w:color="auto" w:fill="auto"/>
            <w:noWrap/>
            <w:vAlign w:val="bottom"/>
            <w:hideMark/>
          </w:tcPr>
          <w:p w14:paraId="3C132254"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4518B261"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(0.0393)</w:t>
            </w:r>
          </w:p>
        </w:tc>
        <w:tc>
          <w:tcPr>
            <w:tcW w:w="1672" w:type="dxa"/>
            <w:tcBorders>
              <w:top w:val="nil"/>
              <w:left w:val="nil"/>
              <w:bottom w:val="nil"/>
              <w:right w:val="nil"/>
            </w:tcBorders>
            <w:shd w:val="clear" w:color="auto" w:fill="auto"/>
            <w:noWrap/>
            <w:vAlign w:val="bottom"/>
            <w:hideMark/>
          </w:tcPr>
          <w:p w14:paraId="5F80001D"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(-0.056)</w:t>
            </w:r>
          </w:p>
        </w:tc>
        <w:tc>
          <w:tcPr>
            <w:tcW w:w="1756" w:type="dxa"/>
            <w:tcBorders>
              <w:top w:val="nil"/>
              <w:left w:val="nil"/>
              <w:bottom w:val="nil"/>
              <w:right w:val="nil"/>
            </w:tcBorders>
            <w:shd w:val="clear" w:color="auto" w:fill="auto"/>
            <w:noWrap/>
            <w:vAlign w:val="bottom"/>
            <w:hideMark/>
          </w:tcPr>
          <w:p w14:paraId="4C91404F"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(0.0337)</w:t>
            </w:r>
          </w:p>
        </w:tc>
        <w:tc>
          <w:tcPr>
            <w:tcW w:w="1672" w:type="dxa"/>
            <w:tcBorders>
              <w:top w:val="nil"/>
              <w:left w:val="nil"/>
              <w:bottom w:val="nil"/>
              <w:right w:val="nil"/>
            </w:tcBorders>
            <w:shd w:val="clear" w:color="auto" w:fill="auto"/>
            <w:noWrap/>
            <w:vAlign w:val="bottom"/>
            <w:hideMark/>
          </w:tcPr>
          <w:p w14:paraId="7B5D067D"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(0.0598)</w:t>
            </w:r>
          </w:p>
        </w:tc>
      </w:tr>
      <w:tr w:rsidR="0012305F" w:rsidRPr="001B144C" w14:paraId="3721AC1A" w14:textId="77777777" w:rsidTr="00354437">
        <w:trPr>
          <w:trHeight w:hRule="exact" w:val="255"/>
        </w:trPr>
        <w:tc>
          <w:tcPr>
            <w:tcW w:w="2570" w:type="dxa"/>
            <w:tcBorders>
              <w:top w:val="nil"/>
              <w:left w:val="nil"/>
              <w:bottom w:val="nil"/>
              <w:right w:val="nil"/>
            </w:tcBorders>
            <w:shd w:val="clear" w:color="auto" w:fill="auto"/>
            <w:noWrap/>
            <w:vAlign w:val="bottom"/>
            <w:hideMark/>
          </w:tcPr>
          <w:p w14:paraId="2EF07D44"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FO</w:t>
            </w:r>
          </w:p>
        </w:tc>
        <w:tc>
          <w:tcPr>
            <w:tcW w:w="1756" w:type="dxa"/>
            <w:tcBorders>
              <w:top w:val="nil"/>
              <w:left w:val="nil"/>
              <w:bottom w:val="nil"/>
              <w:right w:val="nil"/>
            </w:tcBorders>
            <w:shd w:val="clear" w:color="auto" w:fill="auto"/>
            <w:noWrap/>
            <w:vAlign w:val="bottom"/>
            <w:hideMark/>
          </w:tcPr>
          <w:p w14:paraId="5B026993"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-0.0581***</w:t>
            </w:r>
          </w:p>
        </w:tc>
        <w:tc>
          <w:tcPr>
            <w:tcW w:w="1672" w:type="dxa"/>
            <w:tcBorders>
              <w:top w:val="nil"/>
              <w:left w:val="nil"/>
              <w:bottom w:val="nil"/>
              <w:right w:val="nil"/>
            </w:tcBorders>
            <w:shd w:val="clear" w:color="auto" w:fill="auto"/>
            <w:noWrap/>
            <w:vAlign w:val="bottom"/>
            <w:hideMark/>
          </w:tcPr>
          <w:p w14:paraId="06991E5F"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0.0067</w:t>
            </w:r>
          </w:p>
        </w:tc>
        <w:tc>
          <w:tcPr>
            <w:tcW w:w="1756" w:type="dxa"/>
            <w:tcBorders>
              <w:top w:val="nil"/>
              <w:left w:val="nil"/>
              <w:bottom w:val="nil"/>
              <w:right w:val="nil"/>
            </w:tcBorders>
            <w:shd w:val="clear" w:color="auto" w:fill="auto"/>
            <w:noWrap/>
            <w:vAlign w:val="bottom"/>
            <w:hideMark/>
          </w:tcPr>
          <w:p w14:paraId="3B2EE08E"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-0.0380**</w:t>
            </w:r>
          </w:p>
        </w:tc>
        <w:tc>
          <w:tcPr>
            <w:tcW w:w="1672" w:type="dxa"/>
            <w:tcBorders>
              <w:top w:val="nil"/>
              <w:left w:val="nil"/>
              <w:bottom w:val="nil"/>
              <w:right w:val="nil"/>
            </w:tcBorders>
            <w:shd w:val="clear" w:color="auto" w:fill="auto"/>
            <w:noWrap/>
            <w:vAlign w:val="bottom"/>
            <w:hideMark/>
          </w:tcPr>
          <w:p w14:paraId="10696A5A"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0.0019</w:t>
            </w:r>
          </w:p>
        </w:tc>
      </w:tr>
      <w:tr w:rsidR="0012305F" w:rsidRPr="001B144C" w14:paraId="1E2C6209" w14:textId="77777777" w:rsidTr="00354437">
        <w:trPr>
          <w:trHeight w:hRule="exact" w:val="255"/>
        </w:trPr>
        <w:tc>
          <w:tcPr>
            <w:tcW w:w="2570" w:type="dxa"/>
            <w:tcBorders>
              <w:top w:val="nil"/>
              <w:left w:val="nil"/>
              <w:bottom w:val="nil"/>
              <w:right w:val="nil"/>
            </w:tcBorders>
            <w:shd w:val="clear" w:color="auto" w:fill="auto"/>
            <w:noWrap/>
            <w:vAlign w:val="bottom"/>
            <w:hideMark/>
          </w:tcPr>
          <w:p w14:paraId="21D43E22"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66606C46"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(0.0161)</w:t>
            </w:r>
          </w:p>
        </w:tc>
        <w:tc>
          <w:tcPr>
            <w:tcW w:w="1672" w:type="dxa"/>
            <w:tcBorders>
              <w:top w:val="nil"/>
              <w:left w:val="nil"/>
              <w:bottom w:val="nil"/>
              <w:right w:val="nil"/>
            </w:tcBorders>
            <w:shd w:val="clear" w:color="auto" w:fill="auto"/>
            <w:noWrap/>
            <w:vAlign w:val="bottom"/>
            <w:hideMark/>
          </w:tcPr>
          <w:p w14:paraId="1C26B60A"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(0.0041)</w:t>
            </w:r>
          </w:p>
        </w:tc>
        <w:tc>
          <w:tcPr>
            <w:tcW w:w="1756" w:type="dxa"/>
            <w:tcBorders>
              <w:top w:val="nil"/>
              <w:left w:val="nil"/>
              <w:bottom w:val="nil"/>
              <w:right w:val="nil"/>
            </w:tcBorders>
            <w:shd w:val="clear" w:color="auto" w:fill="auto"/>
            <w:noWrap/>
            <w:vAlign w:val="bottom"/>
            <w:hideMark/>
          </w:tcPr>
          <w:p w14:paraId="142253BC"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(0.0149)</w:t>
            </w:r>
          </w:p>
        </w:tc>
        <w:tc>
          <w:tcPr>
            <w:tcW w:w="1672" w:type="dxa"/>
            <w:tcBorders>
              <w:top w:val="nil"/>
              <w:left w:val="nil"/>
              <w:bottom w:val="nil"/>
              <w:right w:val="nil"/>
            </w:tcBorders>
            <w:shd w:val="clear" w:color="auto" w:fill="auto"/>
            <w:noWrap/>
            <w:vAlign w:val="bottom"/>
            <w:hideMark/>
          </w:tcPr>
          <w:p w14:paraId="03F30C52"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(0.0051)</w:t>
            </w:r>
          </w:p>
        </w:tc>
      </w:tr>
      <w:tr w:rsidR="0012305F" w:rsidRPr="001B144C" w14:paraId="777ED1F4" w14:textId="77777777" w:rsidTr="00354437">
        <w:trPr>
          <w:trHeight w:hRule="exact" w:val="255"/>
        </w:trPr>
        <w:tc>
          <w:tcPr>
            <w:tcW w:w="2570" w:type="dxa"/>
            <w:tcBorders>
              <w:top w:val="nil"/>
              <w:left w:val="nil"/>
              <w:bottom w:val="nil"/>
              <w:right w:val="nil"/>
            </w:tcBorders>
            <w:shd w:val="clear" w:color="auto" w:fill="auto"/>
            <w:noWrap/>
            <w:vAlign w:val="bottom"/>
            <w:hideMark/>
          </w:tcPr>
          <w:p w14:paraId="27B9A83F"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TO</w:t>
            </w:r>
          </w:p>
        </w:tc>
        <w:tc>
          <w:tcPr>
            <w:tcW w:w="1756" w:type="dxa"/>
            <w:tcBorders>
              <w:top w:val="nil"/>
              <w:left w:val="nil"/>
              <w:bottom w:val="nil"/>
              <w:right w:val="nil"/>
            </w:tcBorders>
            <w:shd w:val="clear" w:color="auto" w:fill="auto"/>
            <w:noWrap/>
            <w:vAlign w:val="bottom"/>
            <w:hideMark/>
          </w:tcPr>
          <w:p w14:paraId="18783C7A"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-0.0058</w:t>
            </w:r>
          </w:p>
        </w:tc>
        <w:tc>
          <w:tcPr>
            <w:tcW w:w="1672" w:type="dxa"/>
            <w:tcBorders>
              <w:top w:val="nil"/>
              <w:left w:val="nil"/>
              <w:bottom w:val="nil"/>
              <w:right w:val="nil"/>
            </w:tcBorders>
            <w:shd w:val="clear" w:color="auto" w:fill="auto"/>
            <w:noWrap/>
            <w:vAlign w:val="bottom"/>
            <w:hideMark/>
          </w:tcPr>
          <w:p w14:paraId="57B4C1A7"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-0.0173*</w:t>
            </w:r>
          </w:p>
        </w:tc>
        <w:tc>
          <w:tcPr>
            <w:tcW w:w="1756" w:type="dxa"/>
            <w:tcBorders>
              <w:top w:val="nil"/>
              <w:left w:val="nil"/>
              <w:bottom w:val="nil"/>
              <w:right w:val="nil"/>
            </w:tcBorders>
            <w:shd w:val="clear" w:color="auto" w:fill="auto"/>
            <w:noWrap/>
            <w:vAlign w:val="bottom"/>
            <w:hideMark/>
          </w:tcPr>
          <w:p w14:paraId="4C75F963"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-0.0142</w:t>
            </w:r>
          </w:p>
        </w:tc>
        <w:tc>
          <w:tcPr>
            <w:tcW w:w="1672" w:type="dxa"/>
            <w:tcBorders>
              <w:top w:val="nil"/>
              <w:left w:val="nil"/>
              <w:bottom w:val="nil"/>
              <w:right w:val="nil"/>
            </w:tcBorders>
            <w:shd w:val="clear" w:color="auto" w:fill="auto"/>
            <w:noWrap/>
            <w:vAlign w:val="bottom"/>
            <w:hideMark/>
          </w:tcPr>
          <w:p w14:paraId="64ED1D02"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 xml:space="preserve">-0.0224*  </w:t>
            </w:r>
          </w:p>
        </w:tc>
      </w:tr>
      <w:tr w:rsidR="0012305F" w:rsidRPr="001B144C" w14:paraId="3D025BAC" w14:textId="77777777" w:rsidTr="00354437">
        <w:trPr>
          <w:trHeight w:hRule="exact" w:val="255"/>
        </w:trPr>
        <w:tc>
          <w:tcPr>
            <w:tcW w:w="2570" w:type="dxa"/>
            <w:tcBorders>
              <w:top w:val="nil"/>
              <w:left w:val="nil"/>
              <w:bottom w:val="nil"/>
              <w:right w:val="nil"/>
            </w:tcBorders>
            <w:shd w:val="clear" w:color="auto" w:fill="auto"/>
            <w:noWrap/>
            <w:vAlign w:val="bottom"/>
            <w:hideMark/>
          </w:tcPr>
          <w:p w14:paraId="574983FC"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3A594E9D"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(-0.012)</w:t>
            </w:r>
          </w:p>
        </w:tc>
        <w:tc>
          <w:tcPr>
            <w:tcW w:w="1672" w:type="dxa"/>
            <w:tcBorders>
              <w:top w:val="nil"/>
              <w:left w:val="nil"/>
              <w:bottom w:val="nil"/>
              <w:right w:val="nil"/>
            </w:tcBorders>
            <w:shd w:val="clear" w:color="auto" w:fill="auto"/>
            <w:noWrap/>
            <w:vAlign w:val="bottom"/>
            <w:hideMark/>
          </w:tcPr>
          <w:p w14:paraId="0F299E60"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(0.0098)</w:t>
            </w:r>
          </w:p>
        </w:tc>
        <w:tc>
          <w:tcPr>
            <w:tcW w:w="1756" w:type="dxa"/>
            <w:tcBorders>
              <w:top w:val="nil"/>
              <w:left w:val="nil"/>
              <w:bottom w:val="nil"/>
              <w:right w:val="nil"/>
            </w:tcBorders>
            <w:shd w:val="clear" w:color="auto" w:fill="auto"/>
            <w:noWrap/>
            <w:vAlign w:val="bottom"/>
            <w:hideMark/>
          </w:tcPr>
          <w:p w14:paraId="4AAD8B56"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(0.0102)</w:t>
            </w:r>
          </w:p>
        </w:tc>
        <w:tc>
          <w:tcPr>
            <w:tcW w:w="1672" w:type="dxa"/>
            <w:tcBorders>
              <w:top w:val="nil"/>
              <w:left w:val="nil"/>
              <w:bottom w:val="nil"/>
              <w:right w:val="nil"/>
            </w:tcBorders>
            <w:shd w:val="clear" w:color="auto" w:fill="auto"/>
            <w:noWrap/>
            <w:vAlign w:val="bottom"/>
            <w:hideMark/>
          </w:tcPr>
          <w:p w14:paraId="7EC74080"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(0.0124)</w:t>
            </w:r>
          </w:p>
        </w:tc>
      </w:tr>
      <w:tr w:rsidR="0012305F" w:rsidRPr="001B144C" w14:paraId="3855B380" w14:textId="77777777" w:rsidTr="00354437">
        <w:trPr>
          <w:trHeight w:hRule="exact" w:val="255"/>
        </w:trPr>
        <w:tc>
          <w:tcPr>
            <w:tcW w:w="2570" w:type="dxa"/>
            <w:tcBorders>
              <w:top w:val="nil"/>
              <w:left w:val="nil"/>
              <w:bottom w:val="nil"/>
              <w:right w:val="nil"/>
            </w:tcBorders>
            <w:shd w:val="clear" w:color="auto" w:fill="auto"/>
            <w:noWrap/>
            <w:vAlign w:val="bottom"/>
            <w:hideMark/>
          </w:tcPr>
          <w:p w14:paraId="1E83A1FD"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Growth</w:t>
            </w:r>
          </w:p>
        </w:tc>
        <w:tc>
          <w:tcPr>
            <w:tcW w:w="1756" w:type="dxa"/>
            <w:tcBorders>
              <w:top w:val="nil"/>
              <w:left w:val="nil"/>
              <w:bottom w:val="nil"/>
              <w:right w:val="nil"/>
            </w:tcBorders>
            <w:shd w:val="clear" w:color="auto" w:fill="auto"/>
            <w:noWrap/>
            <w:vAlign w:val="bottom"/>
            <w:hideMark/>
          </w:tcPr>
          <w:p w14:paraId="3AEA2BD8"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-0.0868*</w:t>
            </w:r>
          </w:p>
        </w:tc>
        <w:tc>
          <w:tcPr>
            <w:tcW w:w="1672" w:type="dxa"/>
            <w:tcBorders>
              <w:top w:val="nil"/>
              <w:left w:val="nil"/>
              <w:bottom w:val="nil"/>
              <w:right w:val="nil"/>
            </w:tcBorders>
            <w:shd w:val="clear" w:color="auto" w:fill="auto"/>
            <w:noWrap/>
            <w:vAlign w:val="bottom"/>
            <w:hideMark/>
          </w:tcPr>
          <w:p w14:paraId="44A0DB81"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-0.0293</w:t>
            </w:r>
          </w:p>
        </w:tc>
        <w:tc>
          <w:tcPr>
            <w:tcW w:w="1756" w:type="dxa"/>
            <w:tcBorders>
              <w:top w:val="nil"/>
              <w:left w:val="nil"/>
              <w:bottom w:val="nil"/>
              <w:right w:val="nil"/>
            </w:tcBorders>
            <w:shd w:val="clear" w:color="auto" w:fill="auto"/>
            <w:noWrap/>
            <w:vAlign w:val="bottom"/>
            <w:hideMark/>
          </w:tcPr>
          <w:p w14:paraId="6A11BC20"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-0.0051</w:t>
            </w:r>
          </w:p>
        </w:tc>
        <w:tc>
          <w:tcPr>
            <w:tcW w:w="1672" w:type="dxa"/>
            <w:tcBorders>
              <w:top w:val="nil"/>
              <w:left w:val="nil"/>
              <w:bottom w:val="nil"/>
              <w:right w:val="nil"/>
            </w:tcBorders>
            <w:shd w:val="clear" w:color="auto" w:fill="auto"/>
            <w:noWrap/>
            <w:vAlign w:val="bottom"/>
            <w:hideMark/>
          </w:tcPr>
          <w:p w14:paraId="456B16C7"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-0.0726</w:t>
            </w:r>
          </w:p>
        </w:tc>
      </w:tr>
      <w:tr w:rsidR="0012305F" w:rsidRPr="001B144C" w14:paraId="5B3818DF" w14:textId="77777777" w:rsidTr="00354437">
        <w:trPr>
          <w:trHeight w:hRule="exact" w:val="255"/>
        </w:trPr>
        <w:tc>
          <w:tcPr>
            <w:tcW w:w="2570" w:type="dxa"/>
            <w:tcBorders>
              <w:top w:val="nil"/>
              <w:left w:val="nil"/>
              <w:bottom w:val="nil"/>
              <w:right w:val="nil"/>
            </w:tcBorders>
            <w:shd w:val="clear" w:color="auto" w:fill="auto"/>
            <w:noWrap/>
            <w:vAlign w:val="bottom"/>
            <w:hideMark/>
          </w:tcPr>
          <w:p w14:paraId="4AD3FBDB"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4171EFE7"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(-0.049)</w:t>
            </w:r>
          </w:p>
        </w:tc>
        <w:tc>
          <w:tcPr>
            <w:tcW w:w="1672" w:type="dxa"/>
            <w:tcBorders>
              <w:top w:val="nil"/>
              <w:left w:val="nil"/>
              <w:bottom w:val="nil"/>
              <w:right w:val="nil"/>
            </w:tcBorders>
            <w:shd w:val="clear" w:color="auto" w:fill="auto"/>
            <w:noWrap/>
            <w:vAlign w:val="bottom"/>
            <w:hideMark/>
          </w:tcPr>
          <w:p w14:paraId="4B0D479C"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(0.0401)</w:t>
            </w:r>
          </w:p>
        </w:tc>
        <w:tc>
          <w:tcPr>
            <w:tcW w:w="1756" w:type="dxa"/>
            <w:tcBorders>
              <w:top w:val="nil"/>
              <w:left w:val="nil"/>
              <w:bottom w:val="nil"/>
              <w:right w:val="nil"/>
            </w:tcBorders>
            <w:shd w:val="clear" w:color="auto" w:fill="auto"/>
            <w:noWrap/>
            <w:vAlign w:val="bottom"/>
            <w:hideMark/>
          </w:tcPr>
          <w:p w14:paraId="57810B94"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(0.0811)</w:t>
            </w:r>
          </w:p>
        </w:tc>
        <w:tc>
          <w:tcPr>
            <w:tcW w:w="1672" w:type="dxa"/>
            <w:tcBorders>
              <w:top w:val="nil"/>
              <w:left w:val="nil"/>
              <w:bottom w:val="nil"/>
              <w:right w:val="nil"/>
            </w:tcBorders>
            <w:shd w:val="clear" w:color="auto" w:fill="auto"/>
            <w:noWrap/>
            <w:vAlign w:val="bottom"/>
            <w:hideMark/>
          </w:tcPr>
          <w:p w14:paraId="0CA619CA"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(0.0701)</w:t>
            </w:r>
          </w:p>
        </w:tc>
      </w:tr>
      <w:tr w:rsidR="0012305F" w:rsidRPr="001B144C" w14:paraId="4FC5796F" w14:textId="77777777" w:rsidTr="00354437">
        <w:trPr>
          <w:trHeight w:hRule="exact" w:val="255"/>
        </w:trPr>
        <w:tc>
          <w:tcPr>
            <w:tcW w:w="2570" w:type="dxa"/>
            <w:tcBorders>
              <w:top w:val="nil"/>
              <w:left w:val="nil"/>
              <w:bottom w:val="nil"/>
              <w:right w:val="nil"/>
            </w:tcBorders>
            <w:shd w:val="clear" w:color="auto" w:fill="auto"/>
            <w:noWrap/>
            <w:vAlign w:val="bottom"/>
            <w:hideMark/>
          </w:tcPr>
          <w:p w14:paraId="121F0F96"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Inf</w:t>
            </w:r>
          </w:p>
        </w:tc>
        <w:tc>
          <w:tcPr>
            <w:tcW w:w="1756" w:type="dxa"/>
            <w:tcBorders>
              <w:top w:val="nil"/>
              <w:left w:val="nil"/>
              <w:bottom w:val="nil"/>
              <w:right w:val="nil"/>
            </w:tcBorders>
            <w:shd w:val="clear" w:color="auto" w:fill="auto"/>
            <w:noWrap/>
            <w:vAlign w:val="bottom"/>
            <w:hideMark/>
          </w:tcPr>
          <w:p w14:paraId="4CA5A889"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-0.0004*</w:t>
            </w:r>
          </w:p>
        </w:tc>
        <w:tc>
          <w:tcPr>
            <w:tcW w:w="1672" w:type="dxa"/>
            <w:tcBorders>
              <w:top w:val="nil"/>
              <w:left w:val="nil"/>
              <w:bottom w:val="nil"/>
              <w:right w:val="nil"/>
            </w:tcBorders>
            <w:shd w:val="clear" w:color="auto" w:fill="auto"/>
            <w:noWrap/>
            <w:vAlign w:val="bottom"/>
            <w:hideMark/>
          </w:tcPr>
          <w:p w14:paraId="0A3F6EB5"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0.0001</w:t>
            </w:r>
          </w:p>
        </w:tc>
        <w:tc>
          <w:tcPr>
            <w:tcW w:w="1756" w:type="dxa"/>
            <w:tcBorders>
              <w:top w:val="nil"/>
              <w:left w:val="nil"/>
              <w:bottom w:val="nil"/>
              <w:right w:val="nil"/>
            </w:tcBorders>
            <w:shd w:val="clear" w:color="auto" w:fill="auto"/>
            <w:noWrap/>
            <w:vAlign w:val="bottom"/>
            <w:hideMark/>
          </w:tcPr>
          <w:p w14:paraId="3E86CE8D"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w:t>
            </w:r>
          </w:p>
        </w:tc>
        <w:tc>
          <w:tcPr>
            <w:tcW w:w="1672" w:type="dxa"/>
            <w:tcBorders>
              <w:top w:val="nil"/>
              <w:left w:val="nil"/>
              <w:bottom w:val="nil"/>
              <w:right w:val="nil"/>
            </w:tcBorders>
            <w:shd w:val="clear" w:color="auto" w:fill="auto"/>
            <w:noWrap/>
            <w:vAlign w:val="bottom"/>
            <w:hideMark/>
          </w:tcPr>
          <w:p w14:paraId="54AEC4EC"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0.0001</w:t>
            </w:r>
          </w:p>
        </w:tc>
      </w:tr>
      <w:tr w:rsidR="0012305F" w:rsidRPr="001B144C" w14:paraId="56DFD640" w14:textId="77777777" w:rsidTr="00354437">
        <w:trPr>
          <w:trHeight w:hRule="exact" w:val="255"/>
        </w:trPr>
        <w:tc>
          <w:tcPr>
            <w:tcW w:w="2570" w:type="dxa"/>
            <w:tcBorders>
              <w:top w:val="nil"/>
              <w:left w:val="nil"/>
              <w:bottom w:val="nil"/>
              <w:right w:val="nil"/>
            </w:tcBorders>
            <w:shd w:val="clear" w:color="auto" w:fill="auto"/>
            <w:noWrap/>
            <w:vAlign w:val="bottom"/>
            <w:hideMark/>
          </w:tcPr>
          <w:p w14:paraId="65D08026"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0AD11011"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(0.0002)</w:t>
            </w:r>
          </w:p>
        </w:tc>
        <w:tc>
          <w:tcPr>
            <w:tcW w:w="1672" w:type="dxa"/>
            <w:tcBorders>
              <w:top w:val="nil"/>
              <w:left w:val="nil"/>
              <w:bottom w:val="nil"/>
              <w:right w:val="nil"/>
            </w:tcBorders>
            <w:shd w:val="clear" w:color="auto" w:fill="auto"/>
            <w:noWrap/>
            <w:vAlign w:val="bottom"/>
            <w:hideMark/>
          </w:tcPr>
          <w:p w14:paraId="116222FC"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(0.0002)</w:t>
            </w:r>
          </w:p>
        </w:tc>
        <w:tc>
          <w:tcPr>
            <w:tcW w:w="1756" w:type="dxa"/>
            <w:tcBorders>
              <w:top w:val="nil"/>
              <w:left w:val="nil"/>
              <w:bottom w:val="nil"/>
              <w:right w:val="nil"/>
            </w:tcBorders>
            <w:shd w:val="clear" w:color="auto" w:fill="auto"/>
            <w:noWrap/>
            <w:vAlign w:val="bottom"/>
            <w:hideMark/>
          </w:tcPr>
          <w:p w14:paraId="7CE4E9F8"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(0.0004)</w:t>
            </w:r>
          </w:p>
        </w:tc>
        <w:tc>
          <w:tcPr>
            <w:tcW w:w="1672" w:type="dxa"/>
            <w:tcBorders>
              <w:top w:val="nil"/>
              <w:left w:val="nil"/>
              <w:bottom w:val="nil"/>
              <w:right w:val="nil"/>
            </w:tcBorders>
            <w:shd w:val="clear" w:color="auto" w:fill="auto"/>
            <w:noWrap/>
            <w:vAlign w:val="bottom"/>
            <w:hideMark/>
          </w:tcPr>
          <w:p w14:paraId="74F0D9C8"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(0.0002)</w:t>
            </w:r>
          </w:p>
        </w:tc>
      </w:tr>
      <w:tr w:rsidR="0012305F" w:rsidRPr="001B144C" w14:paraId="63B736EF" w14:textId="77777777" w:rsidTr="00354437">
        <w:trPr>
          <w:trHeight w:hRule="exact" w:val="255"/>
        </w:trPr>
        <w:tc>
          <w:tcPr>
            <w:tcW w:w="2570" w:type="dxa"/>
            <w:tcBorders>
              <w:top w:val="nil"/>
              <w:left w:val="nil"/>
              <w:bottom w:val="nil"/>
              <w:right w:val="nil"/>
            </w:tcBorders>
            <w:shd w:val="clear" w:color="auto" w:fill="auto"/>
            <w:noWrap/>
            <w:vAlign w:val="bottom"/>
            <w:hideMark/>
          </w:tcPr>
          <w:p w14:paraId="642B342F"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1B144C">
              <w:rPr>
                <w:rFonts w:ascii="Times New Roman" w:eastAsia="Times New Roman" w:hAnsi="Times New Roman" w:cs="Times New Roman"/>
                <w:color w:val="000000"/>
                <w:sz w:val="20"/>
                <w:szCs w:val="20"/>
                <w:lang w:eastAsia="en-NZ"/>
              </w:rPr>
              <w:t>GovExp</w:t>
            </w:r>
            <w:proofErr w:type="spellEnd"/>
          </w:p>
        </w:tc>
        <w:tc>
          <w:tcPr>
            <w:tcW w:w="1756" w:type="dxa"/>
            <w:tcBorders>
              <w:top w:val="nil"/>
              <w:left w:val="nil"/>
              <w:bottom w:val="nil"/>
              <w:right w:val="nil"/>
            </w:tcBorders>
            <w:shd w:val="clear" w:color="auto" w:fill="auto"/>
            <w:noWrap/>
            <w:vAlign w:val="bottom"/>
            <w:hideMark/>
          </w:tcPr>
          <w:p w14:paraId="687DCE3B"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0.0444***</w:t>
            </w:r>
          </w:p>
        </w:tc>
        <w:tc>
          <w:tcPr>
            <w:tcW w:w="1672" w:type="dxa"/>
            <w:tcBorders>
              <w:top w:val="nil"/>
              <w:left w:val="nil"/>
              <w:bottom w:val="nil"/>
              <w:right w:val="nil"/>
            </w:tcBorders>
            <w:shd w:val="clear" w:color="auto" w:fill="auto"/>
            <w:noWrap/>
            <w:vAlign w:val="bottom"/>
            <w:hideMark/>
          </w:tcPr>
          <w:p w14:paraId="3D5DA17F"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0.0079</w:t>
            </w:r>
          </w:p>
        </w:tc>
        <w:tc>
          <w:tcPr>
            <w:tcW w:w="1756" w:type="dxa"/>
            <w:tcBorders>
              <w:top w:val="nil"/>
              <w:left w:val="nil"/>
              <w:bottom w:val="nil"/>
              <w:right w:val="nil"/>
            </w:tcBorders>
            <w:shd w:val="clear" w:color="auto" w:fill="auto"/>
            <w:noWrap/>
            <w:vAlign w:val="bottom"/>
            <w:hideMark/>
          </w:tcPr>
          <w:p w14:paraId="4C096CD6"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0.0241*</w:t>
            </w:r>
          </w:p>
        </w:tc>
        <w:tc>
          <w:tcPr>
            <w:tcW w:w="1672" w:type="dxa"/>
            <w:tcBorders>
              <w:top w:val="nil"/>
              <w:left w:val="nil"/>
              <w:bottom w:val="nil"/>
              <w:right w:val="nil"/>
            </w:tcBorders>
            <w:shd w:val="clear" w:color="auto" w:fill="auto"/>
            <w:noWrap/>
            <w:vAlign w:val="bottom"/>
            <w:hideMark/>
          </w:tcPr>
          <w:p w14:paraId="20A13692"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0.0058</w:t>
            </w:r>
          </w:p>
        </w:tc>
      </w:tr>
      <w:tr w:rsidR="0012305F" w:rsidRPr="001B144C" w14:paraId="0E243FFE" w14:textId="77777777" w:rsidTr="00354437">
        <w:trPr>
          <w:trHeight w:hRule="exact" w:val="255"/>
        </w:trPr>
        <w:tc>
          <w:tcPr>
            <w:tcW w:w="2570" w:type="dxa"/>
            <w:tcBorders>
              <w:top w:val="nil"/>
              <w:left w:val="nil"/>
              <w:bottom w:val="nil"/>
              <w:right w:val="nil"/>
            </w:tcBorders>
            <w:shd w:val="clear" w:color="auto" w:fill="auto"/>
            <w:noWrap/>
            <w:vAlign w:val="bottom"/>
            <w:hideMark/>
          </w:tcPr>
          <w:p w14:paraId="06C35C00"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0FAD1211"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(0.0143)</w:t>
            </w:r>
          </w:p>
        </w:tc>
        <w:tc>
          <w:tcPr>
            <w:tcW w:w="1672" w:type="dxa"/>
            <w:tcBorders>
              <w:top w:val="nil"/>
              <w:left w:val="nil"/>
              <w:bottom w:val="nil"/>
              <w:right w:val="nil"/>
            </w:tcBorders>
            <w:shd w:val="clear" w:color="auto" w:fill="auto"/>
            <w:noWrap/>
            <w:vAlign w:val="bottom"/>
            <w:hideMark/>
          </w:tcPr>
          <w:p w14:paraId="7D9AD423"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(0.0085)</w:t>
            </w:r>
          </w:p>
        </w:tc>
        <w:tc>
          <w:tcPr>
            <w:tcW w:w="1756" w:type="dxa"/>
            <w:tcBorders>
              <w:top w:val="nil"/>
              <w:left w:val="nil"/>
              <w:bottom w:val="nil"/>
              <w:right w:val="nil"/>
            </w:tcBorders>
            <w:shd w:val="clear" w:color="auto" w:fill="auto"/>
            <w:noWrap/>
            <w:vAlign w:val="bottom"/>
            <w:hideMark/>
          </w:tcPr>
          <w:p w14:paraId="37C94B3C"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(0.0125)</w:t>
            </w:r>
          </w:p>
        </w:tc>
        <w:tc>
          <w:tcPr>
            <w:tcW w:w="1672" w:type="dxa"/>
            <w:tcBorders>
              <w:top w:val="nil"/>
              <w:left w:val="nil"/>
              <w:bottom w:val="nil"/>
              <w:right w:val="nil"/>
            </w:tcBorders>
            <w:shd w:val="clear" w:color="auto" w:fill="auto"/>
            <w:noWrap/>
            <w:vAlign w:val="bottom"/>
            <w:hideMark/>
          </w:tcPr>
          <w:p w14:paraId="405814D7"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(0.0079)</w:t>
            </w:r>
          </w:p>
        </w:tc>
      </w:tr>
      <w:tr w:rsidR="0012305F" w:rsidRPr="001B144C" w14:paraId="332E1FA0" w14:textId="77777777" w:rsidTr="00354437">
        <w:trPr>
          <w:trHeight w:hRule="exact" w:val="255"/>
        </w:trPr>
        <w:tc>
          <w:tcPr>
            <w:tcW w:w="2570" w:type="dxa"/>
            <w:tcBorders>
              <w:top w:val="nil"/>
              <w:left w:val="nil"/>
              <w:bottom w:val="nil"/>
              <w:right w:val="nil"/>
            </w:tcBorders>
            <w:shd w:val="clear" w:color="auto" w:fill="auto"/>
            <w:noWrap/>
            <w:vAlign w:val="bottom"/>
            <w:hideMark/>
          </w:tcPr>
          <w:p w14:paraId="1FB7BC7B"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Pop</w:t>
            </w:r>
          </w:p>
        </w:tc>
        <w:tc>
          <w:tcPr>
            <w:tcW w:w="1756" w:type="dxa"/>
            <w:tcBorders>
              <w:top w:val="nil"/>
              <w:left w:val="nil"/>
              <w:bottom w:val="nil"/>
              <w:right w:val="nil"/>
            </w:tcBorders>
            <w:shd w:val="clear" w:color="auto" w:fill="auto"/>
            <w:noWrap/>
            <w:vAlign w:val="bottom"/>
            <w:hideMark/>
          </w:tcPr>
          <w:p w14:paraId="66C67FEA"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-0.0042</w:t>
            </w:r>
          </w:p>
        </w:tc>
        <w:tc>
          <w:tcPr>
            <w:tcW w:w="1672" w:type="dxa"/>
            <w:tcBorders>
              <w:top w:val="nil"/>
              <w:left w:val="nil"/>
              <w:bottom w:val="nil"/>
              <w:right w:val="nil"/>
            </w:tcBorders>
            <w:shd w:val="clear" w:color="auto" w:fill="auto"/>
            <w:noWrap/>
            <w:vAlign w:val="bottom"/>
            <w:hideMark/>
          </w:tcPr>
          <w:p w14:paraId="68262DEA"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-0.0003</w:t>
            </w:r>
          </w:p>
        </w:tc>
        <w:tc>
          <w:tcPr>
            <w:tcW w:w="1756" w:type="dxa"/>
            <w:tcBorders>
              <w:top w:val="nil"/>
              <w:left w:val="nil"/>
              <w:bottom w:val="nil"/>
              <w:right w:val="nil"/>
            </w:tcBorders>
            <w:shd w:val="clear" w:color="auto" w:fill="auto"/>
            <w:noWrap/>
            <w:vAlign w:val="bottom"/>
            <w:hideMark/>
          </w:tcPr>
          <w:p w14:paraId="1BBC5828"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-0.0050*</w:t>
            </w:r>
          </w:p>
        </w:tc>
        <w:tc>
          <w:tcPr>
            <w:tcW w:w="1672" w:type="dxa"/>
            <w:tcBorders>
              <w:top w:val="nil"/>
              <w:left w:val="nil"/>
              <w:bottom w:val="nil"/>
              <w:right w:val="nil"/>
            </w:tcBorders>
            <w:shd w:val="clear" w:color="auto" w:fill="auto"/>
            <w:noWrap/>
            <w:vAlign w:val="bottom"/>
            <w:hideMark/>
          </w:tcPr>
          <w:p w14:paraId="238EAA75"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-0.0014</w:t>
            </w:r>
          </w:p>
        </w:tc>
      </w:tr>
      <w:tr w:rsidR="0012305F" w:rsidRPr="001B144C" w14:paraId="6078CB1B" w14:textId="77777777" w:rsidTr="00354437">
        <w:trPr>
          <w:trHeight w:hRule="exact" w:val="255"/>
        </w:trPr>
        <w:tc>
          <w:tcPr>
            <w:tcW w:w="2570" w:type="dxa"/>
            <w:tcBorders>
              <w:top w:val="nil"/>
              <w:left w:val="nil"/>
              <w:bottom w:val="nil"/>
              <w:right w:val="nil"/>
            </w:tcBorders>
            <w:shd w:val="clear" w:color="auto" w:fill="auto"/>
            <w:noWrap/>
            <w:vAlign w:val="bottom"/>
            <w:hideMark/>
          </w:tcPr>
          <w:p w14:paraId="0B7FFDCB"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4837FEDB"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(0.0032)</w:t>
            </w:r>
          </w:p>
        </w:tc>
        <w:tc>
          <w:tcPr>
            <w:tcW w:w="1672" w:type="dxa"/>
            <w:tcBorders>
              <w:top w:val="nil"/>
              <w:left w:val="nil"/>
              <w:bottom w:val="nil"/>
              <w:right w:val="nil"/>
            </w:tcBorders>
            <w:shd w:val="clear" w:color="auto" w:fill="auto"/>
            <w:noWrap/>
            <w:vAlign w:val="bottom"/>
            <w:hideMark/>
          </w:tcPr>
          <w:p w14:paraId="2738F48C"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(0.0025)</w:t>
            </w:r>
          </w:p>
        </w:tc>
        <w:tc>
          <w:tcPr>
            <w:tcW w:w="1756" w:type="dxa"/>
            <w:tcBorders>
              <w:top w:val="nil"/>
              <w:left w:val="nil"/>
              <w:bottom w:val="nil"/>
              <w:right w:val="nil"/>
            </w:tcBorders>
            <w:shd w:val="clear" w:color="auto" w:fill="auto"/>
            <w:noWrap/>
            <w:vAlign w:val="bottom"/>
            <w:hideMark/>
          </w:tcPr>
          <w:p w14:paraId="4F0A624B"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(0.0028)</w:t>
            </w:r>
          </w:p>
        </w:tc>
        <w:tc>
          <w:tcPr>
            <w:tcW w:w="1672" w:type="dxa"/>
            <w:tcBorders>
              <w:top w:val="nil"/>
              <w:left w:val="nil"/>
              <w:bottom w:val="nil"/>
              <w:right w:val="nil"/>
            </w:tcBorders>
            <w:shd w:val="clear" w:color="auto" w:fill="auto"/>
            <w:noWrap/>
            <w:vAlign w:val="bottom"/>
            <w:hideMark/>
          </w:tcPr>
          <w:p w14:paraId="5C69C35E"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(0.0024)</w:t>
            </w:r>
          </w:p>
        </w:tc>
      </w:tr>
      <w:tr w:rsidR="0012305F" w:rsidRPr="001B144C" w14:paraId="28324F86" w14:textId="77777777" w:rsidTr="00354437">
        <w:trPr>
          <w:trHeight w:hRule="exact" w:val="255"/>
        </w:trPr>
        <w:tc>
          <w:tcPr>
            <w:tcW w:w="2570" w:type="dxa"/>
            <w:tcBorders>
              <w:top w:val="nil"/>
              <w:left w:val="nil"/>
              <w:bottom w:val="nil"/>
              <w:right w:val="nil"/>
            </w:tcBorders>
            <w:shd w:val="clear" w:color="auto" w:fill="auto"/>
            <w:noWrap/>
            <w:vAlign w:val="bottom"/>
            <w:hideMark/>
          </w:tcPr>
          <w:p w14:paraId="1514C279"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proofErr w:type="spellStart"/>
            <w:r w:rsidRPr="001B144C">
              <w:rPr>
                <w:rFonts w:ascii="Times New Roman" w:eastAsia="Times New Roman" w:hAnsi="Times New Roman" w:cs="Times New Roman"/>
                <w:color w:val="000000"/>
                <w:sz w:val="20"/>
                <w:szCs w:val="20"/>
                <w:lang w:eastAsia="en-NZ"/>
              </w:rPr>
              <w:t>LifeExp</w:t>
            </w:r>
            <w:proofErr w:type="spellEnd"/>
          </w:p>
        </w:tc>
        <w:tc>
          <w:tcPr>
            <w:tcW w:w="1756" w:type="dxa"/>
            <w:tcBorders>
              <w:top w:val="nil"/>
              <w:left w:val="nil"/>
              <w:bottom w:val="nil"/>
              <w:right w:val="nil"/>
            </w:tcBorders>
            <w:shd w:val="clear" w:color="auto" w:fill="auto"/>
            <w:noWrap/>
            <w:vAlign w:val="bottom"/>
            <w:hideMark/>
          </w:tcPr>
          <w:p w14:paraId="58755281"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0.0003</w:t>
            </w:r>
          </w:p>
        </w:tc>
        <w:tc>
          <w:tcPr>
            <w:tcW w:w="1672" w:type="dxa"/>
            <w:tcBorders>
              <w:top w:val="nil"/>
              <w:left w:val="nil"/>
              <w:bottom w:val="nil"/>
              <w:right w:val="nil"/>
            </w:tcBorders>
            <w:shd w:val="clear" w:color="auto" w:fill="auto"/>
            <w:noWrap/>
            <w:vAlign w:val="bottom"/>
            <w:hideMark/>
          </w:tcPr>
          <w:p w14:paraId="27EB01B2"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-0.0012***</w:t>
            </w:r>
          </w:p>
        </w:tc>
        <w:tc>
          <w:tcPr>
            <w:tcW w:w="1756" w:type="dxa"/>
            <w:tcBorders>
              <w:top w:val="nil"/>
              <w:left w:val="nil"/>
              <w:bottom w:val="nil"/>
              <w:right w:val="nil"/>
            </w:tcBorders>
            <w:shd w:val="clear" w:color="auto" w:fill="auto"/>
            <w:noWrap/>
            <w:vAlign w:val="bottom"/>
            <w:hideMark/>
          </w:tcPr>
          <w:p w14:paraId="7DACD38A"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-0.0002</w:t>
            </w:r>
          </w:p>
        </w:tc>
        <w:tc>
          <w:tcPr>
            <w:tcW w:w="1672" w:type="dxa"/>
            <w:tcBorders>
              <w:top w:val="nil"/>
              <w:left w:val="nil"/>
              <w:bottom w:val="nil"/>
              <w:right w:val="nil"/>
            </w:tcBorders>
            <w:shd w:val="clear" w:color="auto" w:fill="auto"/>
            <w:noWrap/>
            <w:vAlign w:val="bottom"/>
            <w:hideMark/>
          </w:tcPr>
          <w:p w14:paraId="6A3C5914"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-0.0013***</w:t>
            </w:r>
          </w:p>
        </w:tc>
      </w:tr>
      <w:tr w:rsidR="0012305F" w:rsidRPr="001B144C" w14:paraId="20EA118E" w14:textId="77777777" w:rsidTr="00354437">
        <w:trPr>
          <w:trHeight w:hRule="exact" w:val="255"/>
        </w:trPr>
        <w:tc>
          <w:tcPr>
            <w:tcW w:w="2570" w:type="dxa"/>
            <w:tcBorders>
              <w:top w:val="nil"/>
              <w:left w:val="nil"/>
              <w:bottom w:val="nil"/>
              <w:right w:val="nil"/>
            </w:tcBorders>
            <w:shd w:val="clear" w:color="auto" w:fill="auto"/>
            <w:noWrap/>
            <w:vAlign w:val="bottom"/>
            <w:hideMark/>
          </w:tcPr>
          <w:p w14:paraId="2D2199CD"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7D162A4E"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(0.0007)</w:t>
            </w:r>
          </w:p>
        </w:tc>
        <w:tc>
          <w:tcPr>
            <w:tcW w:w="1672" w:type="dxa"/>
            <w:tcBorders>
              <w:top w:val="nil"/>
              <w:left w:val="nil"/>
              <w:bottom w:val="nil"/>
              <w:right w:val="nil"/>
            </w:tcBorders>
            <w:shd w:val="clear" w:color="auto" w:fill="auto"/>
            <w:noWrap/>
            <w:vAlign w:val="bottom"/>
            <w:hideMark/>
          </w:tcPr>
          <w:p w14:paraId="5661F48F"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(0.0004)</w:t>
            </w:r>
          </w:p>
        </w:tc>
        <w:tc>
          <w:tcPr>
            <w:tcW w:w="1756" w:type="dxa"/>
            <w:tcBorders>
              <w:top w:val="nil"/>
              <w:left w:val="nil"/>
              <w:bottom w:val="nil"/>
              <w:right w:val="nil"/>
            </w:tcBorders>
            <w:shd w:val="clear" w:color="auto" w:fill="auto"/>
            <w:noWrap/>
            <w:vAlign w:val="bottom"/>
            <w:hideMark/>
          </w:tcPr>
          <w:p w14:paraId="06F00677"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(0.0005)</w:t>
            </w:r>
          </w:p>
        </w:tc>
        <w:tc>
          <w:tcPr>
            <w:tcW w:w="1672" w:type="dxa"/>
            <w:tcBorders>
              <w:top w:val="nil"/>
              <w:left w:val="nil"/>
              <w:bottom w:val="nil"/>
              <w:right w:val="nil"/>
            </w:tcBorders>
            <w:shd w:val="clear" w:color="auto" w:fill="auto"/>
            <w:noWrap/>
            <w:vAlign w:val="bottom"/>
            <w:hideMark/>
          </w:tcPr>
          <w:p w14:paraId="4134C804"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(0.0005)</w:t>
            </w:r>
          </w:p>
        </w:tc>
      </w:tr>
      <w:tr w:rsidR="0012305F" w:rsidRPr="001B144C" w14:paraId="0A4A0E7E" w14:textId="77777777" w:rsidTr="00354437">
        <w:trPr>
          <w:trHeight w:hRule="exact" w:val="255"/>
        </w:trPr>
        <w:tc>
          <w:tcPr>
            <w:tcW w:w="2570" w:type="dxa"/>
            <w:tcBorders>
              <w:top w:val="nil"/>
              <w:left w:val="nil"/>
              <w:bottom w:val="nil"/>
              <w:right w:val="nil"/>
            </w:tcBorders>
            <w:shd w:val="clear" w:color="auto" w:fill="auto"/>
            <w:noWrap/>
            <w:vAlign w:val="bottom"/>
            <w:hideMark/>
          </w:tcPr>
          <w:p w14:paraId="4EB02EBB"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Gamma</w:t>
            </w:r>
          </w:p>
        </w:tc>
        <w:tc>
          <w:tcPr>
            <w:tcW w:w="1756" w:type="dxa"/>
            <w:tcBorders>
              <w:top w:val="nil"/>
              <w:left w:val="nil"/>
              <w:bottom w:val="nil"/>
              <w:right w:val="nil"/>
            </w:tcBorders>
            <w:shd w:val="clear" w:color="auto" w:fill="auto"/>
            <w:noWrap/>
            <w:vAlign w:val="bottom"/>
            <w:hideMark/>
          </w:tcPr>
          <w:p w14:paraId="57FD93F9"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0.3282</w:t>
            </w:r>
          </w:p>
        </w:tc>
        <w:tc>
          <w:tcPr>
            <w:tcW w:w="1672" w:type="dxa"/>
            <w:tcBorders>
              <w:top w:val="nil"/>
              <w:left w:val="nil"/>
              <w:bottom w:val="nil"/>
              <w:right w:val="nil"/>
            </w:tcBorders>
            <w:shd w:val="clear" w:color="auto" w:fill="auto"/>
            <w:noWrap/>
            <w:vAlign w:val="bottom"/>
            <w:hideMark/>
          </w:tcPr>
          <w:p w14:paraId="3622A1B5"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0.5442**</w:t>
            </w:r>
          </w:p>
        </w:tc>
        <w:tc>
          <w:tcPr>
            <w:tcW w:w="1756" w:type="dxa"/>
            <w:tcBorders>
              <w:top w:val="nil"/>
              <w:left w:val="nil"/>
              <w:bottom w:val="nil"/>
              <w:right w:val="nil"/>
            </w:tcBorders>
            <w:shd w:val="clear" w:color="auto" w:fill="auto"/>
            <w:noWrap/>
            <w:vAlign w:val="bottom"/>
            <w:hideMark/>
          </w:tcPr>
          <w:p w14:paraId="69A265F5"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0.2506</w:t>
            </w:r>
          </w:p>
        </w:tc>
        <w:tc>
          <w:tcPr>
            <w:tcW w:w="1672" w:type="dxa"/>
            <w:tcBorders>
              <w:top w:val="nil"/>
              <w:left w:val="nil"/>
              <w:bottom w:val="nil"/>
              <w:right w:val="nil"/>
            </w:tcBorders>
            <w:shd w:val="clear" w:color="auto" w:fill="auto"/>
            <w:noWrap/>
            <w:vAlign w:val="bottom"/>
            <w:hideMark/>
          </w:tcPr>
          <w:p w14:paraId="162E539B" w14:textId="77777777" w:rsidR="0012305F" w:rsidRPr="003D5B36"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3D5B36">
              <w:rPr>
                <w:rFonts w:ascii="Times New Roman" w:eastAsia="Times New Roman" w:hAnsi="Times New Roman" w:cs="Times New Roman"/>
                <w:color w:val="000000"/>
                <w:sz w:val="20"/>
                <w:szCs w:val="20"/>
                <w:lang w:eastAsia="en-NZ"/>
              </w:rPr>
              <w:t xml:space="preserve">0.4771** </w:t>
            </w:r>
          </w:p>
        </w:tc>
      </w:tr>
      <w:tr w:rsidR="0012305F" w:rsidRPr="001B144C" w14:paraId="7390530C" w14:textId="77777777" w:rsidTr="00354437">
        <w:trPr>
          <w:trHeight w:hRule="exact" w:val="255"/>
        </w:trPr>
        <w:tc>
          <w:tcPr>
            <w:tcW w:w="2570" w:type="dxa"/>
            <w:tcBorders>
              <w:top w:val="nil"/>
              <w:left w:val="nil"/>
              <w:bottom w:val="nil"/>
              <w:right w:val="nil"/>
            </w:tcBorders>
            <w:shd w:val="clear" w:color="auto" w:fill="auto"/>
            <w:noWrap/>
            <w:vAlign w:val="bottom"/>
            <w:hideMark/>
          </w:tcPr>
          <w:p w14:paraId="561ABF8E"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p>
        </w:tc>
        <w:tc>
          <w:tcPr>
            <w:tcW w:w="1756" w:type="dxa"/>
            <w:tcBorders>
              <w:top w:val="nil"/>
              <w:left w:val="nil"/>
              <w:bottom w:val="nil"/>
              <w:right w:val="nil"/>
            </w:tcBorders>
            <w:shd w:val="clear" w:color="auto" w:fill="auto"/>
            <w:noWrap/>
            <w:vAlign w:val="bottom"/>
            <w:hideMark/>
          </w:tcPr>
          <w:p w14:paraId="5B3384E0"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(0.2132)</w:t>
            </w:r>
          </w:p>
        </w:tc>
        <w:tc>
          <w:tcPr>
            <w:tcW w:w="1672" w:type="dxa"/>
            <w:tcBorders>
              <w:top w:val="nil"/>
              <w:left w:val="nil"/>
              <w:bottom w:val="nil"/>
              <w:right w:val="nil"/>
            </w:tcBorders>
            <w:shd w:val="clear" w:color="auto" w:fill="auto"/>
            <w:noWrap/>
            <w:vAlign w:val="bottom"/>
            <w:hideMark/>
          </w:tcPr>
          <w:p w14:paraId="627D5A7E"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(0.2207)</w:t>
            </w:r>
          </w:p>
        </w:tc>
        <w:tc>
          <w:tcPr>
            <w:tcW w:w="1756" w:type="dxa"/>
            <w:tcBorders>
              <w:top w:val="nil"/>
              <w:left w:val="nil"/>
              <w:bottom w:val="nil"/>
              <w:right w:val="nil"/>
            </w:tcBorders>
            <w:shd w:val="clear" w:color="auto" w:fill="auto"/>
            <w:noWrap/>
            <w:vAlign w:val="bottom"/>
            <w:hideMark/>
          </w:tcPr>
          <w:p w14:paraId="7E057ACC"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(0.1846)</w:t>
            </w:r>
          </w:p>
        </w:tc>
        <w:tc>
          <w:tcPr>
            <w:tcW w:w="1672" w:type="dxa"/>
            <w:tcBorders>
              <w:top w:val="nil"/>
              <w:left w:val="nil"/>
              <w:bottom w:val="nil"/>
              <w:right w:val="nil"/>
            </w:tcBorders>
            <w:shd w:val="clear" w:color="auto" w:fill="auto"/>
            <w:noWrap/>
            <w:vAlign w:val="bottom"/>
            <w:hideMark/>
          </w:tcPr>
          <w:p w14:paraId="3344DAF2"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(0.2419)</w:t>
            </w:r>
          </w:p>
        </w:tc>
      </w:tr>
      <w:tr w:rsidR="0012305F" w:rsidRPr="001B144C" w14:paraId="64405422" w14:textId="77777777" w:rsidTr="00354437">
        <w:trPr>
          <w:trHeight w:hRule="exact" w:val="255"/>
        </w:trPr>
        <w:tc>
          <w:tcPr>
            <w:tcW w:w="2570" w:type="dxa"/>
            <w:tcBorders>
              <w:top w:val="nil"/>
              <w:left w:val="nil"/>
              <w:bottom w:val="nil"/>
              <w:right w:val="nil"/>
            </w:tcBorders>
            <w:shd w:val="clear" w:color="auto" w:fill="auto"/>
            <w:noWrap/>
            <w:vAlign w:val="bottom"/>
            <w:hideMark/>
          </w:tcPr>
          <w:p w14:paraId="02CEEB19"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Observation</w:t>
            </w:r>
          </w:p>
        </w:tc>
        <w:tc>
          <w:tcPr>
            <w:tcW w:w="1756" w:type="dxa"/>
            <w:tcBorders>
              <w:top w:val="nil"/>
              <w:left w:val="nil"/>
              <w:bottom w:val="nil"/>
              <w:right w:val="nil"/>
            </w:tcBorders>
            <w:shd w:val="clear" w:color="auto" w:fill="auto"/>
            <w:noWrap/>
            <w:vAlign w:val="bottom"/>
            <w:hideMark/>
          </w:tcPr>
          <w:p w14:paraId="571DDBBF"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497</w:t>
            </w:r>
          </w:p>
        </w:tc>
        <w:tc>
          <w:tcPr>
            <w:tcW w:w="1672" w:type="dxa"/>
            <w:tcBorders>
              <w:top w:val="nil"/>
              <w:left w:val="nil"/>
              <w:bottom w:val="nil"/>
              <w:right w:val="nil"/>
            </w:tcBorders>
            <w:shd w:val="clear" w:color="auto" w:fill="auto"/>
            <w:noWrap/>
            <w:vAlign w:val="bottom"/>
            <w:hideMark/>
          </w:tcPr>
          <w:p w14:paraId="2F841B09"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497</w:t>
            </w:r>
          </w:p>
        </w:tc>
        <w:tc>
          <w:tcPr>
            <w:tcW w:w="1756" w:type="dxa"/>
            <w:tcBorders>
              <w:top w:val="nil"/>
              <w:left w:val="nil"/>
              <w:bottom w:val="nil"/>
              <w:right w:val="nil"/>
            </w:tcBorders>
            <w:shd w:val="clear" w:color="auto" w:fill="auto"/>
            <w:noWrap/>
            <w:vAlign w:val="bottom"/>
            <w:hideMark/>
          </w:tcPr>
          <w:p w14:paraId="7A0E0148"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497</w:t>
            </w:r>
          </w:p>
        </w:tc>
        <w:tc>
          <w:tcPr>
            <w:tcW w:w="1672" w:type="dxa"/>
            <w:tcBorders>
              <w:top w:val="nil"/>
              <w:left w:val="nil"/>
              <w:bottom w:val="nil"/>
              <w:right w:val="nil"/>
            </w:tcBorders>
            <w:shd w:val="clear" w:color="auto" w:fill="auto"/>
            <w:noWrap/>
            <w:vAlign w:val="bottom"/>
            <w:hideMark/>
          </w:tcPr>
          <w:p w14:paraId="06541F45"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497</w:t>
            </w:r>
          </w:p>
        </w:tc>
      </w:tr>
      <w:tr w:rsidR="0012305F" w:rsidRPr="001B144C" w14:paraId="1174986A" w14:textId="77777777" w:rsidTr="00354437">
        <w:trPr>
          <w:trHeight w:hRule="exact" w:val="255"/>
        </w:trPr>
        <w:tc>
          <w:tcPr>
            <w:tcW w:w="2570" w:type="dxa"/>
            <w:tcBorders>
              <w:top w:val="nil"/>
              <w:left w:val="nil"/>
              <w:bottom w:val="nil"/>
              <w:right w:val="nil"/>
            </w:tcBorders>
            <w:shd w:val="clear" w:color="auto" w:fill="auto"/>
            <w:noWrap/>
            <w:vAlign w:val="bottom"/>
            <w:hideMark/>
          </w:tcPr>
          <w:p w14:paraId="12E893CA"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Country</w:t>
            </w:r>
          </w:p>
        </w:tc>
        <w:tc>
          <w:tcPr>
            <w:tcW w:w="1756" w:type="dxa"/>
            <w:tcBorders>
              <w:top w:val="nil"/>
              <w:left w:val="nil"/>
              <w:bottom w:val="nil"/>
              <w:right w:val="nil"/>
            </w:tcBorders>
            <w:shd w:val="clear" w:color="auto" w:fill="auto"/>
            <w:noWrap/>
            <w:vAlign w:val="bottom"/>
            <w:hideMark/>
          </w:tcPr>
          <w:p w14:paraId="7F7A7463"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71</w:t>
            </w:r>
          </w:p>
        </w:tc>
        <w:tc>
          <w:tcPr>
            <w:tcW w:w="1672" w:type="dxa"/>
            <w:tcBorders>
              <w:top w:val="nil"/>
              <w:left w:val="nil"/>
              <w:bottom w:val="nil"/>
              <w:right w:val="nil"/>
            </w:tcBorders>
            <w:shd w:val="clear" w:color="auto" w:fill="auto"/>
            <w:noWrap/>
            <w:vAlign w:val="bottom"/>
            <w:hideMark/>
          </w:tcPr>
          <w:p w14:paraId="17CFE929"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71</w:t>
            </w:r>
          </w:p>
        </w:tc>
        <w:tc>
          <w:tcPr>
            <w:tcW w:w="1756" w:type="dxa"/>
            <w:tcBorders>
              <w:top w:val="nil"/>
              <w:left w:val="nil"/>
              <w:bottom w:val="nil"/>
              <w:right w:val="nil"/>
            </w:tcBorders>
            <w:shd w:val="clear" w:color="auto" w:fill="auto"/>
            <w:noWrap/>
            <w:vAlign w:val="bottom"/>
            <w:hideMark/>
          </w:tcPr>
          <w:p w14:paraId="1E3092A7"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71</w:t>
            </w:r>
          </w:p>
        </w:tc>
        <w:tc>
          <w:tcPr>
            <w:tcW w:w="1672" w:type="dxa"/>
            <w:tcBorders>
              <w:top w:val="nil"/>
              <w:left w:val="nil"/>
              <w:bottom w:val="nil"/>
              <w:right w:val="nil"/>
            </w:tcBorders>
            <w:shd w:val="clear" w:color="auto" w:fill="auto"/>
            <w:noWrap/>
            <w:vAlign w:val="bottom"/>
            <w:hideMark/>
          </w:tcPr>
          <w:p w14:paraId="4876D274"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71</w:t>
            </w:r>
          </w:p>
        </w:tc>
      </w:tr>
      <w:tr w:rsidR="0012305F" w:rsidRPr="001B144C" w14:paraId="7267B3C0" w14:textId="77777777" w:rsidTr="00354437">
        <w:trPr>
          <w:trHeight w:hRule="exact" w:val="227"/>
        </w:trPr>
        <w:tc>
          <w:tcPr>
            <w:tcW w:w="2570" w:type="dxa"/>
            <w:tcBorders>
              <w:top w:val="nil"/>
              <w:left w:val="nil"/>
              <w:bottom w:val="single" w:sz="4" w:space="0" w:color="auto"/>
              <w:right w:val="nil"/>
            </w:tcBorders>
            <w:shd w:val="clear" w:color="auto" w:fill="auto"/>
            <w:noWrap/>
            <w:vAlign w:val="bottom"/>
            <w:hideMark/>
          </w:tcPr>
          <w:p w14:paraId="4107E00B" w14:textId="77777777" w:rsidR="0012305F" w:rsidRPr="001B144C" w:rsidRDefault="0012305F" w:rsidP="00354437">
            <w:pPr>
              <w:spacing w:after="0" w:line="240" w:lineRule="auto"/>
              <w:ind w:firstLine="0"/>
              <w:jc w:val="left"/>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Instrument</w:t>
            </w:r>
          </w:p>
        </w:tc>
        <w:tc>
          <w:tcPr>
            <w:tcW w:w="1756" w:type="dxa"/>
            <w:tcBorders>
              <w:top w:val="nil"/>
              <w:left w:val="nil"/>
              <w:bottom w:val="nil"/>
              <w:right w:val="nil"/>
            </w:tcBorders>
            <w:shd w:val="clear" w:color="auto" w:fill="auto"/>
            <w:noWrap/>
            <w:vAlign w:val="bottom"/>
            <w:hideMark/>
          </w:tcPr>
          <w:p w14:paraId="662ACF0D"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64</w:t>
            </w:r>
          </w:p>
        </w:tc>
        <w:tc>
          <w:tcPr>
            <w:tcW w:w="1672" w:type="dxa"/>
            <w:tcBorders>
              <w:top w:val="nil"/>
              <w:left w:val="nil"/>
              <w:bottom w:val="nil"/>
              <w:right w:val="nil"/>
            </w:tcBorders>
            <w:shd w:val="clear" w:color="auto" w:fill="auto"/>
            <w:noWrap/>
            <w:vAlign w:val="bottom"/>
            <w:hideMark/>
          </w:tcPr>
          <w:p w14:paraId="13560363"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67</w:t>
            </w:r>
          </w:p>
        </w:tc>
        <w:tc>
          <w:tcPr>
            <w:tcW w:w="1756" w:type="dxa"/>
            <w:tcBorders>
              <w:top w:val="nil"/>
              <w:left w:val="nil"/>
              <w:bottom w:val="nil"/>
              <w:right w:val="nil"/>
            </w:tcBorders>
            <w:shd w:val="clear" w:color="auto" w:fill="auto"/>
            <w:noWrap/>
            <w:vAlign w:val="bottom"/>
            <w:hideMark/>
          </w:tcPr>
          <w:p w14:paraId="65CCA263"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50</w:t>
            </w:r>
          </w:p>
        </w:tc>
        <w:tc>
          <w:tcPr>
            <w:tcW w:w="1672" w:type="dxa"/>
            <w:tcBorders>
              <w:top w:val="nil"/>
              <w:left w:val="nil"/>
              <w:bottom w:val="nil"/>
              <w:right w:val="nil"/>
            </w:tcBorders>
            <w:shd w:val="clear" w:color="auto" w:fill="auto"/>
            <w:noWrap/>
            <w:vAlign w:val="bottom"/>
            <w:hideMark/>
          </w:tcPr>
          <w:p w14:paraId="767E9D5B" w14:textId="77777777" w:rsidR="0012305F" w:rsidRPr="001B144C" w:rsidRDefault="0012305F" w:rsidP="00354437">
            <w:pPr>
              <w:spacing w:after="0" w:line="240" w:lineRule="auto"/>
              <w:ind w:firstLine="0"/>
              <w:jc w:val="center"/>
              <w:rPr>
                <w:rFonts w:ascii="Times New Roman" w:eastAsia="Times New Roman" w:hAnsi="Times New Roman" w:cs="Times New Roman"/>
                <w:color w:val="000000"/>
                <w:sz w:val="20"/>
                <w:szCs w:val="20"/>
                <w:lang w:eastAsia="en-NZ"/>
              </w:rPr>
            </w:pPr>
            <w:r w:rsidRPr="001B144C">
              <w:rPr>
                <w:rFonts w:ascii="Times New Roman" w:eastAsia="Times New Roman" w:hAnsi="Times New Roman" w:cs="Times New Roman"/>
                <w:color w:val="000000"/>
                <w:sz w:val="20"/>
                <w:szCs w:val="20"/>
                <w:lang w:eastAsia="en-NZ"/>
              </w:rPr>
              <w:t>57</w:t>
            </w:r>
          </w:p>
        </w:tc>
      </w:tr>
      <w:tr w:rsidR="0012305F" w:rsidRPr="001B144C" w14:paraId="2CB48B46" w14:textId="77777777" w:rsidTr="00E0730B">
        <w:trPr>
          <w:trHeight w:hRule="exact" w:val="2036"/>
        </w:trPr>
        <w:tc>
          <w:tcPr>
            <w:tcW w:w="9426" w:type="dxa"/>
            <w:gridSpan w:val="5"/>
            <w:tcBorders>
              <w:top w:val="nil"/>
              <w:left w:val="nil"/>
              <w:bottom w:val="single" w:sz="4" w:space="0" w:color="auto"/>
            </w:tcBorders>
            <w:shd w:val="clear" w:color="auto" w:fill="auto"/>
            <w:noWrap/>
            <w:vAlign w:val="bottom"/>
          </w:tcPr>
          <w:p w14:paraId="68198EF2" w14:textId="2E15A9AC" w:rsidR="0012305F" w:rsidRDefault="0012305F" w:rsidP="00C56F42">
            <w:pPr>
              <w:autoSpaceDE w:val="0"/>
              <w:autoSpaceDN w:val="0"/>
              <w:adjustRightInd w:val="0"/>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xml:space="preserve">Notes: Table </w:t>
            </w:r>
            <w:r w:rsidR="00C5618F">
              <w:rPr>
                <w:rFonts w:ascii="Times New Roman" w:eastAsia="Times New Roman" w:hAnsi="Times New Roman" w:cs="Times New Roman"/>
                <w:color w:val="000000"/>
                <w:sz w:val="20"/>
                <w:szCs w:val="20"/>
                <w:lang w:eastAsia="en-NZ"/>
              </w:rPr>
              <w:t>6</w:t>
            </w:r>
            <w:r>
              <w:rPr>
                <w:rFonts w:ascii="Times New Roman" w:eastAsia="Times New Roman" w:hAnsi="Times New Roman" w:cs="Times New Roman"/>
                <w:color w:val="000000"/>
                <w:sz w:val="20"/>
                <w:szCs w:val="20"/>
                <w:lang w:eastAsia="en-NZ"/>
              </w:rPr>
              <w:t xml:space="preserve"> reports the impact of financial openness on the FD and income inequality relationship</w:t>
            </w:r>
            <w:r w:rsidR="00C5618F">
              <w:rPr>
                <w:rFonts w:ascii="Times New Roman" w:eastAsia="Times New Roman" w:hAnsi="Times New Roman" w:cs="Times New Roman"/>
                <w:color w:val="000000"/>
                <w:sz w:val="20"/>
                <w:szCs w:val="20"/>
                <w:lang w:eastAsia="en-NZ"/>
              </w:rPr>
              <w:t xml:space="preserve"> using Dynamic Panel Threshold Regression</w:t>
            </w:r>
            <w:r>
              <w:rPr>
                <w:rFonts w:ascii="Times New Roman" w:eastAsia="Times New Roman" w:hAnsi="Times New Roman" w:cs="Times New Roman"/>
                <w:color w:val="000000"/>
                <w:sz w:val="20"/>
                <w:szCs w:val="20"/>
                <w:lang w:eastAsia="en-NZ"/>
              </w:rPr>
              <w:t xml:space="preserve">. </w:t>
            </w:r>
            <w:r w:rsidR="00C56F42">
              <w:rPr>
                <w:rFonts w:ascii="Times New Roman" w:eastAsia="Times New Roman" w:hAnsi="Times New Roman" w:cs="Times New Roman"/>
                <w:color w:val="000000"/>
                <w:sz w:val="20"/>
                <w:szCs w:val="20"/>
                <w:lang w:eastAsia="en-NZ"/>
              </w:rPr>
              <w:t>Private</w:t>
            </w:r>
            <w:r w:rsidR="00C5618F" w:rsidRPr="00C5618F">
              <w:rPr>
                <w:rFonts w:ascii="Times New Roman" w:eastAsia="Times New Roman" w:hAnsi="Times New Roman" w:cs="Times New Roman"/>
                <w:color w:val="000000"/>
                <w:sz w:val="20"/>
                <w:szCs w:val="20"/>
                <w:lang w:eastAsia="en-NZ"/>
              </w:rPr>
              <w:t xml:space="preserve"> credit and liquid liabilities are used as the financial development</w:t>
            </w:r>
            <w:r w:rsidR="00C56F42">
              <w:rPr>
                <w:rFonts w:ascii="Times New Roman" w:eastAsia="Times New Roman" w:hAnsi="Times New Roman" w:cs="Times New Roman"/>
                <w:color w:val="000000"/>
                <w:sz w:val="20"/>
                <w:szCs w:val="20"/>
                <w:lang w:eastAsia="en-NZ"/>
              </w:rPr>
              <w:t xml:space="preserve"> </w:t>
            </w:r>
            <w:r w:rsidR="00C5618F" w:rsidRPr="00C5618F">
              <w:rPr>
                <w:rFonts w:ascii="Times New Roman" w:eastAsia="Times New Roman" w:hAnsi="Times New Roman" w:cs="Times New Roman"/>
                <w:color w:val="000000"/>
                <w:sz w:val="20"/>
                <w:szCs w:val="20"/>
                <w:lang w:eastAsia="en-NZ"/>
              </w:rPr>
              <w:t xml:space="preserve">(FD) </w:t>
            </w:r>
            <w:r w:rsidR="00C56F42">
              <w:rPr>
                <w:rFonts w:ascii="Times New Roman" w:eastAsia="Times New Roman" w:hAnsi="Times New Roman" w:cs="Times New Roman"/>
                <w:color w:val="000000"/>
                <w:sz w:val="20"/>
                <w:szCs w:val="20"/>
                <w:lang w:eastAsia="en-NZ"/>
              </w:rPr>
              <w:t xml:space="preserve">and FO and TO are used as </w:t>
            </w:r>
            <w:r w:rsidR="00C5618F" w:rsidRPr="00C5618F">
              <w:rPr>
                <w:rFonts w:ascii="Times New Roman" w:eastAsia="Times New Roman" w:hAnsi="Times New Roman" w:cs="Times New Roman"/>
                <w:color w:val="000000"/>
                <w:sz w:val="20"/>
                <w:szCs w:val="20"/>
                <w:lang w:eastAsia="en-NZ"/>
              </w:rPr>
              <w:t>threshold variables. The point estimates of the thresholds and the corresponding</w:t>
            </w:r>
            <w:r w:rsidR="00C56F42">
              <w:rPr>
                <w:rFonts w:ascii="Times New Roman" w:eastAsia="Times New Roman" w:hAnsi="Times New Roman" w:cs="Times New Roman"/>
                <w:color w:val="000000"/>
                <w:sz w:val="20"/>
                <w:szCs w:val="20"/>
                <w:lang w:eastAsia="en-NZ"/>
              </w:rPr>
              <w:t xml:space="preserve"> </w:t>
            </w:r>
            <w:r w:rsidR="00C5618F" w:rsidRPr="00C5618F">
              <w:rPr>
                <w:rFonts w:ascii="Times New Roman" w:eastAsia="Times New Roman" w:hAnsi="Times New Roman" w:cs="Times New Roman"/>
                <w:color w:val="000000"/>
                <w:sz w:val="20"/>
                <w:szCs w:val="20"/>
                <w:lang w:eastAsia="en-NZ"/>
              </w:rPr>
              <w:t xml:space="preserve">95% confidence </w:t>
            </w:r>
            <w:r w:rsidR="00B15F46" w:rsidRPr="00C5618F">
              <w:rPr>
                <w:rFonts w:ascii="Times New Roman" w:eastAsia="Times New Roman" w:hAnsi="Times New Roman" w:cs="Times New Roman"/>
                <w:color w:val="000000"/>
                <w:sz w:val="20"/>
                <w:szCs w:val="20"/>
                <w:lang w:eastAsia="en-NZ"/>
              </w:rPr>
              <w:t>intervals are</w:t>
            </w:r>
            <w:r w:rsidR="00C5618F" w:rsidRPr="00C5618F">
              <w:rPr>
                <w:rFonts w:ascii="Times New Roman" w:eastAsia="Times New Roman" w:hAnsi="Times New Roman" w:cs="Times New Roman"/>
                <w:color w:val="000000"/>
                <w:sz w:val="20"/>
                <w:szCs w:val="20"/>
                <w:lang w:eastAsia="en-NZ"/>
              </w:rPr>
              <w:t xml:space="preserve"> reported in the first two rows respectively. The regime</w:t>
            </w:r>
            <w:r w:rsidR="00C56F42">
              <w:rPr>
                <w:rFonts w:ascii="Times New Roman" w:eastAsia="Times New Roman" w:hAnsi="Times New Roman" w:cs="Times New Roman"/>
                <w:color w:val="000000"/>
                <w:sz w:val="20"/>
                <w:szCs w:val="20"/>
                <w:lang w:eastAsia="en-NZ"/>
              </w:rPr>
              <w:t xml:space="preserve"> </w:t>
            </w:r>
            <w:r w:rsidR="00C5618F" w:rsidRPr="00C5618F">
              <w:rPr>
                <w:rFonts w:ascii="Times New Roman" w:eastAsia="Times New Roman" w:hAnsi="Times New Roman" w:cs="Times New Roman"/>
                <w:color w:val="000000"/>
                <w:sz w:val="20"/>
                <w:szCs w:val="20"/>
                <w:lang w:eastAsia="en-NZ"/>
              </w:rPr>
              <w:t>dependent</w:t>
            </w:r>
            <w:r w:rsidR="00C56F42">
              <w:rPr>
                <w:rFonts w:ascii="Times New Roman" w:eastAsia="Times New Roman" w:hAnsi="Times New Roman" w:cs="Times New Roman"/>
                <w:color w:val="000000"/>
                <w:sz w:val="20"/>
                <w:szCs w:val="20"/>
                <w:lang w:eastAsia="en-NZ"/>
              </w:rPr>
              <w:t xml:space="preserve"> </w:t>
            </w:r>
            <w:r w:rsidR="00C5618F" w:rsidRPr="00C5618F">
              <w:rPr>
                <w:rFonts w:ascii="Times New Roman" w:eastAsia="Times New Roman" w:hAnsi="Times New Roman" w:cs="Times New Roman"/>
                <w:color w:val="000000"/>
                <w:sz w:val="20"/>
                <w:szCs w:val="20"/>
                <w:lang w:eastAsia="en-NZ"/>
              </w:rPr>
              <w:t xml:space="preserve">marginal effects of </w:t>
            </w:r>
            <w:r w:rsidR="00C56F42">
              <w:rPr>
                <w:rFonts w:ascii="Times New Roman" w:eastAsia="Times New Roman" w:hAnsi="Times New Roman" w:cs="Times New Roman"/>
                <w:color w:val="000000"/>
                <w:sz w:val="20"/>
                <w:szCs w:val="20"/>
                <w:lang w:eastAsia="en-NZ"/>
              </w:rPr>
              <w:t>FD</w:t>
            </w:r>
            <w:r w:rsidR="00C5618F" w:rsidRPr="00C5618F">
              <w:rPr>
                <w:rFonts w:ascii="Times New Roman" w:eastAsia="Times New Roman" w:hAnsi="Times New Roman" w:cs="Times New Roman"/>
                <w:color w:val="000000"/>
                <w:sz w:val="20"/>
                <w:szCs w:val="20"/>
                <w:lang w:eastAsia="en-NZ"/>
              </w:rPr>
              <w:t xml:space="preserve"> on </w:t>
            </w:r>
            <w:r w:rsidR="00C56F42">
              <w:rPr>
                <w:rFonts w:ascii="Times New Roman" w:eastAsia="Times New Roman" w:hAnsi="Times New Roman" w:cs="Times New Roman"/>
                <w:color w:val="000000"/>
                <w:sz w:val="20"/>
                <w:szCs w:val="20"/>
                <w:lang w:eastAsia="en-NZ"/>
              </w:rPr>
              <w:t xml:space="preserve">income </w:t>
            </w:r>
            <w:r w:rsidR="00B15F46">
              <w:rPr>
                <w:rFonts w:ascii="Times New Roman" w:eastAsia="Times New Roman" w:hAnsi="Times New Roman" w:cs="Times New Roman"/>
                <w:color w:val="000000"/>
                <w:sz w:val="20"/>
                <w:szCs w:val="20"/>
                <w:lang w:eastAsia="en-NZ"/>
              </w:rPr>
              <w:t xml:space="preserve">inequality </w:t>
            </w:r>
            <w:r w:rsidR="00B15F46" w:rsidRPr="00C5618F">
              <w:rPr>
                <w:rFonts w:ascii="Times New Roman" w:eastAsia="Times New Roman" w:hAnsi="Times New Roman" w:cs="Times New Roman"/>
                <w:color w:val="000000"/>
                <w:sz w:val="20"/>
                <w:szCs w:val="20"/>
                <w:lang w:eastAsia="en-NZ"/>
              </w:rPr>
              <w:t>are</w:t>
            </w:r>
            <w:r w:rsidR="00C5618F" w:rsidRPr="00C5618F">
              <w:rPr>
                <w:rFonts w:ascii="Times New Roman" w:eastAsia="Times New Roman" w:hAnsi="Times New Roman" w:cs="Times New Roman"/>
                <w:color w:val="000000"/>
                <w:sz w:val="20"/>
                <w:szCs w:val="20"/>
                <w:lang w:eastAsia="en-NZ"/>
              </w:rPr>
              <w:t xml:space="preserve"> </w:t>
            </w:r>
            <w:r w:rsidR="00C56F42">
              <w:rPr>
                <w:rFonts w:ascii="Times New Roman" w:eastAsia="Times New Roman" w:hAnsi="Times New Roman" w:cs="Times New Roman"/>
                <w:color w:val="000000"/>
                <w:sz w:val="20"/>
                <w:szCs w:val="20"/>
                <w:lang w:eastAsia="en-NZ"/>
              </w:rPr>
              <w:t>shown</w:t>
            </w:r>
            <w:r w:rsidR="00C5618F" w:rsidRPr="00C5618F">
              <w:rPr>
                <w:rFonts w:ascii="Times New Roman" w:eastAsia="Times New Roman" w:hAnsi="Times New Roman" w:cs="Times New Roman"/>
                <w:color w:val="000000"/>
                <w:sz w:val="20"/>
                <w:szCs w:val="20"/>
                <w:lang w:eastAsia="en-NZ"/>
              </w:rPr>
              <w:t xml:space="preserve"> by </w:t>
            </w:r>
            <w:r w:rsidR="00C56F42">
              <w:rPr>
                <w:rFonts w:ascii="Times New Roman" w:eastAsia="Times New Roman" w:hAnsi="Times New Roman" w:cs="Times New Roman"/>
                <w:color w:val="000000"/>
                <w:sz w:val="20"/>
                <w:szCs w:val="20"/>
                <w:lang w:eastAsia="en-NZ"/>
              </w:rPr>
              <w:t>“Below threshold”</w:t>
            </w:r>
            <w:r w:rsidR="00C5618F" w:rsidRPr="00C5618F">
              <w:rPr>
                <w:rFonts w:ascii="Times New Roman" w:eastAsia="Times New Roman" w:hAnsi="Times New Roman" w:cs="Times New Roman"/>
                <w:color w:val="000000"/>
                <w:sz w:val="20"/>
                <w:szCs w:val="20"/>
                <w:lang w:eastAsia="en-NZ"/>
              </w:rPr>
              <w:t xml:space="preserve"> and</w:t>
            </w:r>
            <w:r w:rsidR="00C56F42">
              <w:rPr>
                <w:rFonts w:ascii="Cambria Math" w:eastAsia="Times New Roman" w:hAnsi="Cambria Math" w:cs="Cambria Math"/>
                <w:color w:val="000000"/>
                <w:sz w:val="20"/>
                <w:szCs w:val="20"/>
                <w:lang w:eastAsia="en-NZ"/>
              </w:rPr>
              <w:t xml:space="preserve"> “Above threshold”</w:t>
            </w:r>
            <w:r w:rsidR="00C5618F" w:rsidRPr="00C5618F">
              <w:rPr>
                <w:rFonts w:ascii="Times New Roman" w:eastAsia="Times New Roman" w:hAnsi="Times New Roman" w:cs="Times New Roman"/>
                <w:color w:val="000000"/>
                <w:sz w:val="20"/>
                <w:szCs w:val="20"/>
                <w:lang w:eastAsia="en-NZ"/>
              </w:rPr>
              <w:t xml:space="preserve">. </w:t>
            </w:r>
            <w:r w:rsidR="00C56F42">
              <w:rPr>
                <w:rFonts w:ascii="Times New Roman" w:eastAsia="Times New Roman" w:hAnsi="Times New Roman" w:cs="Times New Roman"/>
                <w:color w:val="000000"/>
                <w:sz w:val="20"/>
                <w:szCs w:val="20"/>
                <w:lang w:eastAsia="en-NZ"/>
              </w:rPr>
              <w:t>Gamma</w:t>
            </w:r>
            <w:r w:rsidR="00C5618F" w:rsidRPr="00C5618F">
              <w:rPr>
                <w:rFonts w:ascii="Times New Roman" w:eastAsia="Times New Roman" w:hAnsi="Times New Roman" w:cs="Times New Roman"/>
                <w:color w:val="000000"/>
                <w:sz w:val="20"/>
                <w:szCs w:val="20"/>
                <w:lang w:eastAsia="en-NZ"/>
              </w:rPr>
              <w:t xml:space="preserve"> is the</w:t>
            </w:r>
            <w:r w:rsidR="00C56F42">
              <w:rPr>
                <w:rFonts w:ascii="Times New Roman" w:eastAsia="Times New Roman" w:hAnsi="Times New Roman" w:cs="Times New Roman"/>
                <w:color w:val="000000"/>
                <w:sz w:val="20"/>
                <w:szCs w:val="20"/>
                <w:lang w:eastAsia="en-NZ"/>
              </w:rPr>
              <w:t xml:space="preserve"> </w:t>
            </w:r>
            <w:r w:rsidR="00C5618F" w:rsidRPr="00C5618F">
              <w:rPr>
                <w:rFonts w:ascii="Times New Roman" w:eastAsia="Times New Roman" w:hAnsi="Times New Roman" w:cs="Times New Roman"/>
                <w:color w:val="000000"/>
                <w:sz w:val="20"/>
                <w:szCs w:val="20"/>
                <w:lang w:eastAsia="en-NZ"/>
              </w:rPr>
              <w:t>intercept.</w:t>
            </w:r>
          </w:p>
          <w:p w14:paraId="378DC164" w14:textId="77777777" w:rsidR="0012305F" w:rsidRDefault="0012305F" w:rsidP="00C56F42">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 **, *** indicate significance at the 10%, 5% and 1% levels, respectively.</w:t>
            </w:r>
          </w:p>
          <w:p w14:paraId="5440ED3F" w14:textId="77777777" w:rsidR="0012305F" w:rsidRDefault="0012305F" w:rsidP="00C56F42">
            <w:pPr>
              <w:spacing w:after="0" w:line="240" w:lineRule="auto"/>
              <w:ind w:firstLine="0"/>
              <w:rPr>
                <w:rFonts w:ascii="Times New Roman" w:eastAsia="Times New Roman" w:hAnsi="Times New Roman" w:cs="Times New Roman"/>
                <w:color w:val="000000"/>
                <w:sz w:val="20"/>
                <w:szCs w:val="20"/>
                <w:lang w:eastAsia="en-NZ"/>
              </w:rPr>
            </w:pPr>
            <w:r>
              <w:rPr>
                <w:rFonts w:ascii="Times New Roman" w:eastAsia="Times New Roman" w:hAnsi="Times New Roman" w:cs="Times New Roman"/>
                <w:color w:val="000000"/>
                <w:sz w:val="20"/>
                <w:szCs w:val="20"/>
                <w:lang w:eastAsia="en-NZ"/>
              </w:rPr>
              <w:t>All variables are defined in Appendix A</w:t>
            </w:r>
          </w:p>
          <w:p w14:paraId="59DA7482" w14:textId="77777777" w:rsidR="0012305F" w:rsidRPr="001B144C" w:rsidRDefault="0012305F" w:rsidP="00C5618F">
            <w:pPr>
              <w:spacing w:after="0" w:line="240" w:lineRule="auto"/>
              <w:ind w:firstLine="0"/>
              <w:rPr>
                <w:rFonts w:ascii="Times New Roman" w:eastAsia="Times New Roman" w:hAnsi="Times New Roman" w:cs="Times New Roman"/>
                <w:color w:val="000000"/>
                <w:sz w:val="20"/>
                <w:szCs w:val="20"/>
                <w:lang w:eastAsia="en-NZ"/>
              </w:rPr>
            </w:pPr>
          </w:p>
        </w:tc>
      </w:tr>
    </w:tbl>
    <w:p w14:paraId="1123303E" w14:textId="77777777" w:rsidR="00176DAD" w:rsidRDefault="00176DAD" w:rsidP="0012305F"/>
    <w:p w14:paraId="026EABA8" w14:textId="24E363E8" w:rsidR="0012305F" w:rsidRDefault="0012305F" w:rsidP="0012305F">
      <w:r>
        <w:lastRenderedPageBreak/>
        <w:t xml:space="preserve">Turning to the threshold effect of trade openness, columns (2) and (4) illustrate </w:t>
      </w:r>
      <w:r w:rsidRPr="008E4638">
        <w:t xml:space="preserve">the estimates from the dynamic panel threshold model where </w:t>
      </w:r>
      <w:r>
        <w:t>trade</w:t>
      </w:r>
      <w:r w:rsidRPr="008E4638">
        <w:t xml:space="preserve"> openness is used as the threshold variable and </w:t>
      </w:r>
      <w:r>
        <w:t>FD</w:t>
      </w:r>
      <w:r w:rsidRPr="008E4638">
        <w:t xml:space="preserve"> is measured by </w:t>
      </w:r>
      <w:proofErr w:type="spellStart"/>
      <w:r w:rsidRPr="00902B72">
        <w:rPr>
          <w:i/>
          <w:iCs/>
        </w:rPr>
        <w:t>PrivateCredit</w:t>
      </w:r>
      <w:proofErr w:type="spellEnd"/>
      <w:r w:rsidRPr="008E4638">
        <w:t xml:space="preserve"> and </w:t>
      </w:r>
      <w:proofErr w:type="spellStart"/>
      <w:r w:rsidRPr="00902B72">
        <w:rPr>
          <w:i/>
          <w:iCs/>
        </w:rPr>
        <w:t>LiquidLiabilities</w:t>
      </w:r>
      <w:proofErr w:type="spellEnd"/>
      <w:r>
        <w:rPr>
          <w:i/>
          <w:iCs/>
        </w:rPr>
        <w:t>,</w:t>
      </w:r>
      <w:r w:rsidRPr="008E4638">
        <w:t xml:space="preserve"> respectively. The point estimate of the threshold value in both column</w:t>
      </w:r>
      <w:r>
        <w:t>s</w:t>
      </w:r>
      <w:r w:rsidRPr="008E4638">
        <w:t xml:space="preserve"> is </w:t>
      </w:r>
      <w:r>
        <w:t>3.938, and</w:t>
      </w:r>
      <w:r w:rsidRPr="008E4638">
        <w:t xml:space="preserve"> </w:t>
      </w:r>
      <w:r>
        <w:t>a</w:t>
      </w:r>
      <w:r w:rsidRPr="008E4638">
        <w:t xml:space="preserve">pproximately </w:t>
      </w:r>
      <w:r>
        <w:t>73</w:t>
      </w:r>
      <w:r w:rsidRPr="008E4638">
        <w:t xml:space="preserve">% of the observations in the sample are above this threshold value. </w:t>
      </w:r>
      <w:r>
        <w:t>The result shows that FD</w:t>
      </w:r>
      <w:r w:rsidRPr="008E4638">
        <w:t xml:space="preserve"> appears to have a significantly positive effect on income inequality if </w:t>
      </w:r>
      <w:r>
        <w:t>FD</w:t>
      </w:r>
      <w:r w:rsidRPr="008E4638">
        <w:t xml:space="preserve"> is greater than the threshold. </w:t>
      </w:r>
      <w:r>
        <w:t>B</w:t>
      </w:r>
      <w:r w:rsidRPr="008E4638">
        <w:t xml:space="preserve">elow the threshold, however, the effect of </w:t>
      </w:r>
      <w:r>
        <w:t>FD</w:t>
      </w:r>
      <w:r w:rsidRPr="008E4638">
        <w:t xml:space="preserve"> is </w:t>
      </w:r>
      <w:r>
        <w:t>in</w:t>
      </w:r>
      <w:r w:rsidRPr="008E4638">
        <w:t>significant.</w:t>
      </w:r>
      <w:r>
        <w:t xml:space="preserve"> This result is consistent with the GMM analysis, suggesting that improving FD increases income inequality at a higher level of trade openness. With regard to the control variable, </w:t>
      </w:r>
      <w:r w:rsidRPr="00364973">
        <w:t>greater trade openness corresponds to lower income inequality</w:t>
      </w:r>
      <w:r>
        <w:t xml:space="preserve">. </w:t>
      </w:r>
      <w:r w:rsidRPr="00364973">
        <w:t>According to standard Heckscher–Ohlin trade theory, the inequality effect of openness varies depending on relative factor abundance and productivity differences as well as on the extent to which individuals earn income from wages or capital</w:t>
      </w:r>
      <w:r>
        <w:t xml:space="preserve">. In addition, the coefficient of </w:t>
      </w:r>
      <w:proofErr w:type="spellStart"/>
      <w:r w:rsidRPr="00AC6817">
        <w:rPr>
          <w:i/>
          <w:iCs/>
        </w:rPr>
        <w:t>LifeExp</w:t>
      </w:r>
      <w:proofErr w:type="spellEnd"/>
      <w:r>
        <w:rPr>
          <w:i/>
          <w:iCs/>
        </w:rPr>
        <w:t>,</w:t>
      </w:r>
      <w:r>
        <w:t xml:space="preserve"> as a proxy for human capital, is negative and significant in both columns, consistent with the previous research </w:t>
      </w:r>
      <w:r>
        <w:fldChar w:fldCharType="begin" w:fldLock="1"/>
      </w:r>
      <w:r>
        <w:instrText>ADDIN CSL_CITATION {"citationItems":[{"id":"ITEM-1","itemData":{"DOI":"10.1093/OXREP/GRZ014","ISSN":"0266-903X","abstract":"While economic theory suggests a wide range of potential determinants of income inequality, there is little consensus regarding the most relevant ones. Such a lack of consensus reflects, to an important extent, the impact of model uncertainty. Using model-averaging techniques - specifically WALS (weighted-average least squares) - to get at a robust set of determinants, our results underscore the multiplicity of factors behind rising national-level inequalities. In the cross-section, the level of development and demographics, as well as unemployment and globalization, seem to be key drivers. Trade and financial globalization have asymmetric effects, with trade integration associated with lower inequality, and financial globalization with higher inequality. Financial deregulation and technological change seem to be important drivers of inequality, particularly in advanced economies.","author":[{"dropping-particle":"","family":"Furceri","given":"Davide","non-dropping-particle":"","parse-names":false,"suffix":""},{"dropping-particle":"","family":"Ostry","given":"Jonathan D.","non-dropping-particle":"","parse-names":false,"suffix":""}],"container-title":"Oxford Review of Economic Policy","id":"ITEM-1","issue":"3","issued":{"date-parts":[["2019","7","11"]]},"page":"490-517","publisher":"Oxford Academic","title":"Robust determinants of income inequality","type":"article-journal","volume":"35"},"uris":["http://www.mendeley.com/documents/?uuid=3d00cf19-db47-3492-9e22-1b38f36da9db"]}],"mendeley":{"formattedCitation":"(Furceri &amp; Ostry, 2019)","plainTextFormattedCitation":"(Furceri &amp; Ostry, 2019)","previouslyFormattedCitation":"(Furceri &amp; Ostry, 2019)"},"properties":{"noteIndex":0},"schema":"https://github.com/citation-style-language/schema/raw/master/csl-citation.json"}</w:instrText>
      </w:r>
      <w:r>
        <w:fldChar w:fldCharType="separate"/>
      </w:r>
      <w:r w:rsidRPr="00C929B3">
        <w:rPr>
          <w:noProof/>
        </w:rPr>
        <w:t xml:space="preserve">(Furceri </w:t>
      </w:r>
      <w:r w:rsidR="00C62879">
        <w:rPr>
          <w:noProof/>
        </w:rPr>
        <w:t>and</w:t>
      </w:r>
      <w:r w:rsidRPr="00C929B3">
        <w:rPr>
          <w:noProof/>
        </w:rPr>
        <w:t xml:space="preserve"> Ostry, 2019)</w:t>
      </w:r>
      <w:r>
        <w:fldChar w:fldCharType="end"/>
      </w:r>
      <w:r>
        <w:t xml:space="preserve">. </w:t>
      </w:r>
    </w:p>
    <w:p w14:paraId="6ABC0234" w14:textId="56D0D743" w:rsidR="0012305F" w:rsidRDefault="0012305F" w:rsidP="0012305F">
      <w:r w:rsidRPr="008D255F">
        <w:t>Overall, our findings</w:t>
      </w:r>
      <w:r>
        <w:t>,</w:t>
      </w:r>
      <w:r w:rsidRPr="008D255F">
        <w:t xml:space="preserve"> based on all three approaches</w:t>
      </w:r>
      <w:r>
        <w:t xml:space="preserve"> –</w:t>
      </w:r>
      <w:r w:rsidRPr="008D255F">
        <w:t xml:space="preserve"> split-sampling, interaction and threshold analysis </w:t>
      </w:r>
      <w:r>
        <w:t xml:space="preserve">– </w:t>
      </w:r>
      <w:r w:rsidRPr="008D255F">
        <w:t>emphasise the role of openness in the FD and income inequality linkage. The data suggest that with increased financial openness and trade openness, banking development benefits the richer segment</w:t>
      </w:r>
      <w:r>
        <w:t>s</w:t>
      </w:r>
      <w:r w:rsidRPr="008D255F">
        <w:t xml:space="preserve"> of society more than the poorer one</w:t>
      </w:r>
      <w:r>
        <w:t>s</w:t>
      </w:r>
      <w:r w:rsidRPr="008D255F">
        <w:t xml:space="preserve"> and hence significantly increases income inequality. In other words, the widening income inequality effect of FD tends to become more significant as a country becomes more open to financial or trade markets. This finding support</w:t>
      </w:r>
      <w:r>
        <w:t>s</w:t>
      </w:r>
      <w:r w:rsidRPr="008D255F">
        <w:t xml:space="preserve"> the theoretical model</w:t>
      </w:r>
      <w:r>
        <w:t>s</w:t>
      </w:r>
      <w:r w:rsidRPr="008D255F">
        <w:t xml:space="preserve"> of  </w:t>
      </w:r>
      <w:r w:rsidRPr="008D255F">
        <w:fldChar w:fldCharType="begin" w:fldLock="1"/>
      </w:r>
      <w:r w:rsidR="002E36DB">
        <w:instrText>ADDIN CSL_CITATION {"citationItems":[{"id":"ITEM-1","itemData":{"DOI":"10.1017/S1365100512000843","ISSN":"1365-1005","abstract":"This research demonstrates that international financial integration changes the way in which financial development affects inequality within a country. Specifically, both cross-country analysis and dynamic panel data analysis using data collected from more than 100 countries provide evidence indicating that if the financial market of a country is strongly closed to the world market, financial development narrows inequality within that country, whereas if the financial market of a country is strongly open to the world market, financial development widens inequality within that country. Our theoretical framework provides a possible explanation for our empirical findings.","author":[{"dropping-particle":"","family":"Kunieda","given":"Takuma","non-dropping-particle":"","parse-names":false,"suffix":""},{"dropping-particle":"","family":"Okada","given":"Keisuke","non-dropping-particle":"","parse-names":false,"suffix":""},{"dropping-particle":"","family":"Shibata","given":"Akihisa","non-dropping-particle":"","parse-names":false,"suffix":""}],"container-title":"Macroeconomic Dynamics","id":"ITEM-1","issue":"5","issued":{"date-parts":[["2014"]]},"page":"1091-1128","publisher":"Cambridge University Press","title":"FINANCE AND INEQUALITY: HOW DOES GLOBALIZATION CHANGE THEIR RELATIONSHIP?","type":"article-journal","volume":"18"},"uris":["http://www.mendeley.com/documents/?uuid=8098cfdc-f149-3010-b8b3-1439aebcb663"]}],"mendeley":{"formattedCitation":"(Kunieda et al., 2014)","manualFormatting":"Kunieda et al. (2014)","plainTextFormattedCitation":"(Kunieda et al., 2014)","previouslyFormattedCitation":"(Kunieda et al., 2014)"},"properties":{"noteIndex":0},"schema":"https://github.com/citation-style-language/schema/raw/master/csl-citation.json"}</w:instrText>
      </w:r>
      <w:r w:rsidRPr="008D255F">
        <w:fldChar w:fldCharType="separate"/>
      </w:r>
      <w:r w:rsidRPr="008D255F">
        <w:rPr>
          <w:noProof/>
        </w:rPr>
        <w:t>Kunieda et al. (2014)</w:t>
      </w:r>
      <w:r w:rsidRPr="008D255F">
        <w:fldChar w:fldCharType="end"/>
      </w:r>
      <w:r w:rsidRPr="008D255F">
        <w:t xml:space="preserve"> and </w:t>
      </w:r>
      <w:r w:rsidRPr="008D255F">
        <w:fldChar w:fldCharType="begin" w:fldLock="1"/>
      </w:r>
      <w:r w:rsidR="002E36DB">
        <w:instrText>ADDIN CSL_CITATION {"citationItems":[{"id":"ITEM-1","itemData":{"DOI":"10.1111/SJOE.12312","ISSN":"1467-9442","author":[{"dropping-particle":"v.","family":"Ehrlich","given":"Maximilian","non-dropping-particle":"","parse-names":false,"suffix":""},{"dropping-particle":"","family":"Seidel","given":"Tobias","non-dropping-particle":"","parse-names":false,"suffix":""}],"container-title":"The Scandinavian Journal of Economics","id":"ITEM-1","issue":"4","issued":{"date-parts":[["2019","10","1"]]},"page":"1533-1560","publisher":"John Wiley &amp; Sons, Ltd","title":"Financial Development and Inequality in the Global Economy","type":"article-journal","volume":"121"},"uris":["http://www.mendeley.com/documents/?uuid=e7fe01de-541f-32e2-bef1-61193b8b3502"]}],"mendeley":{"formattedCitation":"(Ehrlich &amp; Seidel, 2019)","manualFormatting":" Ehrlich and Seidel (2019)","plainTextFormattedCitation":"(Ehrlich &amp; Seidel, 2019)","previouslyFormattedCitation":"(Ehrlich &amp; Seidel, 2019)"},"properties":{"noteIndex":0},"schema":"https://github.com/citation-style-language/schema/raw/master/csl-citation.json"}</w:instrText>
      </w:r>
      <w:r w:rsidRPr="008D255F">
        <w:fldChar w:fldCharType="separate"/>
      </w:r>
      <w:r w:rsidRPr="008D255F">
        <w:rPr>
          <w:noProof/>
        </w:rPr>
        <w:t xml:space="preserve"> Ehrlich </w:t>
      </w:r>
      <w:r>
        <w:rPr>
          <w:noProof/>
        </w:rPr>
        <w:t>and</w:t>
      </w:r>
      <w:r w:rsidRPr="008D255F">
        <w:rPr>
          <w:noProof/>
        </w:rPr>
        <w:t xml:space="preserve"> Seidel (2019)</w:t>
      </w:r>
      <w:r w:rsidRPr="008D255F">
        <w:fldChar w:fldCharType="end"/>
      </w:r>
      <w:r w:rsidRPr="008D255F">
        <w:t xml:space="preserve"> in countries open to trade and financial market</w:t>
      </w:r>
      <w:r>
        <w:t>s</w:t>
      </w:r>
      <w:r w:rsidRPr="008D255F">
        <w:t xml:space="preserve">. In contrast to their prediction, it does not provide any evidence of </w:t>
      </w:r>
      <w:r>
        <w:t xml:space="preserve">a </w:t>
      </w:r>
      <w:r w:rsidRPr="008D255F">
        <w:t>negative relation</w:t>
      </w:r>
      <w:r>
        <w:t>ship</w:t>
      </w:r>
      <w:r w:rsidRPr="008D255F">
        <w:t xml:space="preserve"> between FD and income inequality in countries with low financial openness or trade openness.</w:t>
      </w:r>
    </w:p>
    <w:p w14:paraId="49AD6B3F" w14:textId="35C2859D" w:rsidR="0012305F" w:rsidRDefault="0012305F" w:rsidP="00176DAD">
      <w:pPr>
        <w:pStyle w:val="Heading1"/>
        <w:numPr>
          <w:ilvl w:val="0"/>
          <w:numId w:val="1"/>
        </w:numPr>
      </w:pPr>
      <w:r>
        <w:t>Conclusion</w:t>
      </w:r>
    </w:p>
    <w:p w14:paraId="1CF81F03" w14:textId="77777777" w:rsidR="0012305F" w:rsidRDefault="0012305F" w:rsidP="00176DAD">
      <w:pPr>
        <w:ind w:firstLine="0"/>
      </w:pPr>
      <w:r w:rsidRPr="00511C81">
        <w:t xml:space="preserve">This study examines whether the combination of a </w:t>
      </w:r>
      <w:r>
        <w:t>c</w:t>
      </w:r>
      <w:r w:rsidRPr="00511C81">
        <w:t xml:space="preserve">ountry’s </w:t>
      </w:r>
      <w:r>
        <w:t>degree of integration</w:t>
      </w:r>
      <w:r w:rsidRPr="00511C81">
        <w:t xml:space="preserve"> into </w:t>
      </w:r>
      <w:r>
        <w:t xml:space="preserve">the </w:t>
      </w:r>
      <w:r w:rsidRPr="00511C81">
        <w:t xml:space="preserve">world economy, trade integration or financial integration, and </w:t>
      </w:r>
      <w:r>
        <w:t>FD</w:t>
      </w:r>
      <w:r w:rsidRPr="00511C81">
        <w:t xml:space="preserve"> </w:t>
      </w:r>
      <w:r>
        <w:t>increase</w:t>
      </w:r>
      <w:r w:rsidRPr="00511C81">
        <w:t xml:space="preserve"> or </w:t>
      </w:r>
      <w:r>
        <w:t>decrease</w:t>
      </w:r>
      <w:r w:rsidRPr="00511C81">
        <w:t xml:space="preserve"> inequality within a country</w:t>
      </w:r>
      <w:r>
        <w:t xml:space="preserve">. If economic openness is an important determinant of income inequality and if it leads to higher FD, it raises the question of to what extent it can moderate the relationship between FD and income inequality. Accordingly, we investigate whether the income inequality effect of FD is monotonic with the level of economic openness and whether a certain economic openness threshold exists beyond which FD increases income inequality. </w:t>
      </w:r>
    </w:p>
    <w:p w14:paraId="75CA88BC" w14:textId="77777777" w:rsidR="0012305F" w:rsidRDefault="0012305F" w:rsidP="0012305F">
      <w:r>
        <w:t xml:space="preserve">For this purpose, we employ two different methodologies to investigate the possible non-linearities. Initially, we split the sample into different subgroups by the level of either financial openness or trade openness and use GMM to estimate the effect of FD on income inequality for each group. While GMM helps us use the lagged dependent variable and regressors to address potential endogeneity issues, this method does not give us specific information on the threshold value at which the effect changes, if at all. For this reason, we use the dynamic panel threshold method of Kremer et al. (2013) with a GMM estimator to investigate whether there is an economic openness threshold. </w:t>
      </w:r>
      <w:r w:rsidRPr="00511C81">
        <w:t xml:space="preserve">Using a panel of developing and developed countries for </w:t>
      </w:r>
      <w:r w:rsidRPr="00511C81">
        <w:lastRenderedPageBreak/>
        <w:t>19</w:t>
      </w:r>
      <w:r>
        <w:t>94</w:t>
      </w:r>
      <w:r w:rsidRPr="00511C81">
        <w:t>–201</w:t>
      </w:r>
      <w:r>
        <w:t>7</w:t>
      </w:r>
      <w:r w:rsidRPr="00511C81">
        <w:t xml:space="preserve">, </w:t>
      </w:r>
      <w:r>
        <w:t xml:space="preserve">our empirical result shows that in an economy closed to the world financial or trade market, growing FD does not significantly impact income </w:t>
      </w:r>
      <w:r w:rsidRPr="0060324C">
        <w:t xml:space="preserve">inequality. However, if an economy is open to the world financial and trade market, inequality within the economy </w:t>
      </w:r>
      <w:r>
        <w:t>increases</w:t>
      </w:r>
      <w:r w:rsidRPr="0060324C">
        <w:t xml:space="preserve"> as its financial market develops. This finding is consistent across different econometric methods, subsamples and interaction analyses, and distinct FD indicators. In general, this study extends the current literature by providing empirical evidence on the </w:t>
      </w:r>
      <w:r>
        <w:t xml:space="preserve">role of </w:t>
      </w:r>
      <w:r w:rsidRPr="0060324C">
        <w:t xml:space="preserve">openness in the FD-income inequality relationship covering both developed and developing countries. In addition, </w:t>
      </w:r>
      <w:r>
        <w:t>e</w:t>
      </w:r>
      <w:r w:rsidRPr="0060324C">
        <w:t>vidence of the pro-inequality impact of FD in open countries informs policymakers about the importance of redistribution policies. In fact, open countries that desire to decrease inequality resulting from having open markets should consider implementing redistribution policies to mitigate the inequality</w:t>
      </w:r>
      <w:r>
        <w:t>-increasing</w:t>
      </w:r>
      <w:r w:rsidRPr="0060324C">
        <w:t xml:space="preserve"> effect of FD.</w:t>
      </w:r>
      <w:r>
        <w:t xml:space="preserve"> </w:t>
      </w:r>
    </w:p>
    <w:p w14:paraId="75EC7B8C" w14:textId="77777777" w:rsidR="0012305F" w:rsidRDefault="0012305F" w:rsidP="0012305F">
      <w:r>
        <w:t>Clearly, more research is necessary</w:t>
      </w:r>
      <w:r w:rsidRPr="00984A4A">
        <w:t xml:space="preserve">. First and foremost, if data </w:t>
      </w:r>
      <w:r>
        <w:t xml:space="preserve">quality concerns are dropped, researchers should study the effect of FD on the incomes of individuals at the top and bottom of the income distribution at different levels of economic openness. This is important because </w:t>
      </w:r>
      <w:r w:rsidRPr="00984A4A">
        <w:t xml:space="preserve">the Gini coefficient measures deviations </w:t>
      </w:r>
      <w:r>
        <w:t>from</w:t>
      </w:r>
      <w:r w:rsidRPr="00984A4A">
        <w:t xml:space="preserve"> perfect income equality regardless of where in the distribution these deviations arise. In particular, the finding that finance </w:t>
      </w:r>
      <w:r>
        <w:t>increases</w:t>
      </w:r>
      <w:r w:rsidRPr="00984A4A">
        <w:t xml:space="preserve"> inequality does not necessarily imply that finance </w:t>
      </w:r>
      <w:r>
        <w:t>ignores</w:t>
      </w:r>
      <w:r w:rsidRPr="00984A4A">
        <w:t xml:space="preserve"> the poor.</w:t>
      </w:r>
      <w:r>
        <w:t xml:space="preserve"> Another exciting extension relates to the question of </w:t>
      </w:r>
      <w:r w:rsidRPr="00511C81">
        <w:t xml:space="preserve">whether the threshold effect of </w:t>
      </w:r>
      <w:r>
        <w:t>economic openness</w:t>
      </w:r>
      <w:r w:rsidRPr="00511C81">
        <w:t xml:space="preserve"> on </w:t>
      </w:r>
      <w:r>
        <w:t>the FD–income inequality relationship</w:t>
      </w:r>
      <w:r w:rsidRPr="00511C81">
        <w:t xml:space="preserve"> varies across </w:t>
      </w:r>
      <w:r>
        <w:t xml:space="preserve">different levels of institutional quality, </w:t>
      </w:r>
      <w:r w:rsidRPr="00511C81">
        <w:t>and how and what</w:t>
      </w:r>
      <w:r>
        <w:t xml:space="preserve"> level of institutional quality </w:t>
      </w:r>
      <w:r w:rsidRPr="00511C81">
        <w:t xml:space="preserve">can </w:t>
      </w:r>
      <w:r>
        <w:t>change</w:t>
      </w:r>
      <w:r w:rsidRPr="00511C81">
        <w:t xml:space="preserve"> the</w:t>
      </w:r>
      <w:r>
        <w:t xml:space="preserve"> </w:t>
      </w:r>
      <w:r w:rsidRPr="00511C81">
        <w:t xml:space="preserve">nonlinear </w:t>
      </w:r>
      <w:r>
        <w:t>income inequality</w:t>
      </w:r>
      <w:r w:rsidRPr="00511C81">
        <w:t xml:space="preserve"> effect of </w:t>
      </w:r>
      <w:r>
        <w:t>FD</w:t>
      </w:r>
      <w:r w:rsidRPr="00511C81">
        <w:t>.</w:t>
      </w:r>
      <w:r>
        <w:t xml:space="preserve">  </w:t>
      </w:r>
      <w:r w:rsidRPr="00984A4A">
        <w:t>We leave these avenues of exploration for future research.</w:t>
      </w:r>
    </w:p>
    <w:p w14:paraId="2CFCC61F" w14:textId="77777777" w:rsidR="006560E0" w:rsidRDefault="006560E0" w:rsidP="00FB1F38"/>
    <w:p w14:paraId="48227FBC" w14:textId="1094869C" w:rsidR="00672D04" w:rsidRPr="00FB1F38" w:rsidRDefault="00FB1F38" w:rsidP="00FB1F38">
      <w:pPr>
        <w:rPr>
          <w:b/>
          <w:bCs/>
        </w:rPr>
      </w:pPr>
      <w:r>
        <w:br/>
      </w:r>
      <w:r w:rsidR="00672D04" w:rsidRPr="00FB1F38">
        <w:rPr>
          <w:b/>
          <w:bCs/>
        </w:rPr>
        <w:t>References</w:t>
      </w:r>
    </w:p>
    <w:p w14:paraId="3FDA5EFB" w14:textId="42D643A6"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fldChar w:fldCharType="begin" w:fldLock="1"/>
      </w:r>
      <w:r>
        <w:instrText xml:space="preserve">ADDIN Mendeley Bibliography CSL_BIBLIOGRAPHY </w:instrText>
      </w:r>
      <w:r>
        <w:fldChar w:fldCharType="separate"/>
      </w:r>
      <w:r w:rsidRPr="00176DAD">
        <w:rPr>
          <w:rFonts w:ascii="Times New Roman" w:hAnsi="Times New Roman" w:cs="Times New Roman"/>
          <w:noProof/>
          <w:szCs w:val="24"/>
        </w:rPr>
        <w:t xml:space="preserve">Adams, S., &amp; Klobodu, E. K. M. (2016). Financial development, control of corruption and income inequality. </w:t>
      </w:r>
      <w:r w:rsidRPr="00176DAD">
        <w:rPr>
          <w:rFonts w:ascii="Times New Roman" w:hAnsi="Times New Roman" w:cs="Times New Roman"/>
          <w:i/>
          <w:iCs/>
          <w:noProof/>
          <w:szCs w:val="24"/>
        </w:rPr>
        <w:t>Https://Doi.Org/10.1080/02692171.2016.1208740</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30</w:t>
      </w:r>
      <w:r w:rsidRPr="00176DAD">
        <w:rPr>
          <w:rFonts w:ascii="Times New Roman" w:hAnsi="Times New Roman" w:cs="Times New Roman"/>
          <w:noProof/>
          <w:szCs w:val="24"/>
        </w:rPr>
        <w:t>(6), 790–808.</w:t>
      </w:r>
    </w:p>
    <w:p w14:paraId="377A9169" w14:textId="1DD96052"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Aghion, Philippe, &amp; Bolton, P. (1997). </w:t>
      </w:r>
      <w:r w:rsidR="008212A3">
        <w:rPr>
          <w:rFonts w:ascii="Times New Roman" w:hAnsi="Times New Roman" w:cs="Times New Roman"/>
          <w:noProof/>
          <w:szCs w:val="24"/>
        </w:rPr>
        <w:t>A</w:t>
      </w:r>
      <w:r w:rsidR="008212A3" w:rsidRPr="00176DAD">
        <w:rPr>
          <w:rFonts w:ascii="Times New Roman" w:hAnsi="Times New Roman" w:cs="Times New Roman"/>
          <w:noProof/>
          <w:szCs w:val="24"/>
        </w:rPr>
        <w:t xml:space="preserve"> theory of </w:t>
      </w:r>
      <w:r w:rsidR="008212A3">
        <w:rPr>
          <w:rFonts w:ascii="Times New Roman" w:hAnsi="Times New Roman" w:cs="Times New Roman"/>
          <w:noProof/>
          <w:szCs w:val="24"/>
        </w:rPr>
        <w:t>t</w:t>
      </w:r>
      <w:r w:rsidR="008212A3" w:rsidRPr="00176DAD">
        <w:rPr>
          <w:rFonts w:ascii="Times New Roman" w:hAnsi="Times New Roman" w:cs="Times New Roman"/>
          <w:noProof/>
          <w:szCs w:val="24"/>
        </w:rPr>
        <w:t>rickle-</w:t>
      </w:r>
      <w:r w:rsidR="008212A3">
        <w:rPr>
          <w:rFonts w:ascii="Times New Roman" w:hAnsi="Times New Roman" w:cs="Times New Roman"/>
          <w:noProof/>
          <w:szCs w:val="24"/>
        </w:rPr>
        <w:t>d</w:t>
      </w:r>
      <w:r w:rsidR="008212A3" w:rsidRPr="00176DAD">
        <w:rPr>
          <w:rFonts w:ascii="Times New Roman" w:hAnsi="Times New Roman" w:cs="Times New Roman"/>
          <w:noProof/>
          <w:szCs w:val="24"/>
        </w:rPr>
        <w:t>own growth and developmen</w:t>
      </w:r>
      <w:r w:rsidRPr="00176DAD">
        <w:rPr>
          <w:rFonts w:ascii="Times New Roman" w:hAnsi="Times New Roman" w:cs="Times New Roman"/>
          <w:noProof/>
          <w:szCs w:val="24"/>
        </w:rPr>
        <w:t xml:space="preserve">t. </w:t>
      </w:r>
      <w:r w:rsidRPr="00176DAD">
        <w:rPr>
          <w:rFonts w:ascii="Times New Roman" w:hAnsi="Times New Roman" w:cs="Times New Roman"/>
          <w:i/>
          <w:iCs/>
          <w:noProof/>
          <w:szCs w:val="24"/>
        </w:rPr>
        <w:t>Review of Economic Studies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64</w:t>
      </w:r>
      <w:r w:rsidRPr="00176DAD">
        <w:rPr>
          <w:rFonts w:ascii="Times New Roman" w:hAnsi="Times New Roman" w:cs="Times New Roman"/>
          <w:noProof/>
          <w:szCs w:val="24"/>
        </w:rPr>
        <w:t>(2), 151–172.</w:t>
      </w:r>
    </w:p>
    <w:p w14:paraId="742934E5" w14:textId="1640AB1E"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Ang, J. B. (2010). </w:t>
      </w:r>
      <w:r w:rsidR="008212A3">
        <w:rPr>
          <w:rFonts w:ascii="Times New Roman" w:hAnsi="Times New Roman" w:cs="Times New Roman"/>
          <w:noProof/>
          <w:szCs w:val="24"/>
        </w:rPr>
        <w:t>F</w:t>
      </w:r>
      <w:r w:rsidR="008212A3" w:rsidRPr="00176DAD">
        <w:rPr>
          <w:rFonts w:ascii="Times New Roman" w:hAnsi="Times New Roman" w:cs="Times New Roman"/>
          <w:noProof/>
          <w:szCs w:val="24"/>
        </w:rPr>
        <w:t xml:space="preserve">inance and inequality: </w:t>
      </w:r>
      <w:r w:rsidR="008212A3">
        <w:rPr>
          <w:rFonts w:ascii="Times New Roman" w:hAnsi="Times New Roman" w:cs="Times New Roman"/>
          <w:noProof/>
          <w:szCs w:val="24"/>
        </w:rPr>
        <w:t>t</w:t>
      </w:r>
      <w:r w:rsidR="008212A3" w:rsidRPr="00176DAD">
        <w:rPr>
          <w:rFonts w:ascii="Times New Roman" w:hAnsi="Times New Roman" w:cs="Times New Roman"/>
          <w:noProof/>
          <w:szCs w:val="24"/>
        </w:rPr>
        <w:t xml:space="preserve">he case of </w:t>
      </w:r>
      <w:r w:rsidR="008212A3">
        <w:rPr>
          <w:rFonts w:ascii="Times New Roman" w:hAnsi="Times New Roman" w:cs="Times New Roman"/>
          <w:noProof/>
          <w:szCs w:val="24"/>
        </w:rPr>
        <w:t>I</w:t>
      </w:r>
      <w:r w:rsidR="008212A3" w:rsidRPr="00176DAD">
        <w:rPr>
          <w:rFonts w:ascii="Times New Roman" w:hAnsi="Times New Roman" w:cs="Times New Roman"/>
          <w:noProof/>
          <w:szCs w:val="24"/>
        </w:rPr>
        <w:t>ndia</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Southern Economic Journal</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76</w:t>
      </w:r>
      <w:r w:rsidRPr="00176DAD">
        <w:rPr>
          <w:rFonts w:ascii="Times New Roman" w:hAnsi="Times New Roman" w:cs="Times New Roman"/>
          <w:noProof/>
          <w:szCs w:val="24"/>
        </w:rPr>
        <w:t>(3), 738–761.</w:t>
      </w:r>
    </w:p>
    <w:p w14:paraId="6BDF2788"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Arellano, M., &amp; Bond, S. (1991). Some tests of specification for panel data: Monte Carlo evidence and an application to employment equations. </w:t>
      </w:r>
      <w:r w:rsidRPr="00176DAD">
        <w:rPr>
          <w:rFonts w:ascii="Times New Roman" w:hAnsi="Times New Roman" w:cs="Times New Roman"/>
          <w:i/>
          <w:iCs/>
          <w:noProof/>
          <w:szCs w:val="24"/>
        </w:rPr>
        <w:t>The Review of Economic Studies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58</w:t>
      </w:r>
      <w:r w:rsidRPr="00176DAD">
        <w:rPr>
          <w:rFonts w:ascii="Times New Roman" w:hAnsi="Times New Roman" w:cs="Times New Roman"/>
          <w:noProof/>
          <w:szCs w:val="24"/>
        </w:rPr>
        <w:t>(2), 277–297.</w:t>
      </w:r>
    </w:p>
    <w:p w14:paraId="6AFC6D70"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Arellano, M., &amp; Bover, O. (1995). Another look at the instrumental variable estimation of error-components models. </w:t>
      </w:r>
      <w:r w:rsidRPr="00176DAD">
        <w:rPr>
          <w:rFonts w:ascii="Times New Roman" w:hAnsi="Times New Roman" w:cs="Times New Roman"/>
          <w:i/>
          <w:iCs/>
          <w:noProof/>
          <w:szCs w:val="24"/>
        </w:rPr>
        <w:t>Journal of Econometrics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68</w:t>
      </w:r>
      <w:r w:rsidRPr="00176DAD">
        <w:rPr>
          <w:rFonts w:ascii="Times New Roman" w:hAnsi="Times New Roman" w:cs="Times New Roman"/>
          <w:noProof/>
          <w:szCs w:val="24"/>
        </w:rPr>
        <w:t>(1), 29–51.</w:t>
      </w:r>
    </w:p>
    <w:p w14:paraId="70FF4437"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Asteriou, D., Dimelis, S., &amp; Moudatsou, A. (2014). Globalization and income inequality: A panel data econometric approach for the EU27 countries. </w:t>
      </w:r>
      <w:r w:rsidRPr="00176DAD">
        <w:rPr>
          <w:rFonts w:ascii="Times New Roman" w:hAnsi="Times New Roman" w:cs="Times New Roman"/>
          <w:i/>
          <w:iCs/>
          <w:noProof/>
          <w:szCs w:val="24"/>
        </w:rPr>
        <w:t>Economic Modelling</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36</w:t>
      </w:r>
      <w:r w:rsidRPr="00176DAD">
        <w:rPr>
          <w:rFonts w:ascii="Times New Roman" w:hAnsi="Times New Roman" w:cs="Times New Roman"/>
          <w:noProof/>
          <w:szCs w:val="24"/>
        </w:rPr>
        <w:t>, 592–599.</w:t>
      </w:r>
    </w:p>
    <w:p w14:paraId="0BE8ECCB"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Baltagi, B. H., Demetriades, P. O., &amp; Law, S. H. (2009). Financial development and openness: </w:t>
      </w:r>
      <w:r w:rsidRPr="00176DAD">
        <w:rPr>
          <w:rFonts w:ascii="Times New Roman" w:hAnsi="Times New Roman" w:cs="Times New Roman"/>
          <w:noProof/>
          <w:szCs w:val="24"/>
        </w:rPr>
        <w:lastRenderedPageBreak/>
        <w:t xml:space="preserve">Evidence from panel data. </w:t>
      </w:r>
      <w:r w:rsidRPr="00176DAD">
        <w:rPr>
          <w:rFonts w:ascii="Times New Roman" w:hAnsi="Times New Roman" w:cs="Times New Roman"/>
          <w:i/>
          <w:iCs/>
          <w:noProof/>
          <w:szCs w:val="24"/>
        </w:rPr>
        <w:t>Journal of Development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89</w:t>
      </w:r>
      <w:r w:rsidRPr="00176DAD">
        <w:rPr>
          <w:rFonts w:ascii="Times New Roman" w:hAnsi="Times New Roman" w:cs="Times New Roman"/>
          <w:noProof/>
          <w:szCs w:val="24"/>
        </w:rPr>
        <w:t>(2), 285–296.</w:t>
      </w:r>
    </w:p>
    <w:p w14:paraId="01D0D023"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Banerjee, A., &amp; Newman, A. (1993). Occupational Choice and the Process of Development. </w:t>
      </w:r>
      <w:r w:rsidRPr="00176DAD">
        <w:rPr>
          <w:rFonts w:ascii="Times New Roman" w:hAnsi="Times New Roman" w:cs="Times New Roman"/>
          <w:i/>
          <w:iCs/>
          <w:noProof/>
          <w:szCs w:val="24"/>
        </w:rPr>
        <w:t>Journal of Political Economy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101</w:t>
      </w:r>
      <w:r w:rsidRPr="00176DAD">
        <w:rPr>
          <w:rFonts w:ascii="Times New Roman" w:hAnsi="Times New Roman" w:cs="Times New Roman"/>
          <w:noProof/>
          <w:szCs w:val="24"/>
        </w:rPr>
        <w:t>(2), 298.</w:t>
      </w:r>
    </w:p>
    <w:p w14:paraId="42CD7E85"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Barro, R. J., &amp; Lee, J. W. (2001). International data on educational attainment: updates and implications. </w:t>
      </w:r>
      <w:r w:rsidRPr="00176DAD">
        <w:rPr>
          <w:rFonts w:ascii="Times New Roman" w:hAnsi="Times New Roman" w:cs="Times New Roman"/>
          <w:i/>
          <w:iCs/>
          <w:noProof/>
          <w:szCs w:val="24"/>
        </w:rPr>
        <w:t>Oxford Economic Papers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53</w:t>
      </w:r>
      <w:r w:rsidRPr="00176DAD">
        <w:rPr>
          <w:rFonts w:ascii="Times New Roman" w:hAnsi="Times New Roman" w:cs="Times New Roman"/>
          <w:noProof/>
          <w:szCs w:val="24"/>
        </w:rPr>
        <w:t>(3), 541–563.</w:t>
      </w:r>
    </w:p>
    <w:p w14:paraId="607B89CF"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Beck, T., Demirgüç-Kunt, A., &amp; Levine, R. (2007). Finance, inequality and the poor. </w:t>
      </w:r>
      <w:r w:rsidRPr="00176DAD">
        <w:rPr>
          <w:rFonts w:ascii="Times New Roman" w:hAnsi="Times New Roman" w:cs="Times New Roman"/>
          <w:i/>
          <w:iCs/>
          <w:noProof/>
          <w:szCs w:val="24"/>
        </w:rPr>
        <w:t>Journal of Economic Growth 2007 12:1</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12</w:t>
      </w:r>
      <w:r w:rsidRPr="00176DAD">
        <w:rPr>
          <w:rFonts w:ascii="Times New Roman" w:hAnsi="Times New Roman" w:cs="Times New Roman"/>
          <w:noProof/>
          <w:szCs w:val="24"/>
        </w:rPr>
        <w:t>(1), 27–49.</w:t>
      </w:r>
    </w:p>
    <w:p w14:paraId="7E62C4B4"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Bui, T. D., &amp; Bui, H. T. M. (2020). Threshold effect of economic openness on bank risk-taking: Evidence from emerging markets. </w:t>
      </w:r>
      <w:r w:rsidRPr="00176DAD">
        <w:rPr>
          <w:rFonts w:ascii="Times New Roman" w:hAnsi="Times New Roman" w:cs="Times New Roman"/>
          <w:i/>
          <w:iCs/>
          <w:noProof/>
          <w:szCs w:val="24"/>
        </w:rPr>
        <w:t>Economic Modelling</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91</w:t>
      </w:r>
      <w:r w:rsidRPr="00176DAD">
        <w:rPr>
          <w:rFonts w:ascii="Times New Roman" w:hAnsi="Times New Roman" w:cs="Times New Roman"/>
          <w:noProof/>
          <w:szCs w:val="24"/>
        </w:rPr>
        <w:t>, 790–803.</w:t>
      </w:r>
    </w:p>
    <w:p w14:paraId="2E212CEC" w14:textId="49AC02F8"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Caner, M., &amp; Hansen, B. E. (2004). </w:t>
      </w:r>
      <w:r w:rsidR="008212A3" w:rsidRPr="00176DAD">
        <w:rPr>
          <w:rFonts w:ascii="Times New Roman" w:hAnsi="Times New Roman" w:cs="Times New Roman"/>
          <w:noProof/>
          <w:szCs w:val="24"/>
        </w:rPr>
        <w:t>Instrumental variable estimation of a threshold model</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Econometric Theory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20</w:t>
      </w:r>
      <w:r w:rsidRPr="00176DAD">
        <w:rPr>
          <w:rFonts w:ascii="Times New Roman" w:hAnsi="Times New Roman" w:cs="Times New Roman"/>
          <w:noProof/>
          <w:szCs w:val="24"/>
        </w:rPr>
        <w:t>(5), 813–843.</w:t>
      </w:r>
    </w:p>
    <w:p w14:paraId="49C51334" w14:textId="1C61EAE9"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Castelló-Climent, A., &amp; Doménech, R. (2008). </w:t>
      </w:r>
      <w:r w:rsidR="008212A3">
        <w:rPr>
          <w:rFonts w:ascii="Times New Roman" w:hAnsi="Times New Roman" w:cs="Times New Roman"/>
          <w:noProof/>
          <w:szCs w:val="24"/>
        </w:rPr>
        <w:t>H</w:t>
      </w:r>
      <w:r w:rsidR="008212A3" w:rsidRPr="00176DAD">
        <w:rPr>
          <w:rFonts w:ascii="Times New Roman" w:hAnsi="Times New Roman" w:cs="Times New Roman"/>
          <w:noProof/>
          <w:szCs w:val="24"/>
        </w:rPr>
        <w:t>uman capital inequality, life expectancy and economic growth</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The Economic Journal</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118</w:t>
      </w:r>
      <w:r w:rsidRPr="00176DAD">
        <w:rPr>
          <w:rFonts w:ascii="Times New Roman" w:hAnsi="Times New Roman" w:cs="Times New Roman"/>
          <w:noProof/>
          <w:szCs w:val="24"/>
        </w:rPr>
        <w:t>(528), 653–677.</w:t>
      </w:r>
    </w:p>
    <w:p w14:paraId="287E97F2" w14:textId="5DD6C803"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Chen, W., &amp; Kinkyo, T. (2016). </w:t>
      </w:r>
      <w:r w:rsidR="008212A3">
        <w:rPr>
          <w:rFonts w:ascii="Times New Roman" w:hAnsi="Times New Roman" w:cs="Times New Roman"/>
          <w:noProof/>
          <w:szCs w:val="24"/>
        </w:rPr>
        <w:t>F</w:t>
      </w:r>
      <w:r w:rsidR="008212A3" w:rsidRPr="00176DAD">
        <w:rPr>
          <w:rFonts w:ascii="Times New Roman" w:hAnsi="Times New Roman" w:cs="Times New Roman"/>
          <w:noProof/>
          <w:szCs w:val="24"/>
        </w:rPr>
        <w:t xml:space="preserve">inancial development and income inequality: </w:t>
      </w:r>
      <w:r w:rsidR="008212A3">
        <w:rPr>
          <w:rFonts w:ascii="Times New Roman" w:hAnsi="Times New Roman" w:cs="Times New Roman"/>
          <w:noProof/>
          <w:szCs w:val="24"/>
        </w:rPr>
        <w:t>L</w:t>
      </w:r>
      <w:r w:rsidR="008212A3" w:rsidRPr="00176DAD">
        <w:rPr>
          <w:rFonts w:ascii="Times New Roman" w:hAnsi="Times New Roman" w:cs="Times New Roman"/>
          <w:noProof/>
          <w:szCs w:val="24"/>
        </w:rPr>
        <w:t>ong-run relationship and short-run heterogeneity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Emerging Markets Finance and Trade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52</w:t>
      </w:r>
      <w:r w:rsidRPr="00176DAD">
        <w:rPr>
          <w:rFonts w:ascii="Times New Roman" w:hAnsi="Times New Roman" w:cs="Times New Roman"/>
          <w:noProof/>
          <w:szCs w:val="24"/>
        </w:rPr>
        <w:t>(3), 733–742.</w:t>
      </w:r>
    </w:p>
    <w:p w14:paraId="1B97E187"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Chinn, M. D., &amp; Ito, H. (2006). What matters for financial development? Capital controls, institutions, and interactions. </w:t>
      </w:r>
      <w:r w:rsidRPr="00176DAD">
        <w:rPr>
          <w:rFonts w:ascii="Times New Roman" w:hAnsi="Times New Roman" w:cs="Times New Roman"/>
          <w:i/>
          <w:iCs/>
          <w:noProof/>
          <w:szCs w:val="24"/>
        </w:rPr>
        <w:t>Journal of Development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81</w:t>
      </w:r>
      <w:r w:rsidRPr="00176DAD">
        <w:rPr>
          <w:rFonts w:ascii="Times New Roman" w:hAnsi="Times New Roman" w:cs="Times New Roman"/>
          <w:noProof/>
          <w:szCs w:val="24"/>
        </w:rPr>
        <w:t>(1), 163–192.</w:t>
      </w:r>
    </w:p>
    <w:p w14:paraId="2CB3BDE1" w14:textId="706FB092"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Clarke, G. R. G., Xu, L. C., &amp; Zou, H. (2006). </w:t>
      </w:r>
      <w:r w:rsidR="00100ECD">
        <w:rPr>
          <w:rFonts w:ascii="Times New Roman" w:hAnsi="Times New Roman" w:cs="Times New Roman"/>
          <w:noProof/>
          <w:szCs w:val="24"/>
        </w:rPr>
        <w:t>F</w:t>
      </w:r>
      <w:r w:rsidR="00100ECD" w:rsidRPr="00176DAD">
        <w:rPr>
          <w:rFonts w:ascii="Times New Roman" w:hAnsi="Times New Roman" w:cs="Times New Roman"/>
          <w:noProof/>
          <w:szCs w:val="24"/>
        </w:rPr>
        <w:t>inance and income inequality</w:t>
      </w:r>
      <w:r w:rsidRPr="00176DAD">
        <w:rPr>
          <w:rFonts w:ascii="Times New Roman" w:hAnsi="Times New Roman" w:cs="Times New Roman"/>
          <w:noProof/>
          <w:szCs w:val="24"/>
        </w:rPr>
        <w:t xml:space="preserve">: What </w:t>
      </w:r>
      <w:r w:rsidR="00100ECD" w:rsidRPr="00176DAD">
        <w:rPr>
          <w:rFonts w:ascii="Times New Roman" w:hAnsi="Times New Roman" w:cs="Times New Roman"/>
          <w:noProof/>
          <w:szCs w:val="24"/>
        </w:rPr>
        <w:t>do the data tell us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Southern Economic Journal</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72</w:t>
      </w:r>
      <w:r w:rsidRPr="00176DAD">
        <w:rPr>
          <w:rFonts w:ascii="Times New Roman" w:hAnsi="Times New Roman" w:cs="Times New Roman"/>
          <w:noProof/>
          <w:szCs w:val="24"/>
        </w:rPr>
        <w:t>(3), 578–596.</w:t>
      </w:r>
    </w:p>
    <w:p w14:paraId="06881F4F"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de Haan, J., &amp; Sturm, J. E. (2017). Finance and income inequality: A review and new evidence. </w:t>
      </w:r>
      <w:r w:rsidRPr="00176DAD">
        <w:rPr>
          <w:rFonts w:ascii="Times New Roman" w:hAnsi="Times New Roman" w:cs="Times New Roman"/>
          <w:i/>
          <w:iCs/>
          <w:noProof/>
          <w:szCs w:val="24"/>
        </w:rPr>
        <w:t>European Journal of Political Economy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50</w:t>
      </w:r>
      <w:r w:rsidRPr="00176DAD">
        <w:rPr>
          <w:rFonts w:ascii="Times New Roman" w:hAnsi="Times New Roman" w:cs="Times New Roman"/>
          <w:noProof/>
          <w:szCs w:val="24"/>
        </w:rPr>
        <w:t>, 171–195.</w:t>
      </w:r>
    </w:p>
    <w:p w14:paraId="2F25C083" w14:textId="7D58C873"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Delis, M. D., Hasan, I., &amp; Kazakis, P. (2014). </w:t>
      </w:r>
      <w:r w:rsidR="00100ECD">
        <w:rPr>
          <w:rFonts w:ascii="Times New Roman" w:hAnsi="Times New Roman" w:cs="Times New Roman"/>
          <w:noProof/>
          <w:szCs w:val="24"/>
        </w:rPr>
        <w:t>B</w:t>
      </w:r>
      <w:r w:rsidR="00100ECD" w:rsidRPr="00176DAD">
        <w:rPr>
          <w:rFonts w:ascii="Times New Roman" w:hAnsi="Times New Roman" w:cs="Times New Roman"/>
          <w:noProof/>
          <w:szCs w:val="24"/>
        </w:rPr>
        <w:t xml:space="preserve">ank regulations and income inequality: </w:t>
      </w:r>
      <w:r w:rsidR="00100ECD">
        <w:rPr>
          <w:rFonts w:ascii="Times New Roman" w:hAnsi="Times New Roman" w:cs="Times New Roman"/>
          <w:noProof/>
          <w:szCs w:val="24"/>
        </w:rPr>
        <w:t>E</w:t>
      </w:r>
      <w:r w:rsidR="00100ECD" w:rsidRPr="00176DAD">
        <w:rPr>
          <w:rFonts w:ascii="Times New Roman" w:hAnsi="Times New Roman" w:cs="Times New Roman"/>
          <w:noProof/>
          <w:szCs w:val="24"/>
        </w:rPr>
        <w:t>mpirical evidence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Review of Finance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18</w:t>
      </w:r>
      <w:r w:rsidRPr="00176DAD">
        <w:rPr>
          <w:rFonts w:ascii="Times New Roman" w:hAnsi="Times New Roman" w:cs="Times New Roman"/>
          <w:noProof/>
          <w:szCs w:val="24"/>
        </w:rPr>
        <w:t>(5), 1811–1846.</w:t>
      </w:r>
    </w:p>
    <w:p w14:paraId="56573EE0" w14:textId="041237D0"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Demirgüç-Kunt, A., &amp; Levine, R. (2009). Finance and </w:t>
      </w:r>
      <w:r w:rsidR="00100ECD">
        <w:rPr>
          <w:rFonts w:ascii="Times New Roman" w:hAnsi="Times New Roman" w:cs="Times New Roman"/>
          <w:noProof/>
          <w:szCs w:val="24"/>
        </w:rPr>
        <w:t>i</w:t>
      </w:r>
      <w:r w:rsidRPr="00176DAD">
        <w:rPr>
          <w:rFonts w:ascii="Times New Roman" w:hAnsi="Times New Roman" w:cs="Times New Roman"/>
          <w:noProof/>
          <w:szCs w:val="24"/>
        </w:rPr>
        <w:t xml:space="preserve">nequality: Theory and </w:t>
      </w:r>
      <w:r w:rsidR="00100ECD">
        <w:rPr>
          <w:rFonts w:ascii="Times New Roman" w:hAnsi="Times New Roman" w:cs="Times New Roman"/>
          <w:noProof/>
          <w:szCs w:val="24"/>
        </w:rPr>
        <w:t>e</w:t>
      </w:r>
      <w:r w:rsidRPr="00176DAD">
        <w:rPr>
          <w:rFonts w:ascii="Times New Roman" w:hAnsi="Times New Roman" w:cs="Times New Roman"/>
          <w:noProof/>
          <w:szCs w:val="24"/>
        </w:rPr>
        <w:t xml:space="preserve">vidence. </w:t>
      </w:r>
      <w:r w:rsidRPr="00176DAD">
        <w:rPr>
          <w:rFonts w:ascii="Times New Roman" w:hAnsi="Times New Roman" w:cs="Times New Roman"/>
          <w:i/>
          <w:iCs/>
          <w:noProof/>
          <w:szCs w:val="24"/>
        </w:rPr>
        <w:t>Annual Review of Financial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w:t>
      </w:r>
      <w:r w:rsidRPr="00176DAD">
        <w:rPr>
          <w:rFonts w:ascii="Times New Roman" w:hAnsi="Times New Roman" w:cs="Times New Roman"/>
          <w:noProof/>
          <w:szCs w:val="24"/>
        </w:rPr>
        <w:t>(1), 287–318.</w:t>
      </w:r>
    </w:p>
    <w:p w14:paraId="6C13F6AE" w14:textId="5AB5FFEC"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Denk, O., &amp; Cournede, B. (2015). Finance and </w:t>
      </w:r>
      <w:r w:rsidR="00100ECD">
        <w:rPr>
          <w:rFonts w:ascii="Times New Roman" w:hAnsi="Times New Roman" w:cs="Times New Roman"/>
          <w:noProof/>
          <w:szCs w:val="24"/>
        </w:rPr>
        <w:t>i</w:t>
      </w:r>
      <w:r w:rsidRPr="00176DAD">
        <w:rPr>
          <w:rFonts w:ascii="Times New Roman" w:hAnsi="Times New Roman" w:cs="Times New Roman"/>
          <w:noProof/>
          <w:szCs w:val="24"/>
        </w:rPr>
        <w:t xml:space="preserve">ncome </w:t>
      </w:r>
      <w:r w:rsidR="00100ECD">
        <w:rPr>
          <w:rFonts w:ascii="Times New Roman" w:hAnsi="Times New Roman" w:cs="Times New Roman"/>
          <w:noProof/>
          <w:szCs w:val="24"/>
        </w:rPr>
        <w:t>i</w:t>
      </w:r>
      <w:r w:rsidRPr="00176DAD">
        <w:rPr>
          <w:rFonts w:ascii="Times New Roman" w:hAnsi="Times New Roman" w:cs="Times New Roman"/>
          <w:noProof/>
          <w:szCs w:val="24"/>
        </w:rPr>
        <w:t xml:space="preserve">nequality in OECD </w:t>
      </w:r>
      <w:r w:rsidR="00100ECD">
        <w:rPr>
          <w:rFonts w:ascii="Times New Roman" w:hAnsi="Times New Roman" w:cs="Times New Roman"/>
          <w:noProof/>
          <w:szCs w:val="24"/>
        </w:rPr>
        <w:t>c</w:t>
      </w:r>
      <w:r w:rsidRPr="00176DAD">
        <w:rPr>
          <w:rFonts w:ascii="Times New Roman" w:hAnsi="Times New Roman" w:cs="Times New Roman"/>
          <w:noProof/>
          <w:szCs w:val="24"/>
        </w:rPr>
        <w:t xml:space="preserve">ountries. </w:t>
      </w:r>
      <w:r w:rsidRPr="00176DAD">
        <w:rPr>
          <w:rFonts w:ascii="Times New Roman" w:hAnsi="Times New Roman" w:cs="Times New Roman"/>
          <w:i/>
          <w:iCs/>
          <w:noProof/>
          <w:szCs w:val="24"/>
        </w:rPr>
        <w:t>SSRN Electronic Journal</w:t>
      </w:r>
      <w:r w:rsidRPr="00176DAD">
        <w:rPr>
          <w:rFonts w:ascii="Times New Roman" w:hAnsi="Times New Roman" w:cs="Times New Roman"/>
          <w:noProof/>
          <w:szCs w:val="24"/>
        </w:rPr>
        <w:t>.</w:t>
      </w:r>
    </w:p>
    <w:p w14:paraId="54EB7336" w14:textId="7B498773"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Ehrlich, M. v., &amp; Seidel, T. (2019). Financial </w:t>
      </w:r>
      <w:r w:rsidR="00100ECD" w:rsidRPr="00176DAD">
        <w:rPr>
          <w:rFonts w:ascii="Times New Roman" w:hAnsi="Times New Roman" w:cs="Times New Roman"/>
          <w:noProof/>
          <w:szCs w:val="24"/>
        </w:rPr>
        <w:t>development and inequality in the global economy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The Scandinavian Journal of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121</w:t>
      </w:r>
      <w:r w:rsidRPr="00176DAD">
        <w:rPr>
          <w:rFonts w:ascii="Times New Roman" w:hAnsi="Times New Roman" w:cs="Times New Roman"/>
          <w:noProof/>
          <w:szCs w:val="24"/>
        </w:rPr>
        <w:t>(4), 1533–1560.</w:t>
      </w:r>
    </w:p>
    <w:p w14:paraId="67AFBE26"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Furceri, D., &amp; Loungani, P. (2018). The distributional effects of capital account liberalization. </w:t>
      </w:r>
      <w:r w:rsidRPr="00176DAD">
        <w:rPr>
          <w:rFonts w:ascii="Times New Roman" w:hAnsi="Times New Roman" w:cs="Times New Roman"/>
          <w:i/>
          <w:iCs/>
          <w:noProof/>
          <w:szCs w:val="24"/>
        </w:rPr>
        <w:t>Journal of Development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130</w:t>
      </w:r>
      <w:r w:rsidRPr="00176DAD">
        <w:rPr>
          <w:rFonts w:ascii="Times New Roman" w:hAnsi="Times New Roman" w:cs="Times New Roman"/>
          <w:noProof/>
          <w:szCs w:val="24"/>
        </w:rPr>
        <w:t>, 127–144.</w:t>
      </w:r>
    </w:p>
    <w:p w14:paraId="5C1EA858"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Furceri, D., &amp; Ostry, J. D. (2019). Robust determinants of income inequality. </w:t>
      </w:r>
      <w:r w:rsidRPr="00176DAD">
        <w:rPr>
          <w:rFonts w:ascii="Times New Roman" w:hAnsi="Times New Roman" w:cs="Times New Roman"/>
          <w:i/>
          <w:iCs/>
          <w:noProof/>
          <w:szCs w:val="24"/>
        </w:rPr>
        <w:t>Oxford Review of Economic Policy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35</w:t>
      </w:r>
      <w:r w:rsidRPr="00176DAD">
        <w:rPr>
          <w:rFonts w:ascii="Times New Roman" w:hAnsi="Times New Roman" w:cs="Times New Roman"/>
          <w:noProof/>
          <w:szCs w:val="24"/>
        </w:rPr>
        <w:t>(3), 490–517.</w:t>
      </w:r>
    </w:p>
    <w:p w14:paraId="1F2D316E" w14:textId="498039AE"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Galor, O., &amp; Moav, O. (2004). From </w:t>
      </w:r>
      <w:r w:rsidR="00100ECD" w:rsidRPr="00176DAD">
        <w:rPr>
          <w:rFonts w:ascii="Times New Roman" w:hAnsi="Times New Roman" w:cs="Times New Roman"/>
          <w:noProof/>
          <w:szCs w:val="24"/>
        </w:rPr>
        <w:t xml:space="preserve">physical to human capital accumulation: </w:t>
      </w:r>
      <w:r w:rsidR="00100ECD">
        <w:rPr>
          <w:rFonts w:ascii="Times New Roman" w:hAnsi="Times New Roman" w:cs="Times New Roman"/>
          <w:noProof/>
          <w:szCs w:val="24"/>
        </w:rPr>
        <w:t>I</w:t>
      </w:r>
      <w:r w:rsidR="00100ECD" w:rsidRPr="00176DAD">
        <w:rPr>
          <w:rFonts w:ascii="Times New Roman" w:hAnsi="Times New Roman" w:cs="Times New Roman"/>
          <w:noProof/>
          <w:szCs w:val="24"/>
        </w:rPr>
        <w:t>nequality and the process of development</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The Review of Economic Studies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71</w:t>
      </w:r>
      <w:r w:rsidRPr="00176DAD">
        <w:rPr>
          <w:rFonts w:ascii="Times New Roman" w:hAnsi="Times New Roman" w:cs="Times New Roman"/>
          <w:noProof/>
          <w:szCs w:val="24"/>
        </w:rPr>
        <w:t>(4), 1001–1026.</w:t>
      </w:r>
    </w:p>
    <w:p w14:paraId="32E0E943" w14:textId="508F1FA6" w:rsidR="00176DAD" w:rsidRPr="00176DAD" w:rsidRDefault="00176DAD" w:rsidP="00002792">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Galor, O., &amp; Zeira, J. (1993). </w:t>
      </w:r>
      <w:r w:rsidR="00002792">
        <w:rPr>
          <w:rFonts w:ascii="Times New Roman" w:hAnsi="Times New Roman" w:cs="Times New Roman"/>
          <w:noProof/>
          <w:szCs w:val="24"/>
        </w:rPr>
        <w:t>I</w:t>
      </w:r>
      <w:r w:rsidR="00002792" w:rsidRPr="00176DAD">
        <w:rPr>
          <w:rFonts w:ascii="Times New Roman" w:hAnsi="Times New Roman" w:cs="Times New Roman"/>
          <w:noProof/>
          <w:szCs w:val="24"/>
        </w:rPr>
        <w:t>ncome distribution and macroeconomics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The Review of Economic Studies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60</w:t>
      </w:r>
      <w:r w:rsidRPr="00176DAD">
        <w:rPr>
          <w:rFonts w:ascii="Times New Roman" w:hAnsi="Times New Roman" w:cs="Times New Roman"/>
          <w:noProof/>
          <w:szCs w:val="24"/>
        </w:rPr>
        <w:t>(1), 35–52.</w:t>
      </w:r>
    </w:p>
    <w:p w14:paraId="79618235" w14:textId="4B8622B4"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Ghosh, A. R., Ostry, J. D., &amp; Qureshi, M. S. (2016). When </w:t>
      </w:r>
      <w:r w:rsidR="00976688" w:rsidRPr="00176DAD">
        <w:rPr>
          <w:rFonts w:ascii="Times New Roman" w:hAnsi="Times New Roman" w:cs="Times New Roman"/>
          <w:noProof/>
          <w:szCs w:val="24"/>
        </w:rPr>
        <w:t>do capital inflow surges end in tears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lastRenderedPageBreak/>
        <w:t>American Economic Review</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106</w:t>
      </w:r>
      <w:r w:rsidRPr="00176DAD">
        <w:rPr>
          <w:rFonts w:ascii="Times New Roman" w:hAnsi="Times New Roman" w:cs="Times New Roman"/>
          <w:noProof/>
          <w:szCs w:val="24"/>
        </w:rPr>
        <w:t>(5), 581–585.</w:t>
      </w:r>
    </w:p>
    <w:p w14:paraId="2CCD2769"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Gimet, C., &amp; Lagoarde-Segot, T. (2011). A closer look at financial development and income distribution. </w:t>
      </w:r>
      <w:r w:rsidRPr="00176DAD">
        <w:rPr>
          <w:rFonts w:ascii="Times New Roman" w:hAnsi="Times New Roman" w:cs="Times New Roman"/>
          <w:i/>
          <w:iCs/>
          <w:noProof/>
          <w:szCs w:val="24"/>
        </w:rPr>
        <w:t>Journal of Banking &amp; Finance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35</w:t>
      </w:r>
      <w:r w:rsidRPr="00176DAD">
        <w:rPr>
          <w:rFonts w:ascii="Times New Roman" w:hAnsi="Times New Roman" w:cs="Times New Roman"/>
          <w:noProof/>
          <w:szCs w:val="24"/>
        </w:rPr>
        <w:t>(7), 1698–1713.</w:t>
      </w:r>
    </w:p>
    <w:p w14:paraId="556DC03C" w14:textId="1FDB242D" w:rsidR="00176DAD" w:rsidRPr="00176DAD" w:rsidRDefault="004E2ECD" w:rsidP="004E2ECD">
      <w:pPr>
        <w:widowControl w:val="0"/>
        <w:autoSpaceDE w:val="0"/>
        <w:autoSpaceDN w:val="0"/>
        <w:adjustRightInd w:val="0"/>
        <w:spacing w:line="240" w:lineRule="auto"/>
        <w:ind w:left="480" w:hanging="480"/>
        <w:rPr>
          <w:rFonts w:ascii="Times New Roman" w:hAnsi="Times New Roman" w:cs="Times New Roman"/>
          <w:noProof/>
          <w:szCs w:val="24"/>
        </w:rPr>
      </w:pPr>
      <w:r w:rsidRPr="004E2ECD">
        <w:rPr>
          <w:rFonts w:ascii="Times New Roman" w:hAnsi="Times New Roman" w:cs="Times New Roman"/>
          <w:noProof/>
          <w:szCs w:val="24"/>
        </w:rPr>
        <w:t>World Bank. (2019).</w:t>
      </w:r>
      <w:r w:rsidRPr="004E2ECD">
        <w:rPr>
          <w:rFonts w:ascii="Times New Roman" w:hAnsi="Times New Roman" w:cs="Times New Roman"/>
          <w:i/>
          <w:iCs/>
          <w:noProof/>
          <w:szCs w:val="24"/>
        </w:rPr>
        <w:t> Global financial development report 2019/2020: Bank regulation and supervision a decade after the global financial crisis.</w:t>
      </w:r>
      <w:r w:rsidRPr="004E2ECD">
        <w:rPr>
          <w:rFonts w:ascii="Times New Roman" w:hAnsi="Times New Roman" w:cs="Times New Roman"/>
          <w:noProof/>
          <w:szCs w:val="24"/>
        </w:rPr>
        <w:t xml:space="preserve"> The World Bank</w:t>
      </w:r>
      <w:r>
        <w:rPr>
          <w:rFonts w:ascii="Times New Roman" w:hAnsi="Times New Roman" w:cs="Times New Roman"/>
          <w:noProof/>
          <w:szCs w:val="24"/>
        </w:rPr>
        <w:t xml:space="preserve"> </w:t>
      </w:r>
    </w:p>
    <w:p w14:paraId="6E749682" w14:textId="52BB6D3A"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Goldberg, P. K., &amp; Pavcnik, N. (2007). Distributional </w:t>
      </w:r>
      <w:r w:rsidR="002C23D1" w:rsidRPr="00176DAD">
        <w:rPr>
          <w:rFonts w:ascii="Times New Roman" w:hAnsi="Times New Roman" w:cs="Times New Roman"/>
          <w:noProof/>
          <w:szCs w:val="24"/>
        </w:rPr>
        <w:t>effects of globalization in developing countries.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Journal of Economic Literature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45</w:t>
      </w:r>
      <w:r w:rsidRPr="00176DAD">
        <w:rPr>
          <w:rFonts w:ascii="Times New Roman" w:hAnsi="Times New Roman" w:cs="Times New Roman"/>
          <w:noProof/>
          <w:szCs w:val="24"/>
        </w:rPr>
        <w:t>(1), 39–82.</w:t>
      </w:r>
    </w:p>
    <w:p w14:paraId="09BEFBD5" w14:textId="4D3466E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Greenwood, J., &amp; Jovanovic, B. (1990). Financial </w:t>
      </w:r>
      <w:r w:rsidR="002C23D1" w:rsidRPr="00176DAD">
        <w:rPr>
          <w:rFonts w:ascii="Times New Roman" w:hAnsi="Times New Roman" w:cs="Times New Roman"/>
          <w:noProof/>
          <w:szCs w:val="24"/>
        </w:rPr>
        <w:t>development, growth, and the distribution of income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Journal of Political Economy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98</w:t>
      </w:r>
      <w:r w:rsidRPr="00176DAD">
        <w:rPr>
          <w:rFonts w:ascii="Times New Roman" w:hAnsi="Times New Roman" w:cs="Times New Roman"/>
          <w:noProof/>
          <w:szCs w:val="24"/>
        </w:rPr>
        <w:t>, 1076–1107.</w:t>
      </w:r>
    </w:p>
    <w:p w14:paraId="7ECFBE91"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Hamori, S., &amp; Hashiguchi, Y. (2012). The effect of financial deepening on inequality: Some international evidence. </w:t>
      </w:r>
      <w:r w:rsidRPr="00176DAD">
        <w:rPr>
          <w:rFonts w:ascii="Times New Roman" w:hAnsi="Times New Roman" w:cs="Times New Roman"/>
          <w:i/>
          <w:iCs/>
          <w:noProof/>
          <w:szCs w:val="24"/>
        </w:rPr>
        <w:t>Journal of Asian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23</w:t>
      </w:r>
      <w:r w:rsidRPr="00176DAD">
        <w:rPr>
          <w:rFonts w:ascii="Times New Roman" w:hAnsi="Times New Roman" w:cs="Times New Roman"/>
          <w:noProof/>
          <w:szCs w:val="24"/>
        </w:rPr>
        <w:t>(4), 353–359.</w:t>
      </w:r>
    </w:p>
    <w:p w14:paraId="02CEB69E"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Hansen, B. E. (1999). Threshold effects in non-dynamic panels: Estimation, testing, and inference. </w:t>
      </w:r>
      <w:r w:rsidRPr="00176DAD">
        <w:rPr>
          <w:rFonts w:ascii="Times New Roman" w:hAnsi="Times New Roman" w:cs="Times New Roman"/>
          <w:i/>
          <w:iCs/>
          <w:noProof/>
          <w:szCs w:val="24"/>
        </w:rPr>
        <w:t>Journal of Econometrics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93</w:t>
      </w:r>
      <w:r w:rsidRPr="00176DAD">
        <w:rPr>
          <w:rFonts w:ascii="Times New Roman" w:hAnsi="Times New Roman" w:cs="Times New Roman"/>
          <w:noProof/>
          <w:szCs w:val="24"/>
        </w:rPr>
        <w:t>(2), 345–368.</w:t>
      </w:r>
    </w:p>
    <w:p w14:paraId="4F407B47" w14:textId="3A766F3F"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Harrison, A. E. (2002). </w:t>
      </w:r>
      <w:r w:rsidR="002C23D1">
        <w:rPr>
          <w:rFonts w:ascii="Times New Roman" w:hAnsi="Times New Roman" w:cs="Times New Roman"/>
          <w:noProof/>
          <w:szCs w:val="24"/>
        </w:rPr>
        <w:t>H</w:t>
      </w:r>
      <w:r w:rsidR="002C23D1" w:rsidRPr="002C23D1">
        <w:rPr>
          <w:rFonts w:ascii="Times New Roman" w:hAnsi="Times New Roman" w:cs="Times New Roman"/>
          <w:noProof/>
          <w:szCs w:val="24"/>
        </w:rPr>
        <w:t>as globalization eroded labour’s share? Some cross-country evidence</w:t>
      </w:r>
      <w:r w:rsidRPr="00176DAD">
        <w:rPr>
          <w:rFonts w:ascii="Times New Roman" w:hAnsi="Times New Roman" w:cs="Times New Roman"/>
          <w:noProof/>
          <w:szCs w:val="24"/>
        </w:rPr>
        <w:t>.</w:t>
      </w:r>
    </w:p>
    <w:p w14:paraId="77C62F41"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Hasan, I., Hassan, G., Kim, S. J., &amp; Wu, E. (2021). The impact of risk-based capital rules for international lending on income inequality: Global evidence. </w:t>
      </w:r>
      <w:r w:rsidRPr="00176DAD">
        <w:rPr>
          <w:rFonts w:ascii="Times New Roman" w:hAnsi="Times New Roman" w:cs="Times New Roman"/>
          <w:i/>
          <w:iCs/>
          <w:noProof/>
          <w:szCs w:val="24"/>
        </w:rPr>
        <w:t>Economic Modelling</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98</w:t>
      </w:r>
      <w:r w:rsidRPr="00176DAD">
        <w:rPr>
          <w:rFonts w:ascii="Times New Roman" w:hAnsi="Times New Roman" w:cs="Times New Roman"/>
          <w:noProof/>
          <w:szCs w:val="24"/>
        </w:rPr>
        <w:t>, 136–153.</w:t>
      </w:r>
    </w:p>
    <w:p w14:paraId="090FC701"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Heimberger, P. (2020). Does economic globalisation affect income inequality? A meta-analysis. </w:t>
      </w:r>
      <w:r w:rsidRPr="00176DAD">
        <w:rPr>
          <w:rFonts w:ascii="Times New Roman" w:hAnsi="Times New Roman" w:cs="Times New Roman"/>
          <w:i/>
          <w:iCs/>
          <w:noProof/>
          <w:szCs w:val="24"/>
        </w:rPr>
        <w:t>The World Economy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43</w:t>
      </w:r>
      <w:r w:rsidRPr="00176DAD">
        <w:rPr>
          <w:rFonts w:ascii="Times New Roman" w:hAnsi="Times New Roman" w:cs="Times New Roman"/>
          <w:noProof/>
          <w:szCs w:val="24"/>
        </w:rPr>
        <w:t>(11), 2960–2982.</w:t>
      </w:r>
    </w:p>
    <w:p w14:paraId="3D52248A" w14:textId="1552B179"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Hoi, C. M., &amp; Hoi, L. Q. (2012). Financial </w:t>
      </w:r>
      <w:r w:rsidR="002C23D1" w:rsidRPr="00176DAD">
        <w:rPr>
          <w:rFonts w:ascii="Times New Roman" w:hAnsi="Times New Roman" w:cs="Times New Roman"/>
          <w:noProof/>
          <w:szCs w:val="24"/>
        </w:rPr>
        <w:t>development and income inequality in vietnam:</w:t>
      </w:r>
      <w:r w:rsidRPr="00176DAD">
        <w:rPr>
          <w:rFonts w:ascii="Times New Roman" w:hAnsi="Times New Roman" w:cs="Times New Roman"/>
          <w:noProof/>
          <w:szCs w:val="24"/>
        </w:rPr>
        <w:t xml:space="preserve"> An Empirical </w:t>
      </w:r>
      <w:r w:rsidR="002C23D1" w:rsidRPr="00176DAD">
        <w:rPr>
          <w:rFonts w:ascii="Times New Roman" w:hAnsi="Times New Roman" w:cs="Times New Roman"/>
          <w:noProof/>
          <w:szCs w:val="24"/>
        </w:rPr>
        <w:t xml:space="preserve">analysis. </w:t>
      </w:r>
      <w:r w:rsidR="002C23D1" w:rsidRPr="00176DAD">
        <w:rPr>
          <w:rFonts w:ascii="Times New Roman" w:hAnsi="Times New Roman" w:cs="Times New Roman"/>
          <w:i/>
          <w:iCs/>
          <w:noProof/>
          <w:szCs w:val="24"/>
        </w:rPr>
        <w:t>journal of economics and development</w:t>
      </w:r>
      <w:r w:rsidR="002C23D1" w:rsidRPr="00176DAD">
        <w:rPr>
          <w:rFonts w:ascii="Times New Roman" w:hAnsi="Times New Roman" w:cs="Times New Roman"/>
          <w:noProof/>
          <w:szCs w:val="24"/>
        </w:rPr>
        <w:t>,</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15</w:t>
      </w:r>
      <w:r w:rsidRPr="00176DAD">
        <w:rPr>
          <w:rFonts w:ascii="Times New Roman" w:hAnsi="Times New Roman" w:cs="Times New Roman"/>
          <w:noProof/>
          <w:szCs w:val="24"/>
        </w:rPr>
        <w:t>(2), 5–25.</w:t>
      </w:r>
    </w:p>
    <w:p w14:paraId="13509E4C" w14:textId="03C3A230"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Isah, A. (2016). Financial </w:t>
      </w:r>
      <w:r w:rsidR="002C23D1" w:rsidRPr="00176DAD">
        <w:rPr>
          <w:rFonts w:ascii="Times New Roman" w:hAnsi="Times New Roman" w:cs="Times New Roman"/>
          <w:noProof/>
          <w:szCs w:val="24"/>
        </w:rPr>
        <w:t xml:space="preserve">development and income inequality: </w:t>
      </w:r>
      <w:r w:rsidRPr="00176DAD">
        <w:rPr>
          <w:rFonts w:ascii="Times New Roman" w:hAnsi="Times New Roman" w:cs="Times New Roman"/>
          <w:noProof/>
          <w:szCs w:val="24"/>
        </w:rPr>
        <w:t xml:space="preserve">A </w:t>
      </w:r>
      <w:r w:rsidR="002C23D1" w:rsidRPr="00176DAD">
        <w:rPr>
          <w:rFonts w:ascii="Times New Roman" w:hAnsi="Times New Roman" w:cs="Times New Roman"/>
          <w:noProof/>
          <w:szCs w:val="24"/>
        </w:rPr>
        <w:t>review of literature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2nd International Conference on Social Science and Law</w:t>
      </w:r>
      <w:r w:rsidRPr="00176DAD">
        <w:rPr>
          <w:rFonts w:ascii="Times New Roman" w:hAnsi="Times New Roman" w:cs="Times New Roman"/>
          <w:noProof/>
          <w:szCs w:val="24"/>
        </w:rPr>
        <w:t>.</w:t>
      </w:r>
    </w:p>
    <w:p w14:paraId="16D58D1F"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Jauch, S., &amp; Watzka, S. (2016). Financial development and income inequality: a panel data approach. </w:t>
      </w:r>
      <w:r w:rsidRPr="00176DAD">
        <w:rPr>
          <w:rFonts w:ascii="Times New Roman" w:hAnsi="Times New Roman" w:cs="Times New Roman"/>
          <w:i/>
          <w:iCs/>
          <w:noProof/>
          <w:szCs w:val="24"/>
        </w:rPr>
        <w:t>Empirical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51</w:t>
      </w:r>
      <w:r w:rsidRPr="00176DAD">
        <w:rPr>
          <w:rFonts w:ascii="Times New Roman" w:hAnsi="Times New Roman" w:cs="Times New Roman"/>
          <w:noProof/>
          <w:szCs w:val="24"/>
        </w:rPr>
        <w:t>(1), 291–314.</w:t>
      </w:r>
    </w:p>
    <w:p w14:paraId="1993AAFE"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Jaumotte, F., Lall, S., &amp; Papageorgiou, C. (2013). Rising income inequality: Technology, or trade and financial globalization? </w:t>
      </w:r>
      <w:r w:rsidRPr="00176DAD">
        <w:rPr>
          <w:rFonts w:ascii="Times New Roman" w:hAnsi="Times New Roman" w:cs="Times New Roman"/>
          <w:i/>
          <w:iCs/>
          <w:noProof/>
          <w:szCs w:val="24"/>
        </w:rPr>
        <w:t>IMF Economic Review</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61</w:t>
      </w:r>
      <w:r w:rsidRPr="00176DAD">
        <w:rPr>
          <w:rFonts w:ascii="Times New Roman" w:hAnsi="Times New Roman" w:cs="Times New Roman"/>
          <w:noProof/>
          <w:szCs w:val="24"/>
        </w:rPr>
        <w:t>(2), 271–309.</w:t>
      </w:r>
    </w:p>
    <w:p w14:paraId="511385C0"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Kim, D. H., Hsieh, J., &amp; Lin, S. C. (2021). Financial liberalization, political institutions, and income inequality. </w:t>
      </w:r>
      <w:r w:rsidRPr="00176DAD">
        <w:rPr>
          <w:rFonts w:ascii="Times New Roman" w:hAnsi="Times New Roman" w:cs="Times New Roman"/>
          <w:i/>
          <w:iCs/>
          <w:noProof/>
          <w:szCs w:val="24"/>
        </w:rPr>
        <w:t>Empirical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60</w:t>
      </w:r>
      <w:r w:rsidRPr="00176DAD">
        <w:rPr>
          <w:rFonts w:ascii="Times New Roman" w:hAnsi="Times New Roman" w:cs="Times New Roman"/>
          <w:noProof/>
          <w:szCs w:val="24"/>
        </w:rPr>
        <w:t>(3), 1245–1281.</w:t>
      </w:r>
    </w:p>
    <w:p w14:paraId="74FEE86B"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Kim, D. H., &amp; Lin, S. C. (2011). Nonlinearity in the financial development–income inequality nexus. </w:t>
      </w:r>
      <w:r w:rsidRPr="00176DAD">
        <w:rPr>
          <w:rFonts w:ascii="Times New Roman" w:hAnsi="Times New Roman" w:cs="Times New Roman"/>
          <w:i/>
          <w:iCs/>
          <w:noProof/>
          <w:szCs w:val="24"/>
        </w:rPr>
        <w:t>Journal of Comparative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39</w:t>
      </w:r>
      <w:r w:rsidRPr="00176DAD">
        <w:rPr>
          <w:rFonts w:ascii="Times New Roman" w:hAnsi="Times New Roman" w:cs="Times New Roman"/>
          <w:noProof/>
          <w:szCs w:val="24"/>
        </w:rPr>
        <w:t>(3), 310–325.</w:t>
      </w:r>
    </w:p>
    <w:p w14:paraId="7227509F"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Kim, D. H., Lin, S. C., &amp; Suen, Y. B. (2010). Dynamic effects of trade openness on financial development. </w:t>
      </w:r>
      <w:r w:rsidRPr="00176DAD">
        <w:rPr>
          <w:rFonts w:ascii="Times New Roman" w:hAnsi="Times New Roman" w:cs="Times New Roman"/>
          <w:i/>
          <w:iCs/>
          <w:noProof/>
          <w:szCs w:val="24"/>
        </w:rPr>
        <w:t>Economic Modelling</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27</w:t>
      </w:r>
      <w:r w:rsidRPr="00176DAD">
        <w:rPr>
          <w:rFonts w:ascii="Times New Roman" w:hAnsi="Times New Roman" w:cs="Times New Roman"/>
          <w:noProof/>
          <w:szCs w:val="24"/>
        </w:rPr>
        <w:t>(1), 254–261.</w:t>
      </w:r>
    </w:p>
    <w:p w14:paraId="694CD86C"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Kose, M. A., Prasad, E. S., &amp; Terrones, M. E. (2009). Does financial globalization promote risk sharing? </w:t>
      </w:r>
      <w:r w:rsidRPr="00176DAD">
        <w:rPr>
          <w:rFonts w:ascii="Times New Roman" w:hAnsi="Times New Roman" w:cs="Times New Roman"/>
          <w:i/>
          <w:iCs/>
          <w:noProof/>
          <w:szCs w:val="24"/>
        </w:rPr>
        <w:t>Journal of Development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89</w:t>
      </w:r>
      <w:r w:rsidRPr="00176DAD">
        <w:rPr>
          <w:rFonts w:ascii="Times New Roman" w:hAnsi="Times New Roman" w:cs="Times New Roman"/>
          <w:noProof/>
          <w:szCs w:val="24"/>
        </w:rPr>
        <w:t>(2), 258–270.</w:t>
      </w:r>
    </w:p>
    <w:p w14:paraId="4417A065"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Kremer, S., Bick, A., &amp; Nautz, D. (2013). Inflation and growth: new evidence from a dynamic panel threshold analysis. </w:t>
      </w:r>
      <w:r w:rsidRPr="00176DAD">
        <w:rPr>
          <w:rFonts w:ascii="Times New Roman" w:hAnsi="Times New Roman" w:cs="Times New Roman"/>
          <w:i/>
          <w:iCs/>
          <w:noProof/>
          <w:szCs w:val="24"/>
        </w:rPr>
        <w:t>Empirical Economics 2012 44:2</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44</w:t>
      </w:r>
      <w:r w:rsidRPr="00176DAD">
        <w:rPr>
          <w:rFonts w:ascii="Times New Roman" w:hAnsi="Times New Roman" w:cs="Times New Roman"/>
          <w:noProof/>
          <w:szCs w:val="24"/>
        </w:rPr>
        <w:t>(2), 861–878.</w:t>
      </w:r>
    </w:p>
    <w:p w14:paraId="59711184" w14:textId="281416AB"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Kunieda, T., Okada, K., &amp; Shibata, A. (2014). </w:t>
      </w:r>
      <w:r w:rsidR="002C23D1">
        <w:rPr>
          <w:rFonts w:ascii="Times New Roman" w:hAnsi="Times New Roman" w:cs="Times New Roman"/>
          <w:noProof/>
          <w:szCs w:val="24"/>
        </w:rPr>
        <w:t>F</w:t>
      </w:r>
      <w:r w:rsidR="002C23D1" w:rsidRPr="00176DAD">
        <w:rPr>
          <w:rFonts w:ascii="Times New Roman" w:hAnsi="Times New Roman" w:cs="Times New Roman"/>
          <w:noProof/>
          <w:szCs w:val="24"/>
        </w:rPr>
        <w:t xml:space="preserve">inance and inequality: how does globalization change their relationship? </w:t>
      </w:r>
      <w:r w:rsidRPr="00176DAD">
        <w:rPr>
          <w:rFonts w:ascii="Times New Roman" w:hAnsi="Times New Roman" w:cs="Times New Roman"/>
          <w:i/>
          <w:iCs/>
          <w:noProof/>
          <w:szCs w:val="24"/>
        </w:rPr>
        <w:t>Macroeconomic Dynamics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18</w:t>
      </w:r>
      <w:r w:rsidRPr="00176DAD">
        <w:rPr>
          <w:rFonts w:ascii="Times New Roman" w:hAnsi="Times New Roman" w:cs="Times New Roman"/>
          <w:noProof/>
          <w:szCs w:val="24"/>
        </w:rPr>
        <w:t>(5), 1091–1128.</w:t>
      </w:r>
    </w:p>
    <w:p w14:paraId="61B9D216"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lastRenderedPageBreak/>
        <w:t xml:space="preserve">Lane, P. R., &amp; Milesi-Ferretti, G. M. (2007). The external wealth of nations mark II: Revised and extended estimates of foreign assets and liabilities, 1970–2004. </w:t>
      </w:r>
      <w:r w:rsidRPr="00176DAD">
        <w:rPr>
          <w:rFonts w:ascii="Times New Roman" w:hAnsi="Times New Roman" w:cs="Times New Roman"/>
          <w:i/>
          <w:iCs/>
          <w:noProof/>
          <w:szCs w:val="24"/>
        </w:rPr>
        <w:t>Journal of International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73</w:t>
      </w:r>
      <w:r w:rsidRPr="00176DAD">
        <w:rPr>
          <w:rFonts w:ascii="Times New Roman" w:hAnsi="Times New Roman" w:cs="Times New Roman"/>
          <w:noProof/>
          <w:szCs w:val="24"/>
        </w:rPr>
        <w:t>(2), 223–250.</w:t>
      </w:r>
    </w:p>
    <w:p w14:paraId="30BD8DBB" w14:textId="4D05586B"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Law, S. H. (2009). Trade </w:t>
      </w:r>
      <w:r w:rsidR="002C23D1" w:rsidRPr="00176DAD">
        <w:rPr>
          <w:rFonts w:ascii="Times New Roman" w:hAnsi="Times New Roman" w:cs="Times New Roman"/>
          <w:noProof/>
          <w:szCs w:val="24"/>
        </w:rPr>
        <w:t>openness, capital flows and financial development in developing economies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Http://Dx.Doi.Org/10.1080/10168730903268398</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23</w:t>
      </w:r>
      <w:r w:rsidRPr="00176DAD">
        <w:rPr>
          <w:rFonts w:ascii="Times New Roman" w:hAnsi="Times New Roman" w:cs="Times New Roman"/>
          <w:noProof/>
          <w:szCs w:val="24"/>
        </w:rPr>
        <w:t>(3), 409–426.</w:t>
      </w:r>
    </w:p>
    <w:p w14:paraId="72F2FC72"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Law, S. H., Tan, H. B., &amp; Azman-Saini, W. N. W. (2014). Financial development and income inequality at different levels of institutional quality. </w:t>
      </w:r>
      <w:r w:rsidRPr="00176DAD">
        <w:rPr>
          <w:rFonts w:ascii="Times New Roman" w:hAnsi="Times New Roman" w:cs="Times New Roman"/>
          <w:i/>
          <w:iCs/>
          <w:noProof/>
          <w:szCs w:val="24"/>
        </w:rPr>
        <w:t>Emerging Markets Finance and Trade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50</w:t>
      </w:r>
      <w:r w:rsidRPr="00176DAD">
        <w:rPr>
          <w:rFonts w:ascii="Times New Roman" w:hAnsi="Times New Roman" w:cs="Times New Roman"/>
          <w:noProof/>
          <w:szCs w:val="24"/>
        </w:rPr>
        <w:t>, 21–33.</w:t>
      </w:r>
    </w:p>
    <w:p w14:paraId="6ECBA67C" w14:textId="51E64395"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Levine, R. (1997). Financial </w:t>
      </w:r>
      <w:r w:rsidR="002C23D1" w:rsidRPr="00176DAD">
        <w:rPr>
          <w:rFonts w:ascii="Times New Roman" w:hAnsi="Times New Roman" w:cs="Times New Roman"/>
          <w:noProof/>
          <w:szCs w:val="24"/>
        </w:rPr>
        <w:t>development and economic growth</w:t>
      </w:r>
      <w:r w:rsidRPr="00176DAD">
        <w:rPr>
          <w:rFonts w:ascii="Times New Roman" w:hAnsi="Times New Roman" w:cs="Times New Roman"/>
          <w:noProof/>
          <w:szCs w:val="24"/>
        </w:rPr>
        <w:t xml:space="preserve">: Views and Agenda on JSTOR. </w:t>
      </w:r>
      <w:r w:rsidRPr="00176DAD">
        <w:rPr>
          <w:rFonts w:ascii="Times New Roman" w:hAnsi="Times New Roman" w:cs="Times New Roman"/>
          <w:i/>
          <w:iCs/>
          <w:noProof/>
          <w:szCs w:val="24"/>
        </w:rPr>
        <w:t>Journal of Economic Literature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35</w:t>
      </w:r>
      <w:r w:rsidRPr="00176DAD">
        <w:rPr>
          <w:rFonts w:ascii="Times New Roman" w:hAnsi="Times New Roman" w:cs="Times New Roman"/>
          <w:noProof/>
          <w:szCs w:val="24"/>
        </w:rPr>
        <w:t>(2), 688–726.</w:t>
      </w:r>
    </w:p>
    <w:p w14:paraId="15BED3AB" w14:textId="237DA315"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Levine, R. (2005). Finance and </w:t>
      </w:r>
      <w:r w:rsidR="002C23D1">
        <w:rPr>
          <w:rFonts w:ascii="Times New Roman" w:hAnsi="Times New Roman" w:cs="Times New Roman"/>
          <w:noProof/>
          <w:szCs w:val="24"/>
        </w:rPr>
        <w:t>g</w:t>
      </w:r>
      <w:r w:rsidRPr="00176DAD">
        <w:rPr>
          <w:rFonts w:ascii="Times New Roman" w:hAnsi="Times New Roman" w:cs="Times New Roman"/>
          <w:noProof/>
          <w:szCs w:val="24"/>
        </w:rPr>
        <w:t xml:space="preserve">rowth: Theory and </w:t>
      </w:r>
      <w:r w:rsidR="002C23D1">
        <w:rPr>
          <w:rFonts w:ascii="Times New Roman" w:hAnsi="Times New Roman" w:cs="Times New Roman"/>
          <w:noProof/>
          <w:szCs w:val="24"/>
        </w:rPr>
        <w:t>e</w:t>
      </w:r>
      <w:r w:rsidRPr="00176DAD">
        <w:rPr>
          <w:rFonts w:ascii="Times New Roman" w:hAnsi="Times New Roman" w:cs="Times New Roman"/>
          <w:noProof/>
          <w:szCs w:val="24"/>
        </w:rPr>
        <w:t xml:space="preserve">vidence. In P. Aghion &amp; S. . Durlauf (Eds.), </w:t>
      </w:r>
      <w:r w:rsidRPr="00176DAD">
        <w:rPr>
          <w:rFonts w:ascii="Times New Roman" w:hAnsi="Times New Roman" w:cs="Times New Roman"/>
          <w:i/>
          <w:iCs/>
          <w:noProof/>
          <w:szCs w:val="24"/>
        </w:rPr>
        <w:t>Handbook of Economic Growth</w:t>
      </w:r>
      <w:r w:rsidRPr="00176DAD">
        <w:rPr>
          <w:rFonts w:ascii="Times New Roman" w:hAnsi="Times New Roman" w:cs="Times New Roman"/>
          <w:noProof/>
          <w:szCs w:val="24"/>
        </w:rPr>
        <w:t xml:space="preserve"> (Vol. 1, Issue SUPPL. PART A, pp. 865–934). Elsevier.</w:t>
      </w:r>
    </w:p>
    <w:p w14:paraId="54CAFAE5" w14:textId="0A1AFE69"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Li, H., Squire, L., &amp; Zou, H. F. (1998). Explaining </w:t>
      </w:r>
      <w:r w:rsidR="002C23D1" w:rsidRPr="00176DAD">
        <w:rPr>
          <w:rFonts w:ascii="Times New Roman" w:hAnsi="Times New Roman" w:cs="Times New Roman"/>
          <w:noProof/>
          <w:szCs w:val="24"/>
        </w:rPr>
        <w:t>international and intertemporal variations in income inequality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The Economic Journal</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108</w:t>
      </w:r>
      <w:r w:rsidRPr="00176DAD">
        <w:rPr>
          <w:rFonts w:ascii="Times New Roman" w:hAnsi="Times New Roman" w:cs="Times New Roman"/>
          <w:noProof/>
          <w:szCs w:val="24"/>
        </w:rPr>
        <w:t>(446), 26–43.</w:t>
      </w:r>
    </w:p>
    <w:p w14:paraId="0A0810BD"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Liang, Z. (2006). Financial development and income distribution: a system GMM panel analysis with application to urban China. </w:t>
      </w:r>
      <w:r w:rsidRPr="00176DAD">
        <w:rPr>
          <w:rFonts w:ascii="Times New Roman" w:hAnsi="Times New Roman" w:cs="Times New Roman"/>
          <w:i/>
          <w:iCs/>
          <w:noProof/>
          <w:szCs w:val="24"/>
        </w:rPr>
        <w:t>Journal of Economic Development</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31</w:t>
      </w:r>
      <w:r w:rsidRPr="00176DAD">
        <w:rPr>
          <w:rFonts w:ascii="Times New Roman" w:hAnsi="Times New Roman" w:cs="Times New Roman"/>
          <w:noProof/>
          <w:szCs w:val="24"/>
        </w:rPr>
        <w:t>(2).</w:t>
      </w:r>
    </w:p>
    <w:p w14:paraId="7276EB90" w14:textId="0B03ADF0"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Liang, Z. (2008). Financial </w:t>
      </w:r>
      <w:r w:rsidR="002C23D1" w:rsidRPr="00176DAD">
        <w:rPr>
          <w:rFonts w:ascii="Times New Roman" w:hAnsi="Times New Roman" w:cs="Times New Roman"/>
          <w:noProof/>
          <w:szCs w:val="24"/>
        </w:rPr>
        <w:t>development and income inequality in rural china</w:t>
      </w:r>
      <w:r w:rsidRPr="00176DAD">
        <w:rPr>
          <w:rFonts w:ascii="Times New Roman" w:hAnsi="Times New Roman" w:cs="Times New Roman"/>
          <w:noProof/>
          <w:szCs w:val="24"/>
        </w:rPr>
        <w:t xml:space="preserve"> 1991–2000. </w:t>
      </w:r>
      <w:r w:rsidRPr="00176DAD">
        <w:rPr>
          <w:rFonts w:ascii="Times New Roman" w:hAnsi="Times New Roman" w:cs="Times New Roman"/>
          <w:i/>
          <w:iCs/>
          <w:noProof/>
          <w:szCs w:val="24"/>
        </w:rPr>
        <w:t>Understanding Inequality and Poverty in China</w:t>
      </w:r>
      <w:r w:rsidRPr="00176DAD">
        <w:rPr>
          <w:rFonts w:ascii="Times New Roman" w:hAnsi="Times New Roman" w:cs="Times New Roman"/>
          <w:noProof/>
          <w:szCs w:val="24"/>
        </w:rPr>
        <w:t>, 72–88.</w:t>
      </w:r>
    </w:p>
    <w:p w14:paraId="5737E966" w14:textId="0F91B4A2"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Lucas, C., Piketty, T., Saez, E., &amp; Zucman, G. (2022). </w:t>
      </w:r>
      <w:r w:rsidRPr="00176DAD">
        <w:rPr>
          <w:rFonts w:ascii="Times New Roman" w:hAnsi="Times New Roman" w:cs="Times New Roman"/>
          <w:i/>
          <w:iCs/>
          <w:noProof/>
          <w:szCs w:val="24"/>
        </w:rPr>
        <w:t xml:space="preserve">World </w:t>
      </w:r>
      <w:r w:rsidR="002C23D1">
        <w:rPr>
          <w:rFonts w:ascii="Times New Roman" w:hAnsi="Times New Roman" w:cs="Times New Roman"/>
          <w:i/>
          <w:iCs/>
          <w:noProof/>
          <w:szCs w:val="24"/>
        </w:rPr>
        <w:t>i</w:t>
      </w:r>
      <w:r w:rsidRPr="00176DAD">
        <w:rPr>
          <w:rFonts w:ascii="Times New Roman" w:hAnsi="Times New Roman" w:cs="Times New Roman"/>
          <w:i/>
          <w:iCs/>
          <w:noProof/>
          <w:szCs w:val="24"/>
        </w:rPr>
        <w:t xml:space="preserve">nequality </w:t>
      </w:r>
      <w:r w:rsidR="002C23D1">
        <w:rPr>
          <w:rFonts w:ascii="Times New Roman" w:hAnsi="Times New Roman" w:cs="Times New Roman"/>
          <w:i/>
          <w:iCs/>
          <w:noProof/>
          <w:szCs w:val="24"/>
        </w:rPr>
        <w:t>r</w:t>
      </w:r>
      <w:r w:rsidRPr="00176DAD">
        <w:rPr>
          <w:rFonts w:ascii="Times New Roman" w:hAnsi="Times New Roman" w:cs="Times New Roman"/>
          <w:i/>
          <w:iCs/>
          <w:noProof/>
          <w:szCs w:val="24"/>
        </w:rPr>
        <w:t>eport 2022</w:t>
      </w:r>
      <w:r w:rsidRPr="00176DAD">
        <w:rPr>
          <w:rFonts w:ascii="Times New Roman" w:hAnsi="Times New Roman" w:cs="Times New Roman"/>
          <w:noProof/>
          <w:szCs w:val="24"/>
        </w:rPr>
        <w:t>. Harvard University Press.</w:t>
      </w:r>
    </w:p>
    <w:p w14:paraId="1701D216" w14:textId="0DF3F6EA"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Meschi, E., &amp; Vivarelli, M. (2009). Trade and </w:t>
      </w:r>
      <w:r w:rsidR="002C23D1" w:rsidRPr="00176DAD">
        <w:rPr>
          <w:rFonts w:ascii="Times New Roman" w:hAnsi="Times New Roman" w:cs="Times New Roman"/>
          <w:noProof/>
          <w:szCs w:val="24"/>
        </w:rPr>
        <w:t>income inequality in developing countries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World Development</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37</w:t>
      </w:r>
      <w:r w:rsidRPr="00176DAD">
        <w:rPr>
          <w:rFonts w:ascii="Times New Roman" w:hAnsi="Times New Roman" w:cs="Times New Roman"/>
          <w:noProof/>
          <w:szCs w:val="24"/>
        </w:rPr>
        <w:t>(2), 287–302.</w:t>
      </w:r>
    </w:p>
    <w:p w14:paraId="3BE55C47" w14:textId="2BBC17BE"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Meyer Bittencourt, M. F. (2006). </w:t>
      </w:r>
      <w:r w:rsidRPr="00176DAD">
        <w:rPr>
          <w:rFonts w:ascii="Times New Roman" w:hAnsi="Times New Roman" w:cs="Times New Roman"/>
          <w:i/>
          <w:iCs/>
          <w:noProof/>
          <w:szCs w:val="24"/>
        </w:rPr>
        <w:t xml:space="preserve">Financial </w:t>
      </w:r>
      <w:r w:rsidR="002C23D1" w:rsidRPr="00176DAD">
        <w:rPr>
          <w:rFonts w:ascii="Times New Roman" w:hAnsi="Times New Roman" w:cs="Times New Roman"/>
          <w:i/>
          <w:iCs/>
          <w:noProof/>
          <w:szCs w:val="24"/>
        </w:rPr>
        <w:t>development and inequality</w:t>
      </w:r>
      <w:r w:rsidRPr="00176DAD">
        <w:rPr>
          <w:rFonts w:ascii="Times New Roman" w:hAnsi="Times New Roman" w:cs="Times New Roman"/>
          <w:i/>
          <w:iCs/>
          <w:noProof/>
          <w:szCs w:val="24"/>
        </w:rPr>
        <w:t>: Brazil 1985-99</w:t>
      </w:r>
      <w:r w:rsidRPr="00176DAD">
        <w:rPr>
          <w:rFonts w:ascii="Times New Roman" w:hAnsi="Times New Roman" w:cs="Times New Roman"/>
          <w:noProof/>
          <w:szCs w:val="24"/>
        </w:rPr>
        <w:t>.</w:t>
      </w:r>
    </w:p>
    <w:p w14:paraId="6911D1CD" w14:textId="72E703ED"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Mills, M. (2009). Globalization and </w:t>
      </w:r>
      <w:r w:rsidR="002C23D1">
        <w:rPr>
          <w:rFonts w:ascii="Times New Roman" w:hAnsi="Times New Roman" w:cs="Times New Roman"/>
          <w:noProof/>
          <w:szCs w:val="24"/>
        </w:rPr>
        <w:t>i</w:t>
      </w:r>
      <w:r w:rsidRPr="00176DAD">
        <w:rPr>
          <w:rFonts w:ascii="Times New Roman" w:hAnsi="Times New Roman" w:cs="Times New Roman"/>
          <w:noProof/>
          <w:szCs w:val="24"/>
        </w:rPr>
        <w:t xml:space="preserve">nequality. </w:t>
      </w:r>
      <w:r w:rsidRPr="00176DAD">
        <w:rPr>
          <w:rFonts w:ascii="Times New Roman" w:hAnsi="Times New Roman" w:cs="Times New Roman"/>
          <w:i/>
          <w:iCs/>
          <w:noProof/>
          <w:szCs w:val="24"/>
        </w:rPr>
        <w:t>European Sociological Review</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25</w:t>
      </w:r>
      <w:r w:rsidRPr="00176DAD">
        <w:rPr>
          <w:rFonts w:ascii="Times New Roman" w:hAnsi="Times New Roman" w:cs="Times New Roman"/>
          <w:noProof/>
          <w:szCs w:val="24"/>
        </w:rPr>
        <w:t>(1), 1–8.</w:t>
      </w:r>
    </w:p>
    <w:p w14:paraId="6BAAA6A6"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Mookerjee, R., &amp; Kalipioni, P. (2010). Availability of financial services and income inequality: The evidence from many countries. </w:t>
      </w:r>
      <w:r w:rsidRPr="00176DAD">
        <w:rPr>
          <w:rFonts w:ascii="Times New Roman" w:hAnsi="Times New Roman" w:cs="Times New Roman"/>
          <w:i/>
          <w:iCs/>
          <w:noProof/>
          <w:szCs w:val="24"/>
        </w:rPr>
        <w:t>Emerging Markets Review</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11</w:t>
      </w:r>
      <w:r w:rsidRPr="00176DAD">
        <w:rPr>
          <w:rFonts w:ascii="Times New Roman" w:hAnsi="Times New Roman" w:cs="Times New Roman"/>
          <w:noProof/>
          <w:szCs w:val="24"/>
        </w:rPr>
        <w:t>(4), 404–408.</w:t>
      </w:r>
    </w:p>
    <w:p w14:paraId="0CC80DD7"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Naceur, M., &amp; Zhang, R. (2016). </w:t>
      </w:r>
      <w:r w:rsidRPr="00176DAD">
        <w:rPr>
          <w:rFonts w:ascii="Times New Roman" w:hAnsi="Times New Roman" w:cs="Times New Roman"/>
          <w:i/>
          <w:iCs/>
          <w:noProof/>
          <w:szCs w:val="24"/>
        </w:rPr>
        <w:t>Financial development, inequality and poverty: some international evidence</w:t>
      </w:r>
      <w:r w:rsidRPr="00176DAD">
        <w:rPr>
          <w:rFonts w:ascii="Times New Roman" w:hAnsi="Times New Roman" w:cs="Times New Roman"/>
          <w:noProof/>
          <w:szCs w:val="24"/>
        </w:rPr>
        <w:t>.</w:t>
      </w:r>
    </w:p>
    <w:p w14:paraId="71C7BB5B" w14:textId="2ECD75F8"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Nikoloski, Z. (2013). </w:t>
      </w:r>
      <w:r w:rsidR="002C23D1">
        <w:rPr>
          <w:rFonts w:ascii="Times New Roman" w:hAnsi="Times New Roman" w:cs="Times New Roman"/>
          <w:noProof/>
          <w:szCs w:val="24"/>
        </w:rPr>
        <w:t>F</w:t>
      </w:r>
      <w:r w:rsidR="002C23D1" w:rsidRPr="00176DAD">
        <w:rPr>
          <w:rFonts w:ascii="Times New Roman" w:hAnsi="Times New Roman" w:cs="Times New Roman"/>
          <w:noProof/>
          <w:szCs w:val="24"/>
        </w:rPr>
        <w:t>inancial sector development and inequality: is there a financial kuznets curve?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Journal of International Development</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25</w:t>
      </w:r>
      <w:r w:rsidRPr="00176DAD">
        <w:rPr>
          <w:rFonts w:ascii="Times New Roman" w:hAnsi="Times New Roman" w:cs="Times New Roman"/>
          <w:noProof/>
          <w:szCs w:val="24"/>
        </w:rPr>
        <w:t>(7), 897–911.</w:t>
      </w:r>
    </w:p>
    <w:p w14:paraId="166B927D" w14:textId="793F7EA8"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Park, D., &amp; Shin, K. (2017). Economic Growth, Financial Development, and Income Inequality. </w:t>
      </w:r>
    </w:p>
    <w:p w14:paraId="37DF85C6"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Rajan, R., &amp; Zingales, L. (2003a). </w:t>
      </w:r>
      <w:r w:rsidRPr="00176DAD">
        <w:rPr>
          <w:rFonts w:ascii="Times New Roman" w:hAnsi="Times New Roman" w:cs="Times New Roman"/>
          <w:i/>
          <w:iCs/>
          <w:noProof/>
          <w:szCs w:val="24"/>
        </w:rPr>
        <w:t>Saving capitalism from the capitalists : unleashing the power of financial markets to create wealth and spread opportunity</w:t>
      </w:r>
      <w:r w:rsidRPr="00176DAD">
        <w:rPr>
          <w:rFonts w:ascii="Times New Roman" w:hAnsi="Times New Roman" w:cs="Times New Roman"/>
          <w:noProof/>
          <w:szCs w:val="24"/>
        </w:rPr>
        <w:t>. Princeton University Press.</w:t>
      </w:r>
    </w:p>
    <w:p w14:paraId="151BD7E5"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Rajan, R., &amp; Zingales, L. (2003b). The great reversals: the politics of financial development in the twentieth century. </w:t>
      </w:r>
      <w:r w:rsidRPr="00176DAD">
        <w:rPr>
          <w:rFonts w:ascii="Times New Roman" w:hAnsi="Times New Roman" w:cs="Times New Roman"/>
          <w:i/>
          <w:iCs/>
          <w:noProof/>
          <w:szCs w:val="24"/>
        </w:rPr>
        <w:t>Journal of Financial Economics</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69</w:t>
      </w:r>
      <w:r w:rsidRPr="00176DAD">
        <w:rPr>
          <w:rFonts w:ascii="Times New Roman" w:hAnsi="Times New Roman" w:cs="Times New Roman"/>
          <w:noProof/>
          <w:szCs w:val="24"/>
        </w:rPr>
        <w:t>(1), 5–50.</w:t>
      </w:r>
    </w:p>
    <w:p w14:paraId="6836334C" w14:textId="27A8E89F"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Rodríguez-Pose, A., &amp; Tselios, V. (2009). </w:t>
      </w:r>
      <w:r w:rsidR="002C23D1">
        <w:rPr>
          <w:rFonts w:ascii="Times New Roman" w:hAnsi="Times New Roman" w:cs="Times New Roman"/>
          <w:noProof/>
          <w:szCs w:val="24"/>
        </w:rPr>
        <w:t>E</w:t>
      </w:r>
      <w:r w:rsidR="002C23D1" w:rsidRPr="00176DAD">
        <w:rPr>
          <w:rFonts w:ascii="Times New Roman" w:hAnsi="Times New Roman" w:cs="Times New Roman"/>
          <w:noProof/>
          <w:szCs w:val="24"/>
        </w:rPr>
        <w:t>ducation and income inequality in the regions of the european union</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Journal of Regional Science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49</w:t>
      </w:r>
      <w:r w:rsidRPr="00176DAD">
        <w:rPr>
          <w:rFonts w:ascii="Times New Roman" w:hAnsi="Times New Roman" w:cs="Times New Roman"/>
          <w:noProof/>
          <w:szCs w:val="24"/>
        </w:rPr>
        <w:t>(3), 411–437.</w:t>
      </w:r>
    </w:p>
    <w:p w14:paraId="025AD2EA"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lastRenderedPageBreak/>
        <w:t xml:space="preserve">Seven, U., &amp; Coskun, Y. (2016). Does financial development reduce income inequality and poverty? Evidence from emerging countries. </w:t>
      </w:r>
      <w:r w:rsidRPr="00176DAD">
        <w:rPr>
          <w:rFonts w:ascii="Times New Roman" w:hAnsi="Times New Roman" w:cs="Times New Roman"/>
          <w:i/>
          <w:iCs/>
          <w:noProof/>
          <w:szCs w:val="24"/>
        </w:rPr>
        <w:t>Emerging Markets Review</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26</w:t>
      </w:r>
      <w:r w:rsidRPr="00176DAD">
        <w:rPr>
          <w:rFonts w:ascii="Times New Roman" w:hAnsi="Times New Roman" w:cs="Times New Roman"/>
          <w:noProof/>
          <w:szCs w:val="24"/>
        </w:rPr>
        <w:t>, 34–63.</w:t>
      </w:r>
    </w:p>
    <w:p w14:paraId="715A087D"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Shahbaz, M., &amp; Islam, F. (2011). </w:t>
      </w:r>
      <w:r w:rsidRPr="00176DAD">
        <w:rPr>
          <w:rFonts w:ascii="Times New Roman" w:hAnsi="Times New Roman" w:cs="Times New Roman"/>
          <w:i/>
          <w:iCs/>
          <w:noProof/>
          <w:szCs w:val="24"/>
        </w:rPr>
        <w:t>Financial development and income inequality in Pakistan: An application of ARDL approach</w:t>
      </w:r>
      <w:r w:rsidRPr="00176DAD">
        <w:rPr>
          <w:rFonts w:ascii="Times New Roman" w:hAnsi="Times New Roman" w:cs="Times New Roman"/>
          <w:noProof/>
          <w:szCs w:val="24"/>
        </w:rPr>
        <w:t>.</w:t>
      </w:r>
    </w:p>
    <w:p w14:paraId="26048712" w14:textId="53EED5F3"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szCs w:val="24"/>
        </w:rPr>
      </w:pPr>
      <w:r w:rsidRPr="00176DAD">
        <w:rPr>
          <w:rFonts w:ascii="Times New Roman" w:hAnsi="Times New Roman" w:cs="Times New Roman"/>
          <w:noProof/>
          <w:szCs w:val="24"/>
        </w:rPr>
        <w:t xml:space="preserve">Solt, F. (2020). Measuring </w:t>
      </w:r>
      <w:r w:rsidR="002C23D1" w:rsidRPr="00176DAD">
        <w:rPr>
          <w:rFonts w:ascii="Times New Roman" w:hAnsi="Times New Roman" w:cs="Times New Roman"/>
          <w:noProof/>
          <w:szCs w:val="24"/>
        </w:rPr>
        <w:t>income inequality across countries and over time: the standardized world income inequality database</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Social Science Quarterly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101</w:t>
      </w:r>
      <w:r w:rsidRPr="00176DAD">
        <w:rPr>
          <w:rFonts w:ascii="Times New Roman" w:hAnsi="Times New Roman" w:cs="Times New Roman"/>
          <w:noProof/>
          <w:szCs w:val="24"/>
        </w:rPr>
        <w:t>(3), 1183–1199.</w:t>
      </w:r>
    </w:p>
    <w:p w14:paraId="16BE7810" w14:textId="77777777" w:rsidR="00176DAD" w:rsidRPr="00176DAD" w:rsidRDefault="00176DAD" w:rsidP="00176DAD">
      <w:pPr>
        <w:widowControl w:val="0"/>
        <w:autoSpaceDE w:val="0"/>
        <w:autoSpaceDN w:val="0"/>
        <w:adjustRightInd w:val="0"/>
        <w:spacing w:line="240" w:lineRule="auto"/>
        <w:ind w:left="480" w:hanging="480"/>
        <w:rPr>
          <w:rFonts w:ascii="Times New Roman" w:hAnsi="Times New Roman" w:cs="Times New Roman"/>
          <w:noProof/>
        </w:rPr>
      </w:pPr>
      <w:r w:rsidRPr="00176DAD">
        <w:rPr>
          <w:rFonts w:ascii="Times New Roman" w:hAnsi="Times New Roman" w:cs="Times New Roman"/>
          <w:noProof/>
          <w:szCs w:val="24"/>
        </w:rPr>
        <w:t xml:space="preserve">Tan, H. B., &amp; Law, S. H. (2012). Nonlinear dynamics of the finance-inequality nexus in developing countries. </w:t>
      </w:r>
      <w:r w:rsidRPr="00176DAD">
        <w:rPr>
          <w:rFonts w:ascii="Times New Roman" w:hAnsi="Times New Roman" w:cs="Times New Roman"/>
          <w:i/>
          <w:iCs/>
          <w:noProof/>
          <w:szCs w:val="24"/>
        </w:rPr>
        <w:t>Journal of Economic Inequality</w:t>
      </w:r>
      <w:r w:rsidRPr="00176DAD">
        <w:rPr>
          <w:rFonts w:ascii="Times New Roman" w:hAnsi="Times New Roman" w:cs="Times New Roman"/>
          <w:noProof/>
          <w:szCs w:val="24"/>
        </w:rPr>
        <w:t xml:space="preserve">, </w:t>
      </w:r>
      <w:r w:rsidRPr="00176DAD">
        <w:rPr>
          <w:rFonts w:ascii="Times New Roman" w:hAnsi="Times New Roman" w:cs="Times New Roman"/>
          <w:i/>
          <w:iCs/>
          <w:noProof/>
          <w:szCs w:val="24"/>
        </w:rPr>
        <w:t>10</w:t>
      </w:r>
      <w:r w:rsidRPr="00176DAD">
        <w:rPr>
          <w:rFonts w:ascii="Times New Roman" w:hAnsi="Times New Roman" w:cs="Times New Roman"/>
          <w:noProof/>
          <w:szCs w:val="24"/>
        </w:rPr>
        <w:t>(4), 551–563.</w:t>
      </w:r>
    </w:p>
    <w:p w14:paraId="19108228" w14:textId="1C8203BE" w:rsidR="00176DAD" w:rsidRDefault="00176DAD" w:rsidP="00B932EC">
      <w:r>
        <w:fldChar w:fldCharType="end"/>
      </w:r>
    </w:p>
    <w:p w14:paraId="38CB1F80" w14:textId="77777777" w:rsidR="00761A9A" w:rsidRDefault="00761A9A" w:rsidP="00FB1F38">
      <w:pPr>
        <w:ind w:firstLine="0"/>
      </w:pPr>
    </w:p>
    <w:p w14:paraId="2C9E0051" w14:textId="660C1F30" w:rsidR="00FB1F38" w:rsidRDefault="00FB1F38" w:rsidP="00FB1F38">
      <w:pPr>
        <w:ind w:firstLine="0"/>
        <w:rPr>
          <w:b/>
          <w:bCs/>
        </w:rPr>
      </w:pPr>
      <w:r w:rsidRPr="00FB1F38">
        <w:rPr>
          <w:b/>
          <w:bCs/>
        </w:rPr>
        <w:t>Appendix</w:t>
      </w:r>
    </w:p>
    <w:p w14:paraId="3FCC02CF" w14:textId="77777777" w:rsidR="006560E0" w:rsidRPr="00FB1F38" w:rsidRDefault="006560E0" w:rsidP="00FB1F38">
      <w:pPr>
        <w:ind w:firstLine="0"/>
        <w:rPr>
          <w:b/>
          <w:bCs/>
        </w:rPr>
      </w:pPr>
    </w:p>
    <w:p w14:paraId="63844318" w14:textId="77777777" w:rsidR="00761A9A" w:rsidRPr="00F343B8" w:rsidRDefault="00761A9A" w:rsidP="00761A9A">
      <w:pPr>
        <w:pStyle w:val="Heading1"/>
        <w:ind w:left="432" w:hanging="432"/>
        <w:rPr>
          <w:szCs w:val="24"/>
        </w:rPr>
      </w:pPr>
      <w:r w:rsidRPr="00F343B8">
        <w:rPr>
          <w:szCs w:val="24"/>
        </w:rPr>
        <w:t>Appendix A: Descriptions and Data Sources of the variables used in this study.</w:t>
      </w:r>
    </w:p>
    <w:tbl>
      <w:tblPr>
        <w:tblpPr w:leftFromText="180" w:rightFromText="180" w:vertAnchor="text" w:horzAnchor="margin" w:tblpXSpec="center" w:tblpY="282"/>
        <w:tblW w:w="10348" w:type="dxa"/>
        <w:tblLayout w:type="fixed"/>
        <w:tblLook w:val="04A0" w:firstRow="1" w:lastRow="0" w:firstColumn="1" w:lastColumn="0" w:noHBand="0" w:noVBand="1"/>
      </w:tblPr>
      <w:tblGrid>
        <w:gridCol w:w="2405"/>
        <w:gridCol w:w="5959"/>
        <w:gridCol w:w="1984"/>
      </w:tblGrid>
      <w:tr w:rsidR="00761A9A" w:rsidRPr="000A2E02" w14:paraId="7EE94722" w14:textId="77777777" w:rsidTr="00354437">
        <w:trPr>
          <w:trHeight w:val="300"/>
        </w:trPr>
        <w:tc>
          <w:tcPr>
            <w:tcW w:w="2405" w:type="dxa"/>
            <w:tcBorders>
              <w:top w:val="single" w:sz="4" w:space="0" w:color="auto"/>
              <w:bottom w:val="single" w:sz="4" w:space="0" w:color="auto"/>
            </w:tcBorders>
            <w:shd w:val="clear" w:color="auto" w:fill="auto"/>
            <w:noWrap/>
            <w:vAlign w:val="center"/>
            <w:hideMark/>
          </w:tcPr>
          <w:p w14:paraId="640EE880"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Variable Name</w:t>
            </w:r>
          </w:p>
        </w:tc>
        <w:tc>
          <w:tcPr>
            <w:tcW w:w="5959" w:type="dxa"/>
            <w:tcBorders>
              <w:top w:val="single" w:sz="4" w:space="0" w:color="auto"/>
              <w:bottom w:val="single" w:sz="4" w:space="0" w:color="auto"/>
            </w:tcBorders>
            <w:shd w:val="clear" w:color="auto" w:fill="auto"/>
            <w:noWrap/>
            <w:vAlign w:val="center"/>
            <w:hideMark/>
          </w:tcPr>
          <w:p w14:paraId="2AFA6F36"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Definition</w:t>
            </w:r>
          </w:p>
        </w:tc>
        <w:tc>
          <w:tcPr>
            <w:tcW w:w="1984" w:type="dxa"/>
            <w:tcBorders>
              <w:top w:val="single" w:sz="4" w:space="0" w:color="auto"/>
              <w:bottom w:val="single" w:sz="4" w:space="0" w:color="auto"/>
            </w:tcBorders>
            <w:shd w:val="clear" w:color="auto" w:fill="auto"/>
            <w:noWrap/>
            <w:vAlign w:val="center"/>
            <w:hideMark/>
          </w:tcPr>
          <w:p w14:paraId="648935FE"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Source</w:t>
            </w:r>
          </w:p>
        </w:tc>
      </w:tr>
      <w:tr w:rsidR="00761A9A" w:rsidRPr="000A2E02" w14:paraId="6623D087" w14:textId="77777777" w:rsidTr="00354437">
        <w:trPr>
          <w:trHeight w:val="380"/>
        </w:trPr>
        <w:tc>
          <w:tcPr>
            <w:tcW w:w="2405" w:type="dxa"/>
            <w:tcBorders>
              <w:top w:val="single" w:sz="4" w:space="0" w:color="auto"/>
            </w:tcBorders>
            <w:shd w:val="clear" w:color="auto" w:fill="auto"/>
            <w:noWrap/>
            <w:vAlign w:val="center"/>
          </w:tcPr>
          <w:p w14:paraId="565AD8D7" w14:textId="77777777" w:rsidR="00761A9A" w:rsidRPr="000A2E02" w:rsidRDefault="00761A9A" w:rsidP="00354437">
            <w:pPr>
              <w:spacing w:after="0" w:line="240" w:lineRule="auto"/>
              <w:ind w:firstLine="0"/>
              <w:rPr>
                <w:rFonts w:eastAsia="Times New Roman" w:cstheme="majorBidi"/>
                <w:i/>
                <w:iCs/>
                <w:color w:val="000000"/>
                <w:szCs w:val="24"/>
                <w:lang w:eastAsia="en-NZ"/>
              </w:rPr>
            </w:pPr>
            <w:r w:rsidRPr="000A2E02">
              <w:rPr>
                <w:rFonts w:eastAsia="Times New Roman" w:cstheme="majorBidi"/>
                <w:i/>
                <w:iCs/>
                <w:color w:val="000000"/>
                <w:szCs w:val="24"/>
                <w:lang w:eastAsia="en-NZ"/>
              </w:rPr>
              <w:t>Income Inequality:</w:t>
            </w:r>
          </w:p>
        </w:tc>
        <w:tc>
          <w:tcPr>
            <w:tcW w:w="5959" w:type="dxa"/>
            <w:tcBorders>
              <w:top w:val="single" w:sz="4" w:space="0" w:color="auto"/>
            </w:tcBorders>
            <w:shd w:val="clear" w:color="auto" w:fill="auto"/>
            <w:noWrap/>
            <w:vAlign w:val="center"/>
          </w:tcPr>
          <w:p w14:paraId="763D82C0" w14:textId="77777777" w:rsidR="00761A9A" w:rsidRPr="000A2E02" w:rsidRDefault="00761A9A" w:rsidP="00354437">
            <w:pPr>
              <w:spacing w:after="0" w:line="240" w:lineRule="auto"/>
              <w:ind w:firstLine="0"/>
              <w:rPr>
                <w:rFonts w:eastAsia="Times New Roman" w:cstheme="majorBidi"/>
                <w:color w:val="000000"/>
                <w:szCs w:val="24"/>
                <w:lang w:eastAsia="en-NZ"/>
              </w:rPr>
            </w:pPr>
          </w:p>
        </w:tc>
        <w:tc>
          <w:tcPr>
            <w:tcW w:w="1984" w:type="dxa"/>
            <w:tcBorders>
              <w:top w:val="single" w:sz="4" w:space="0" w:color="auto"/>
            </w:tcBorders>
            <w:shd w:val="clear" w:color="auto" w:fill="auto"/>
            <w:noWrap/>
            <w:vAlign w:val="center"/>
          </w:tcPr>
          <w:p w14:paraId="30CDE701" w14:textId="77777777" w:rsidR="00761A9A" w:rsidRPr="000A2E02" w:rsidRDefault="00761A9A" w:rsidP="00354437">
            <w:pPr>
              <w:spacing w:after="0" w:line="240" w:lineRule="auto"/>
              <w:ind w:firstLine="0"/>
              <w:rPr>
                <w:rFonts w:eastAsia="Times New Roman" w:cstheme="majorBidi"/>
                <w:color w:val="000000"/>
                <w:szCs w:val="24"/>
                <w:lang w:eastAsia="en-NZ"/>
              </w:rPr>
            </w:pPr>
          </w:p>
        </w:tc>
      </w:tr>
      <w:tr w:rsidR="00761A9A" w:rsidRPr="000A2E02" w14:paraId="201DC0CA" w14:textId="77777777" w:rsidTr="00354437">
        <w:trPr>
          <w:trHeight w:val="280"/>
        </w:trPr>
        <w:tc>
          <w:tcPr>
            <w:tcW w:w="2405" w:type="dxa"/>
            <w:tcBorders>
              <w:bottom w:val="single" w:sz="4" w:space="0" w:color="auto"/>
            </w:tcBorders>
            <w:shd w:val="clear" w:color="auto" w:fill="auto"/>
            <w:noWrap/>
            <w:vAlign w:val="center"/>
            <w:hideMark/>
          </w:tcPr>
          <w:p w14:paraId="0703A99B" w14:textId="77777777" w:rsidR="00761A9A" w:rsidRPr="000A2E02" w:rsidRDefault="00761A9A" w:rsidP="00354437">
            <w:pPr>
              <w:spacing w:after="0" w:line="240" w:lineRule="auto"/>
              <w:ind w:firstLine="0"/>
              <w:rPr>
                <w:rFonts w:eastAsia="Times New Roman" w:cstheme="majorBidi"/>
                <w:color w:val="000000"/>
                <w:szCs w:val="24"/>
                <w:lang w:eastAsia="en-NZ"/>
              </w:rPr>
            </w:pPr>
            <w:proofErr w:type="spellStart"/>
            <w:r w:rsidRPr="000A2E02">
              <w:rPr>
                <w:rFonts w:eastAsia="Times New Roman" w:cstheme="majorBidi"/>
                <w:color w:val="000000"/>
                <w:szCs w:val="24"/>
                <w:lang w:eastAsia="en-NZ"/>
              </w:rPr>
              <w:t>GrossGiniCoefficient</w:t>
            </w:r>
            <w:proofErr w:type="spellEnd"/>
          </w:p>
        </w:tc>
        <w:tc>
          <w:tcPr>
            <w:tcW w:w="5959" w:type="dxa"/>
            <w:tcBorders>
              <w:bottom w:val="single" w:sz="4" w:space="0" w:color="auto"/>
            </w:tcBorders>
            <w:shd w:val="clear" w:color="auto" w:fill="auto"/>
            <w:noWrap/>
            <w:vAlign w:val="center"/>
            <w:hideMark/>
          </w:tcPr>
          <w:p w14:paraId="328E5BA1"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The Standardized World Income Inequality Database</w:t>
            </w:r>
          </w:p>
        </w:tc>
        <w:tc>
          <w:tcPr>
            <w:tcW w:w="1984" w:type="dxa"/>
            <w:tcBorders>
              <w:bottom w:val="single" w:sz="4" w:space="0" w:color="auto"/>
            </w:tcBorders>
            <w:shd w:val="clear" w:color="auto" w:fill="auto"/>
            <w:noWrap/>
            <w:vAlign w:val="center"/>
            <w:hideMark/>
          </w:tcPr>
          <w:p w14:paraId="1A5DEB6F"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SWIID</w:t>
            </w:r>
          </w:p>
        </w:tc>
      </w:tr>
      <w:tr w:rsidR="00761A9A" w:rsidRPr="000A2E02" w14:paraId="4D980956" w14:textId="77777777" w:rsidTr="00354437">
        <w:trPr>
          <w:trHeight w:val="433"/>
        </w:trPr>
        <w:tc>
          <w:tcPr>
            <w:tcW w:w="10348" w:type="dxa"/>
            <w:gridSpan w:val="3"/>
            <w:tcBorders>
              <w:top w:val="single" w:sz="4" w:space="0" w:color="auto"/>
            </w:tcBorders>
            <w:shd w:val="clear" w:color="auto" w:fill="auto"/>
            <w:noWrap/>
            <w:vAlign w:val="center"/>
          </w:tcPr>
          <w:p w14:paraId="3079D974"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i/>
                <w:iCs/>
                <w:color w:val="000000"/>
                <w:szCs w:val="24"/>
                <w:lang w:eastAsia="en-NZ"/>
              </w:rPr>
              <w:t>Financial</w:t>
            </w:r>
            <w:r>
              <w:rPr>
                <w:rFonts w:eastAsia="Times New Roman" w:cstheme="majorBidi"/>
                <w:i/>
                <w:iCs/>
                <w:color w:val="000000"/>
                <w:szCs w:val="24"/>
                <w:lang w:eastAsia="en-NZ"/>
              </w:rPr>
              <w:t xml:space="preserve"> </w:t>
            </w:r>
            <w:r w:rsidRPr="000A2E02">
              <w:rPr>
                <w:rFonts w:eastAsia="Times New Roman" w:cstheme="majorBidi"/>
                <w:i/>
                <w:iCs/>
                <w:color w:val="000000"/>
                <w:szCs w:val="24"/>
                <w:lang w:eastAsia="en-NZ"/>
              </w:rPr>
              <w:t>Development:</w:t>
            </w:r>
          </w:p>
        </w:tc>
      </w:tr>
      <w:tr w:rsidR="00761A9A" w:rsidRPr="000A2E02" w14:paraId="291958FB" w14:textId="77777777" w:rsidTr="00354437">
        <w:trPr>
          <w:trHeight w:val="280"/>
        </w:trPr>
        <w:tc>
          <w:tcPr>
            <w:tcW w:w="2405" w:type="dxa"/>
            <w:shd w:val="clear" w:color="auto" w:fill="auto"/>
            <w:noWrap/>
            <w:vAlign w:val="center"/>
            <w:hideMark/>
          </w:tcPr>
          <w:p w14:paraId="5CAB0C0C" w14:textId="77777777" w:rsidR="00761A9A" w:rsidRPr="000A2E02" w:rsidRDefault="00761A9A" w:rsidP="00354437">
            <w:pPr>
              <w:spacing w:after="0" w:line="240" w:lineRule="auto"/>
              <w:ind w:firstLine="0"/>
              <w:rPr>
                <w:rFonts w:eastAsia="Times New Roman" w:cstheme="majorBidi"/>
                <w:color w:val="000000"/>
                <w:szCs w:val="24"/>
                <w:lang w:eastAsia="en-NZ"/>
              </w:rPr>
            </w:pPr>
            <w:proofErr w:type="spellStart"/>
            <w:r w:rsidRPr="000A2E02">
              <w:rPr>
                <w:rFonts w:eastAsia="Times New Roman" w:cstheme="majorBidi"/>
                <w:color w:val="000000"/>
                <w:szCs w:val="24"/>
                <w:lang w:eastAsia="en-NZ"/>
              </w:rPr>
              <w:t>PrivateCredit</w:t>
            </w:r>
            <w:proofErr w:type="spellEnd"/>
            <w:r w:rsidRPr="000A2E02">
              <w:rPr>
                <w:rFonts w:eastAsia="Times New Roman" w:cstheme="majorBidi"/>
                <w:color w:val="000000"/>
                <w:szCs w:val="24"/>
                <w:lang w:eastAsia="en-NZ"/>
              </w:rPr>
              <w:t>/GDP</w:t>
            </w:r>
          </w:p>
        </w:tc>
        <w:tc>
          <w:tcPr>
            <w:tcW w:w="5959" w:type="dxa"/>
            <w:shd w:val="clear" w:color="auto" w:fill="auto"/>
            <w:noWrap/>
            <w:vAlign w:val="center"/>
            <w:hideMark/>
          </w:tcPr>
          <w:p w14:paraId="28FA001A"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The financial resources provided to the private sector by domestic money banks as a share of GDP. Domestic money banks comprise commercial banks and other financial institutions that accept transferable deposits, such as demand deposits.</w:t>
            </w:r>
          </w:p>
        </w:tc>
        <w:tc>
          <w:tcPr>
            <w:tcW w:w="1984" w:type="dxa"/>
            <w:shd w:val="clear" w:color="auto" w:fill="auto"/>
            <w:noWrap/>
            <w:vAlign w:val="center"/>
            <w:hideMark/>
          </w:tcPr>
          <w:p w14:paraId="19E2B3D3"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GFDD</w:t>
            </w:r>
          </w:p>
        </w:tc>
      </w:tr>
      <w:tr w:rsidR="00761A9A" w:rsidRPr="000A2E02" w14:paraId="2040AAE7" w14:textId="77777777" w:rsidTr="00354437">
        <w:trPr>
          <w:trHeight w:val="280"/>
        </w:trPr>
        <w:tc>
          <w:tcPr>
            <w:tcW w:w="2405" w:type="dxa"/>
            <w:tcBorders>
              <w:bottom w:val="single" w:sz="4" w:space="0" w:color="auto"/>
            </w:tcBorders>
            <w:shd w:val="clear" w:color="auto" w:fill="auto"/>
            <w:noWrap/>
            <w:vAlign w:val="center"/>
            <w:hideMark/>
          </w:tcPr>
          <w:p w14:paraId="4C7758EB" w14:textId="77777777" w:rsidR="00761A9A" w:rsidRPr="000A2E02" w:rsidRDefault="00761A9A" w:rsidP="00354437">
            <w:pPr>
              <w:spacing w:after="0" w:line="240" w:lineRule="auto"/>
              <w:ind w:firstLine="0"/>
              <w:rPr>
                <w:rFonts w:eastAsia="Times New Roman" w:cstheme="majorBidi"/>
                <w:color w:val="000000"/>
                <w:szCs w:val="24"/>
                <w:lang w:eastAsia="en-NZ"/>
              </w:rPr>
            </w:pPr>
            <w:proofErr w:type="spellStart"/>
            <w:r w:rsidRPr="000A2E02">
              <w:rPr>
                <w:rFonts w:eastAsia="Times New Roman" w:cstheme="majorBidi"/>
                <w:color w:val="000000"/>
                <w:szCs w:val="24"/>
                <w:lang w:eastAsia="en-NZ"/>
              </w:rPr>
              <w:t>BroadMoney</w:t>
            </w:r>
            <w:proofErr w:type="spellEnd"/>
            <w:r w:rsidRPr="000A2E02">
              <w:rPr>
                <w:rFonts w:eastAsia="Times New Roman" w:cstheme="majorBidi"/>
                <w:color w:val="000000"/>
                <w:szCs w:val="24"/>
                <w:lang w:eastAsia="en-NZ"/>
              </w:rPr>
              <w:t>/GDP</w:t>
            </w:r>
          </w:p>
        </w:tc>
        <w:tc>
          <w:tcPr>
            <w:tcW w:w="5959" w:type="dxa"/>
            <w:tcBorders>
              <w:bottom w:val="single" w:sz="4" w:space="0" w:color="auto"/>
            </w:tcBorders>
            <w:shd w:val="clear" w:color="auto" w:fill="auto"/>
            <w:noWrap/>
            <w:vAlign w:val="center"/>
            <w:hideMark/>
          </w:tcPr>
          <w:p w14:paraId="199B1101"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Ratio of liquid liabilities to GDP. Liquid liabilities are also known as broad money, or M3.</w:t>
            </w:r>
          </w:p>
        </w:tc>
        <w:tc>
          <w:tcPr>
            <w:tcW w:w="1984" w:type="dxa"/>
            <w:tcBorders>
              <w:bottom w:val="single" w:sz="4" w:space="0" w:color="auto"/>
            </w:tcBorders>
            <w:shd w:val="clear" w:color="auto" w:fill="auto"/>
            <w:noWrap/>
            <w:vAlign w:val="center"/>
            <w:hideMark/>
          </w:tcPr>
          <w:p w14:paraId="6CE820D6"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GFDD</w:t>
            </w:r>
          </w:p>
        </w:tc>
      </w:tr>
      <w:tr w:rsidR="00761A9A" w:rsidRPr="000A2E02" w14:paraId="783B2EDB" w14:textId="77777777" w:rsidTr="00354437">
        <w:trPr>
          <w:trHeight w:val="283"/>
        </w:trPr>
        <w:tc>
          <w:tcPr>
            <w:tcW w:w="2405" w:type="dxa"/>
            <w:tcBorders>
              <w:top w:val="single" w:sz="4" w:space="0" w:color="auto"/>
            </w:tcBorders>
            <w:shd w:val="clear" w:color="auto" w:fill="auto"/>
            <w:noWrap/>
            <w:vAlign w:val="center"/>
          </w:tcPr>
          <w:p w14:paraId="6BE92ED1" w14:textId="77777777" w:rsidR="00761A9A" w:rsidRPr="000A2E02" w:rsidRDefault="00761A9A" w:rsidP="00354437">
            <w:pPr>
              <w:spacing w:after="0" w:line="240" w:lineRule="auto"/>
              <w:ind w:firstLine="0"/>
              <w:rPr>
                <w:rFonts w:eastAsia="Times New Roman" w:cstheme="majorBidi"/>
                <w:i/>
                <w:iCs/>
                <w:color w:val="000000"/>
                <w:szCs w:val="24"/>
                <w:lang w:eastAsia="en-NZ"/>
              </w:rPr>
            </w:pPr>
            <w:r w:rsidRPr="000A2E02">
              <w:rPr>
                <w:rFonts w:eastAsia="Times New Roman" w:cstheme="majorBidi"/>
                <w:i/>
                <w:iCs/>
                <w:color w:val="000000"/>
                <w:szCs w:val="24"/>
                <w:lang w:eastAsia="en-NZ"/>
              </w:rPr>
              <w:t>Economic Openness:</w:t>
            </w:r>
          </w:p>
        </w:tc>
        <w:tc>
          <w:tcPr>
            <w:tcW w:w="5959" w:type="dxa"/>
            <w:tcBorders>
              <w:top w:val="single" w:sz="4" w:space="0" w:color="auto"/>
            </w:tcBorders>
            <w:shd w:val="clear" w:color="auto" w:fill="auto"/>
            <w:vAlign w:val="center"/>
          </w:tcPr>
          <w:p w14:paraId="6BB5EC07" w14:textId="77777777" w:rsidR="00761A9A" w:rsidRPr="000A2E02" w:rsidRDefault="00761A9A" w:rsidP="00354437">
            <w:pPr>
              <w:spacing w:after="0" w:line="240" w:lineRule="auto"/>
              <w:ind w:firstLine="0"/>
              <w:rPr>
                <w:rFonts w:eastAsia="Times New Roman" w:cstheme="majorBidi"/>
                <w:color w:val="000000"/>
                <w:szCs w:val="24"/>
                <w:lang w:eastAsia="en-NZ"/>
              </w:rPr>
            </w:pPr>
          </w:p>
        </w:tc>
        <w:tc>
          <w:tcPr>
            <w:tcW w:w="1984" w:type="dxa"/>
            <w:tcBorders>
              <w:top w:val="single" w:sz="4" w:space="0" w:color="auto"/>
            </w:tcBorders>
            <w:shd w:val="clear" w:color="auto" w:fill="auto"/>
            <w:noWrap/>
            <w:vAlign w:val="center"/>
          </w:tcPr>
          <w:p w14:paraId="3D2CBC28" w14:textId="77777777" w:rsidR="00761A9A" w:rsidRPr="000A2E02" w:rsidRDefault="00761A9A" w:rsidP="00354437">
            <w:pPr>
              <w:spacing w:after="0" w:line="240" w:lineRule="auto"/>
              <w:ind w:firstLine="0"/>
              <w:rPr>
                <w:rFonts w:eastAsia="Times New Roman" w:cstheme="majorBidi"/>
                <w:color w:val="000000"/>
                <w:szCs w:val="24"/>
                <w:lang w:eastAsia="en-NZ"/>
              </w:rPr>
            </w:pPr>
          </w:p>
        </w:tc>
      </w:tr>
      <w:tr w:rsidR="00761A9A" w:rsidRPr="000A2E02" w14:paraId="3421D4B3" w14:textId="77777777" w:rsidTr="00354437">
        <w:trPr>
          <w:trHeight w:val="714"/>
        </w:trPr>
        <w:tc>
          <w:tcPr>
            <w:tcW w:w="2405" w:type="dxa"/>
            <w:shd w:val="clear" w:color="auto" w:fill="auto"/>
            <w:noWrap/>
            <w:vAlign w:val="center"/>
            <w:hideMark/>
          </w:tcPr>
          <w:p w14:paraId="11819015" w14:textId="77777777" w:rsidR="00761A9A" w:rsidRPr="000A2E02" w:rsidRDefault="00761A9A" w:rsidP="00354437">
            <w:pPr>
              <w:spacing w:after="0" w:line="240" w:lineRule="auto"/>
              <w:ind w:firstLine="0"/>
              <w:rPr>
                <w:rFonts w:eastAsia="Times New Roman" w:cstheme="majorBidi"/>
                <w:color w:val="000000"/>
                <w:szCs w:val="24"/>
                <w:lang w:eastAsia="en-NZ"/>
              </w:rPr>
            </w:pPr>
            <w:proofErr w:type="spellStart"/>
            <w:r w:rsidRPr="000A2E02">
              <w:rPr>
                <w:rFonts w:eastAsia="Times New Roman" w:cstheme="majorBidi"/>
                <w:color w:val="000000"/>
                <w:szCs w:val="24"/>
                <w:lang w:eastAsia="en-NZ"/>
              </w:rPr>
              <w:t>TradeOpenness</w:t>
            </w:r>
            <w:proofErr w:type="spellEnd"/>
          </w:p>
        </w:tc>
        <w:tc>
          <w:tcPr>
            <w:tcW w:w="5959" w:type="dxa"/>
            <w:shd w:val="clear" w:color="auto" w:fill="auto"/>
            <w:vAlign w:val="center"/>
            <w:hideMark/>
          </w:tcPr>
          <w:p w14:paraId="3281274F"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Sum of exports and imports of goods and services measured as a share of GDP.</w:t>
            </w:r>
          </w:p>
        </w:tc>
        <w:tc>
          <w:tcPr>
            <w:tcW w:w="1984" w:type="dxa"/>
            <w:shd w:val="clear" w:color="auto" w:fill="auto"/>
            <w:noWrap/>
            <w:vAlign w:val="center"/>
            <w:hideMark/>
          </w:tcPr>
          <w:p w14:paraId="1FCDC596"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WDI</w:t>
            </w:r>
          </w:p>
        </w:tc>
      </w:tr>
      <w:tr w:rsidR="00761A9A" w:rsidRPr="000A2E02" w14:paraId="60EAF853" w14:textId="77777777" w:rsidTr="00354437">
        <w:trPr>
          <w:trHeight w:val="560"/>
        </w:trPr>
        <w:tc>
          <w:tcPr>
            <w:tcW w:w="2405" w:type="dxa"/>
            <w:tcBorders>
              <w:bottom w:val="single" w:sz="4" w:space="0" w:color="auto"/>
            </w:tcBorders>
            <w:shd w:val="clear" w:color="auto" w:fill="auto"/>
            <w:noWrap/>
            <w:vAlign w:val="center"/>
            <w:hideMark/>
          </w:tcPr>
          <w:p w14:paraId="10E99C44" w14:textId="77777777" w:rsidR="00761A9A" w:rsidRPr="000A2E02" w:rsidRDefault="00761A9A" w:rsidP="00354437">
            <w:pPr>
              <w:spacing w:after="0" w:line="240" w:lineRule="auto"/>
              <w:ind w:firstLine="0"/>
              <w:rPr>
                <w:rFonts w:eastAsia="Times New Roman" w:cstheme="majorBidi"/>
                <w:color w:val="000000"/>
                <w:szCs w:val="24"/>
                <w:lang w:eastAsia="en-NZ"/>
              </w:rPr>
            </w:pPr>
            <w:proofErr w:type="spellStart"/>
            <w:r w:rsidRPr="000A2E02">
              <w:rPr>
                <w:rFonts w:eastAsia="Times New Roman" w:cstheme="majorBidi"/>
                <w:color w:val="000000"/>
                <w:szCs w:val="24"/>
                <w:lang w:eastAsia="en-NZ"/>
              </w:rPr>
              <w:t>FinancialOpenness</w:t>
            </w:r>
            <w:proofErr w:type="spellEnd"/>
          </w:p>
        </w:tc>
        <w:tc>
          <w:tcPr>
            <w:tcW w:w="5959" w:type="dxa"/>
            <w:tcBorders>
              <w:bottom w:val="single" w:sz="4" w:space="0" w:color="auto"/>
            </w:tcBorders>
            <w:shd w:val="clear" w:color="auto" w:fill="auto"/>
            <w:vAlign w:val="center"/>
            <w:hideMark/>
          </w:tcPr>
          <w:p w14:paraId="6D1C89E2"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the sum of external assets and liabilities as a share of GDP (These foreign assets and liabilities include foreign debt, foreign direct investment, and foreign indirect investment (portfolio investment))</w:t>
            </w:r>
          </w:p>
        </w:tc>
        <w:tc>
          <w:tcPr>
            <w:tcW w:w="1984" w:type="dxa"/>
            <w:tcBorders>
              <w:bottom w:val="single" w:sz="4" w:space="0" w:color="auto"/>
            </w:tcBorders>
            <w:shd w:val="clear" w:color="auto" w:fill="auto"/>
            <w:noWrap/>
            <w:vAlign w:val="center"/>
            <w:hideMark/>
          </w:tcPr>
          <w:p w14:paraId="7AE2913E"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 xml:space="preserve">Author calculation based on Lane and </w:t>
            </w:r>
            <w:proofErr w:type="spellStart"/>
            <w:r w:rsidRPr="000A2E02">
              <w:rPr>
                <w:rFonts w:eastAsia="Times New Roman" w:cstheme="majorBidi"/>
                <w:color w:val="000000"/>
                <w:szCs w:val="24"/>
                <w:lang w:eastAsia="en-NZ"/>
              </w:rPr>
              <w:t>Milesi</w:t>
            </w:r>
            <w:proofErr w:type="spellEnd"/>
            <w:r w:rsidRPr="000A2E02">
              <w:rPr>
                <w:rFonts w:eastAsia="Times New Roman" w:cstheme="majorBidi"/>
                <w:color w:val="000000"/>
                <w:szCs w:val="24"/>
                <w:lang w:eastAsia="en-NZ"/>
              </w:rPr>
              <w:t>-Ferretti (2007)</w:t>
            </w:r>
          </w:p>
        </w:tc>
      </w:tr>
      <w:tr w:rsidR="00761A9A" w:rsidRPr="000A2E02" w14:paraId="46676EB4" w14:textId="77777777" w:rsidTr="00354437">
        <w:trPr>
          <w:trHeight w:val="280"/>
        </w:trPr>
        <w:tc>
          <w:tcPr>
            <w:tcW w:w="2405" w:type="dxa"/>
            <w:tcBorders>
              <w:top w:val="single" w:sz="4" w:space="0" w:color="auto"/>
            </w:tcBorders>
            <w:shd w:val="clear" w:color="auto" w:fill="auto"/>
            <w:noWrap/>
            <w:vAlign w:val="center"/>
          </w:tcPr>
          <w:p w14:paraId="31456B49" w14:textId="77777777" w:rsidR="00761A9A" w:rsidRPr="000A2E02" w:rsidRDefault="00761A9A" w:rsidP="00354437">
            <w:pPr>
              <w:spacing w:after="0" w:line="240" w:lineRule="auto"/>
              <w:ind w:firstLine="0"/>
              <w:rPr>
                <w:rFonts w:eastAsia="Times New Roman" w:cstheme="majorBidi"/>
                <w:i/>
                <w:iCs/>
                <w:color w:val="000000"/>
                <w:szCs w:val="24"/>
                <w:lang w:eastAsia="en-NZ"/>
              </w:rPr>
            </w:pPr>
            <w:r w:rsidRPr="000A2E02">
              <w:rPr>
                <w:rFonts w:eastAsia="Times New Roman" w:cstheme="majorBidi"/>
                <w:i/>
                <w:iCs/>
                <w:color w:val="000000"/>
                <w:szCs w:val="24"/>
                <w:lang w:eastAsia="en-NZ"/>
              </w:rPr>
              <w:t>Controls:</w:t>
            </w:r>
          </w:p>
        </w:tc>
        <w:tc>
          <w:tcPr>
            <w:tcW w:w="5959" w:type="dxa"/>
            <w:tcBorders>
              <w:top w:val="single" w:sz="4" w:space="0" w:color="auto"/>
            </w:tcBorders>
            <w:shd w:val="clear" w:color="auto" w:fill="auto"/>
            <w:noWrap/>
            <w:vAlign w:val="center"/>
          </w:tcPr>
          <w:p w14:paraId="4F318EE9" w14:textId="77777777" w:rsidR="00761A9A" w:rsidRPr="000A2E02" w:rsidRDefault="00761A9A" w:rsidP="00354437">
            <w:pPr>
              <w:spacing w:after="0" w:line="240" w:lineRule="auto"/>
              <w:ind w:firstLine="0"/>
              <w:rPr>
                <w:rFonts w:eastAsia="Times New Roman" w:cstheme="majorBidi"/>
                <w:color w:val="000000"/>
                <w:szCs w:val="24"/>
                <w:lang w:eastAsia="en-NZ"/>
              </w:rPr>
            </w:pPr>
          </w:p>
        </w:tc>
        <w:tc>
          <w:tcPr>
            <w:tcW w:w="1984" w:type="dxa"/>
            <w:tcBorders>
              <w:top w:val="single" w:sz="4" w:space="0" w:color="auto"/>
            </w:tcBorders>
            <w:shd w:val="clear" w:color="auto" w:fill="auto"/>
            <w:noWrap/>
            <w:vAlign w:val="center"/>
          </w:tcPr>
          <w:p w14:paraId="3B444DBF" w14:textId="77777777" w:rsidR="00761A9A" w:rsidRPr="000A2E02" w:rsidRDefault="00761A9A" w:rsidP="00354437">
            <w:pPr>
              <w:spacing w:after="0" w:line="240" w:lineRule="auto"/>
              <w:ind w:firstLine="0"/>
              <w:rPr>
                <w:rFonts w:eastAsia="Times New Roman" w:cstheme="majorBidi"/>
                <w:color w:val="000000"/>
                <w:szCs w:val="24"/>
                <w:lang w:eastAsia="en-NZ"/>
              </w:rPr>
            </w:pPr>
          </w:p>
        </w:tc>
      </w:tr>
      <w:tr w:rsidR="00761A9A" w:rsidRPr="000A2E02" w14:paraId="56765BB5" w14:textId="77777777" w:rsidTr="00354437">
        <w:trPr>
          <w:trHeight w:val="280"/>
        </w:trPr>
        <w:tc>
          <w:tcPr>
            <w:tcW w:w="2405" w:type="dxa"/>
            <w:shd w:val="clear" w:color="auto" w:fill="auto"/>
            <w:noWrap/>
            <w:vAlign w:val="center"/>
            <w:hideMark/>
          </w:tcPr>
          <w:p w14:paraId="090ED2D3"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 xml:space="preserve">Growth </w:t>
            </w:r>
            <w:proofErr w:type="spellStart"/>
            <w:r w:rsidRPr="000A2E02">
              <w:rPr>
                <w:rFonts w:eastAsia="Times New Roman" w:cstheme="majorBidi"/>
                <w:color w:val="000000"/>
                <w:szCs w:val="24"/>
                <w:lang w:eastAsia="en-NZ"/>
              </w:rPr>
              <w:t>GDPPerCapita</w:t>
            </w:r>
            <w:proofErr w:type="spellEnd"/>
          </w:p>
        </w:tc>
        <w:tc>
          <w:tcPr>
            <w:tcW w:w="5959" w:type="dxa"/>
            <w:shd w:val="clear" w:color="auto" w:fill="auto"/>
            <w:noWrap/>
            <w:vAlign w:val="center"/>
            <w:hideMark/>
          </w:tcPr>
          <w:p w14:paraId="18BA9D8E"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Changes in Log GDP per capita (constant 2015 US$)</w:t>
            </w:r>
          </w:p>
        </w:tc>
        <w:tc>
          <w:tcPr>
            <w:tcW w:w="1984" w:type="dxa"/>
            <w:shd w:val="clear" w:color="auto" w:fill="auto"/>
            <w:noWrap/>
            <w:vAlign w:val="center"/>
            <w:hideMark/>
          </w:tcPr>
          <w:p w14:paraId="4A3B0D34"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WDI</w:t>
            </w:r>
          </w:p>
        </w:tc>
      </w:tr>
      <w:tr w:rsidR="00761A9A" w:rsidRPr="000A2E02" w14:paraId="40965A67" w14:textId="77777777" w:rsidTr="00354437">
        <w:trPr>
          <w:trHeight w:val="357"/>
        </w:trPr>
        <w:tc>
          <w:tcPr>
            <w:tcW w:w="2405" w:type="dxa"/>
            <w:shd w:val="clear" w:color="auto" w:fill="auto"/>
            <w:noWrap/>
            <w:vAlign w:val="center"/>
            <w:hideMark/>
          </w:tcPr>
          <w:p w14:paraId="15A9041A" w14:textId="77777777" w:rsidR="00761A9A" w:rsidRPr="000A2E02" w:rsidRDefault="00761A9A" w:rsidP="00354437">
            <w:pPr>
              <w:spacing w:after="0" w:line="240" w:lineRule="auto"/>
              <w:ind w:firstLine="0"/>
              <w:rPr>
                <w:rFonts w:eastAsia="Times New Roman" w:cstheme="majorBidi"/>
                <w:color w:val="000000"/>
                <w:szCs w:val="24"/>
                <w:lang w:eastAsia="en-NZ"/>
              </w:rPr>
            </w:pPr>
            <w:proofErr w:type="spellStart"/>
            <w:r w:rsidRPr="000A2E02">
              <w:rPr>
                <w:rFonts w:eastAsia="Times New Roman" w:cstheme="majorBidi"/>
                <w:color w:val="000000"/>
                <w:szCs w:val="24"/>
                <w:lang w:eastAsia="en-NZ"/>
              </w:rPr>
              <w:t>GovExp</w:t>
            </w:r>
            <w:proofErr w:type="spellEnd"/>
            <w:r w:rsidRPr="000A2E02">
              <w:rPr>
                <w:rFonts w:eastAsia="Times New Roman" w:cstheme="majorBidi"/>
                <w:color w:val="000000"/>
                <w:szCs w:val="24"/>
                <w:lang w:eastAsia="en-NZ"/>
              </w:rPr>
              <w:t>/GDP</w:t>
            </w:r>
          </w:p>
        </w:tc>
        <w:tc>
          <w:tcPr>
            <w:tcW w:w="5959" w:type="dxa"/>
            <w:shd w:val="clear" w:color="auto" w:fill="auto"/>
            <w:noWrap/>
            <w:vAlign w:val="center"/>
            <w:hideMark/>
          </w:tcPr>
          <w:p w14:paraId="100F08A7"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General government final consumption expenditure (% of GDP)</w:t>
            </w:r>
          </w:p>
        </w:tc>
        <w:tc>
          <w:tcPr>
            <w:tcW w:w="1984" w:type="dxa"/>
            <w:shd w:val="clear" w:color="auto" w:fill="auto"/>
            <w:noWrap/>
            <w:vAlign w:val="center"/>
            <w:hideMark/>
          </w:tcPr>
          <w:p w14:paraId="2BCBB2C8"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WDI</w:t>
            </w:r>
          </w:p>
        </w:tc>
      </w:tr>
      <w:tr w:rsidR="00761A9A" w:rsidRPr="000A2E02" w14:paraId="56C8427D" w14:textId="77777777" w:rsidTr="00354437">
        <w:trPr>
          <w:trHeight w:val="338"/>
        </w:trPr>
        <w:tc>
          <w:tcPr>
            <w:tcW w:w="2405" w:type="dxa"/>
            <w:shd w:val="clear" w:color="auto" w:fill="auto"/>
            <w:noWrap/>
            <w:vAlign w:val="center"/>
            <w:hideMark/>
          </w:tcPr>
          <w:p w14:paraId="631700A6"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Inf</w:t>
            </w:r>
          </w:p>
        </w:tc>
        <w:tc>
          <w:tcPr>
            <w:tcW w:w="5959" w:type="dxa"/>
            <w:shd w:val="clear" w:color="auto" w:fill="auto"/>
            <w:vAlign w:val="center"/>
            <w:hideMark/>
          </w:tcPr>
          <w:p w14:paraId="0480DB57"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Inflation, consumer prices (annual %)</w:t>
            </w:r>
          </w:p>
        </w:tc>
        <w:tc>
          <w:tcPr>
            <w:tcW w:w="1984" w:type="dxa"/>
            <w:shd w:val="clear" w:color="auto" w:fill="auto"/>
            <w:noWrap/>
            <w:vAlign w:val="center"/>
            <w:hideMark/>
          </w:tcPr>
          <w:p w14:paraId="5E6B55D2"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WDI</w:t>
            </w:r>
          </w:p>
        </w:tc>
      </w:tr>
      <w:tr w:rsidR="00761A9A" w:rsidRPr="000A2E02" w14:paraId="61C4CA48" w14:textId="77777777" w:rsidTr="00354437">
        <w:trPr>
          <w:trHeight w:val="280"/>
        </w:trPr>
        <w:tc>
          <w:tcPr>
            <w:tcW w:w="2405" w:type="dxa"/>
            <w:shd w:val="clear" w:color="auto" w:fill="auto"/>
            <w:noWrap/>
            <w:vAlign w:val="center"/>
            <w:hideMark/>
          </w:tcPr>
          <w:p w14:paraId="5BAB9026"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Population</w:t>
            </w:r>
          </w:p>
        </w:tc>
        <w:tc>
          <w:tcPr>
            <w:tcW w:w="5959" w:type="dxa"/>
            <w:shd w:val="clear" w:color="auto" w:fill="auto"/>
            <w:noWrap/>
            <w:vAlign w:val="center"/>
            <w:hideMark/>
          </w:tcPr>
          <w:p w14:paraId="5FC5DA5E"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Population, total</w:t>
            </w:r>
          </w:p>
        </w:tc>
        <w:tc>
          <w:tcPr>
            <w:tcW w:w="1984" w:type="dxa"/>
            <w:shd w:val="clear" w:color="auto" w:fill="auto"/>
            <w:noWrap/>
            <w:vAlign w:val="center"/>
            <w:hideMark/>
          </w:tcPr>
          <w:p w14:paraId="44573CD0"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WDI</w:t>
            </w:r>
          </w:p>
        </w:tc>
      </w:tr>
      <w:tr w:rsidR="00761A9A" w:rsidRPr="000A2E02" w14:paraId="34F3C8BC" w14:textId="77777777" w:rsidTr="00354437">
        <w:trPr>
          <w:trHeight w:val="280"/>
        </w:trPr>
        <w:tc>
          <w:tcPr>
            <w:tcW w:w="2405" w:type="dxa"/>
            <w:tcBorders>
              <w:bottom w:val="single" w:sz="4" w:space="0" w:color="auto"/>
            </w:tcBorders>
            <w:shd w:val="clear" w:color="auto" w:fill="auto"/>
            <w:noWrap/>
            <w:vAlign w:val="center"/>
            <w:hideMark/>
          </w:tcPr>
          <w:p w14:paraId="55911A60" w14:textId="77777777" w:rsidR="00761A9A" w:rsidRPr="000A2E02" w:rsidRDefault="00761A9A" w:rsidP="00354437">
            <w:pPr>
              <w:spacing w:after="0" w:line="240" w:lineRule="auto"/>
              <w:ind w:firstLine="0"/>
              <w:rPr>
                <w:rFonts w:eastAsia="Times New Roman" w:cstheme="majorBidi"/>
                <w:color w:val="000000"/>
                <w:szCs w:val="24"/>
                <w:lang w:eastAsia="en-NZ"/>
              </w:rPr>
            </w:pPr>
            <w:proofErr w:type="spellStart"/>
            <w:r w:rsidRPr="000A2E02">
              <w:rPr>
                <w:rFonts w:eastAsia="Times New Roman" w:cstheme="majorBidi"/>
                <w:color w:val="000000"/>
                <w:szCs w:val="24"/>
                <w:lang w:eastAsia="en-NZ"/>
              </w:rPr>
              <w:t>LifeExp</w:t>
            </w:r>
            <w:proofErr w:type="spellEnd"/>
          </w:p>
        </w:tc>
        <w:tc>
          <w:tcPr>
            <w:tcW w:w="5959" w:type="dxa"/>
            <w:tcBorders>
              <w:bottom w:val="single" w:sz="4" w:space="0" w:color="auto"/>
            </w:tcBorders>
            <w:shd w:val="clear" w:color="auto" w:fill="auto"/>
            <w:noWrap/>
            <w:vAlign w:val="center"/>
            <w:hideMark/>
          </w:tcPr>
          <w:p w14:paraId="3AADB622"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Life expectancy at birth, total (years)</w:t>
            </w:r>
          </w:p>
        </w:tc>
        <w:tc>
          <w:tcPr>
            <w:tcW w:w="1984" w:type="dxa"/>
            <w:tcBorders>
              <w:bottom w:val="single" w:sz="4" w:space="0" w:color="auto"/>
            </w:tcBorders>
            <w:shd w:val="clear" w:color="auto" w:fill="auto"/>
            <w:noWrap/>
            <w:vAlign w:val="center"/>
            <w:hideMark/>
          </w:tcPr>
          <w:p w14:paraId="3531075A" w14:textId="77777777" w:rsidR="00761A9A" w:rsidRPr="000A2E02" w:rsidRDefault="00761A9A" w:rsidP="00354437">
            <w:pPr>
              <w:spacing w:after="0" w:line="240" w:lineRule="auto"/>
              <w:ind w:firstLine="0"/>
              <w:rPr>
                <w:rFonts w:eastAsia="Times New Roman" w:cstheme="majorBidi"/>
                <w:color w:val="000000"/>
                <w:szCs w:val="24"/>
                <w:lang w:eastAsia="en-NZ"/>
              </w:rPr>
            </w:pPr>
            <w:r w:rsidRPr="000A2E02">
              <w:rPr>
                <w:rFonts w:eastAsia="Times New Roman" w:cstheme="majorBidi"/>
                <w:color w:val="000000"/>
                <w:szCs w:val="24"/>
                <w:lang w:eastAsia="en-NZ"/>
              </w:rPr>
              <w:t>WDI</w:t>
            </w:r>
          </w:p>
        </w:tc>
      </w:tr>
    </w:tbl>
    <w:p w14:paraId="0768A141" w14:textId="77777777" w:rsidR="00761A9A" w:rsidRDefault="00761A9A" w:rsidP="00761A9A">
      <w:pPr>
        <w:spacing w:line="240" w:lineRule="auto"/>
        <w:ind w:firstLine="0"/>
      </w:pPr>
    </w:p>
    <w:p w14:paraId="53FEDCA1" w14:textId="77777777" w:rsidR="00761A9A" w:rsidRDefault="00761A9A" w:rsidP="00761A9A">
      <w:pPr>
        <w:spacing w:line="240" w:lineRule="auto"/>
        <w:ind w:firstLine="0"/>
      </w:pPr>
    </w:p>
    <w:p w14:paraId="36D71769" w14:textId="77777777" w:rsidR="00761A9A" w:rsidRDefault="00761A9A" w:rsidP="00761A9A">
      <w:pPr>
        <w:spacing w:line="240" w:lineRule="auto"/>
        <w:ind w:firstLine="0"/>
      </w:pPr>
    </w:p>
    <w:p w14:paraId="5162D8FE" w14:textId="77777777" w:rsidR="00761A9A" w:rsidRDefault="00761A9A" w:rsidP="00770C92">
      <w:pPr>
        <w:pStyle w:val="Heading1"/>
        <w:rPr>
          <w:szCs w:val="24"/>
        </w:rPr>
      </w:pPr>
      <w:r w:rsidRPr="00F343B8">
        <w:rPr>
          <w:szCs w:val="24"/>
        </w:rPr>
        <w:t xml:space="preserve">Appendix </w:t>
      </w:r>
      <w:r>
        <w:rPr>
          <w:szCs w:val="24"/>
        </w:rPr>
        <w:t>B</w:t>
      </w:r>
      <w:r w:rsidRPr="00F343B8">
        <w:rPr>
          <w:szCs w:val="24"/>
        </w:rPr>
        <w:t xml:space="preserve">: </w:t>
      </w:r>
      <w:r>
        <w:rPr>
          <w:szCs w:val="24"/>
        </w:rPr>
        <w:t>Country list based on LFO, HFO, LTO and HTO</w:t>
      </w:r>
      <w:r w:rsidRPr="00F343B8">
        <w:rPr>
          <w:szCs w:val="24"/>
        </w:rPr>
        <w:t>.</w:t>
      </w:r>
    </w:p>
    <w:p w14:paraId="582B6316" w14:textId="77777777" w:rsidR="00761A9A" w:rsidRPr="00D55A1D" w:rsidRDefault="00761A9A" w:rsidP="00761A9A"/>
    <w:tbl>
      <w:tblPr>
        <w:tblW w:w="10065" w:type="dxa"/>
        <w:tblInd w:w="-142" w:type="dxa"/>
        <w:tblLook w:val="04A0" w:firstRow="1" w:lastRow="0" w:firstColumn="1" w:lastColumn="0" w:noHBand="0" w:noVBand="1"/>
      </w:tblPr>
      <w:tblGrid>
        <w:gridCol w:w="1560"/>
        <w:gridCol w:w="1570"/>
        <w:gridCol w:w="1863"/>
        <w:gridCol w:w="1484"/>
        <w:gridCol w:w="1805"/>
        <w:gridCol w:w="1783"/>
      </w:tblGrid>
      <w:tr w:rsidR="00761A9A" w:rsidRPr="00D55A1D" w14:paraId="7F5E44FC" w14:textId="77777777" w:rsidTr="00354437">
        <w:trPr>
          <w:trHeight w:val="297"/>
        </w:trPr>
        <w:tc>
          <w:tcPr>
            <w:tcW w:w="1560" w:type="dxa"/>
            <w:tcBorders>
              <w:bottom w:val="single" w:sz="4" w:space="0" w:color="auto"/>
              <w:right w:val="single" w:sz="4" w:space="0" w:color="auto"/>
            </w:tcBorders>
            <w:shd w:val="clear" w:color="auto" w:fill="auto"/>
            <w:noWrap/>
            <w:vAlign w:val="bottom"/>
            <w:hideMark/>
          </w:tcPr>
          <w:p w14:paraId="13852287" w14:textId="77777777" w:rsidR="00761A9A" w:rsidRPr="00D55A1D" w:rsidRDefault="00761A9A" w:rsidP="00354437">
            <w:pPr>
              <w:spacing w:after="0" w:line="240" w:lineRule="auto"/>
              <w:ind w:firstLine="0"/>
              <w:jc w:val="left"/>
              <w:rPr>
                <w:rFonts w:eastAsia="Times New Roman" w:cstheme="majorBidi"/>
                <w:b/>
                <w:bCs/>
                <w:color w:val="000000"/>
                <w:sz w:val="20"/>
                <w:szCs w:val="20"/>
                <w:lang w:eastAsia="en-NZ"/>
              </w:rPr>
            </w:pPr>
            <w:r w:rsidRPr="00D55A1D">
              <w:rPr>
                <w:rFonts w:eastAsia="Times New Roman" w:cstheme="majorBidi"/>
                <w:b/>
                <w:bCs/>
                <w:color w:val="000000"/>
                <w:sz w:val="20"/>
                <w:szCs w:val="20"/>
                <w:lang w:eastAsia="en-NZ"/>
              </w:rPr>
              <w:t>LFO</w:t>
            </w:r>
          </w:p>
        </w:tc>
        <w:tc>
          <w:tcPr>
            <w:tcW w:w="1570" w:type="dxa"/>
            <w:tcBorders>
              <w:left w:val="single" w:sz="4" w:space="0" w:color="auto"/>
              <w:bottom w:val="single" w:sz="4" w:space="0" w:color="auto"/>
            </w:tcBorders>
            <w:shd w:val="clear" w:color="auto" w:fill="auto"/>
            <w:noWrap/>
            <w:vAlign w:val="bottom"/>
            <w:hideMark/>
          </w:tcPr>
          <w:p w14:paraId="758A5F38" w14:textId="77777777" w:rsidR="00761A9A" w:rsidRPr="00D55A1D" w:rsidRDefault="00761A9A" w:rsidP="00354437">
            <w:pPr>
              <w:spacing w:after="0" w:line="240" w:lineRule="auto"/>
              <w:ind w:firstLine="0"/>
              <w:jc w:val="left"/>
              <w:rPr>
                <w:rFonts w:eastAsia="Times New Roman" w:cstheme="majorBidi"/>
                <w:b/>
                <w:bCs/>
                <w:color w:val="000000"/>
                <w:sz w:val="20"/>
                <w:szCs w:val="20"/>
                <w:lang w:eastAsia="en-NZ"/>
              </w:rPr>
            </w:pPr>
            <w:r w:rsidRPr="00D55A1D">
              <w:rPr>
                <w:rFonts w:eastAsia="Times New Roman" w:cstheme="majorBidi"/>
                <w:b/>
                <w:bCs/>
                <w:color w:val="000000"/>
                <w:sz w:val="20"/>
                <w:szCs w:val="20"/>
                <w:lang w:eastAsia="en-NZ"/>
              </w:rPr>
              <w:t>HFO</w:t>
            </w:r>
          </w:p>
        </w:tc>
        <w:tc>
          <w:tcPr>
            <w:tcW w:w="1863" w:type="dxa"/>
            <w:tcBorders>
              <w:bottom w:val="single" w:sz="4" w:space="0" w:color="auto"/>
              <w:right w:val="single" w:sz="4" w:space="0" w:color="auto"/>
            </w:tcBorders>
            <w:shd w:val="clear" w:color="auto" w:fill="auto"/>
            <w:noWrap/>
            <w:vAlign w:val="bottom"/>
            <w:hideMark/>
          </w:tcPr>
          <w:p w14:paraId="5873E0CD" w14:textId="77777777" w:rsidR="00761A9A" w:rsidRPr="00D55A1D" w:rsidRDefault="00761A9A" w:rsidP="00354437">
            <w:pPr>
              <w:spacing w:after="0" w:line="240" w:lineRule="auto"/>
              <w:ind w:firstLine="0"/>
              <w:jc w:val="left"/>
              <w:rPr>
                <w:rFonts w:eastAsia="Times New Roman" w:cstheme="majorBidi"/>
                <w:b/>
                <w:bCs/>
                <w:color w:val="000000"/>
                <w:sz w:val="20"/>
                <w:szCs w:val="20"/>
                <w:lang w:eastAsia="en-NZ"/>
              </w:rPr>
            </w:pPr>
          </w:p>
        </w:tc>
        <w:tc>
          <w:tcPr>
            <w:tcW w:w="1484" w:type="dxa"/>
            <w:tcBorders>
              <w:left w:val="single" w:sz="4" w:space="0" w:color="auto"/>
              <w:bottom w:val="single" w:sz="4" w:space="0" w:color="auto"/>
              <w:right w:val="single" w:sz="4" w:space="0" w:color="auto"/>
            </w:tcBorders>
            <w:shd w:val="clear" w:color="auto" w:fill="auto"/>
            <w:noWrap/>
            <w:vAlign w:val="bottom"/>
            <w:hideMark/>
          </w:tcPr>
          <w:p w14:paraId="7084033E" w14:textId="77777777" w:rsidR="00761A9A" w:rsidRPr="00D55A1D" w:rsidRDefault="00761A9A" w:rsidP="00354437">
            <w:pPr>
              <w:spacing w:after="0" w:line="240" w:lineRule="auto"/>
              <w:ind w:firstLine="0"/>
              <w:jc w:val="left"/>
              <w:rPr>
                <w:rFonts w:eastAsia="Times New Roman" w:cstheme="majorBidi"/>
                <w:b/>
                <w:bCs/>
                <w:color w:val="000000"/>
                <w:sz w:val="20"/>
                <w:szCs w:val="20"/>
                <w:lang w:eastAsia="en-NZ"/>
              </w:rPr>
            </w:pPr>
            <w:r w:rsidRPr="00D55A1D">
              <w:rPr>
                <w:rFonts w:eastAsia="Times New Roman" w:cstheme="majorBidi"/>
                <w:b/>
                <w:bCs/>
                <w:color w:val="000000"/>
                <w:sz w:val="20"/>
                <w:szCs w:val="20"/>
                <w:lang w:eastAsia="en-NZ"/>
              </w:rPr>
              <w:t>LTO</w:t>
            </w:r>
          </w:p>
        </w:tc>
        <w:tc>
          <w:tcPr>
            <w:tcW w:w="1805" w:type="dxa"/>
            <w:tcBorders>
              <w:left w:val="single" w:sz="4" w:space="0" w:color="auto"/>
              <w:bottom w:val="single" w:sz="4" w:space="0" w:color="auto"/>
            </w:tcBorders>
            <w:shd w:val="clear" w:color="auto" w:fill="auto"/>
            <w:noWrap/>
            <w:vAlign w:val="bottom"/>
            <w:hideMark/>
          </w:tcPr>
          <w:p w14:paraId="137D5B82" w14:textId="77777777" w:rsidR="00761A9A" w:rsidRPr="00D55A1D" w:rsidRDefault="00761A9A" w:rsidP="00354437">
            <w:pPr>
              <w:spacing w:after="0" w:line="240" w:lineRule="auto"/>
              <w:ind w:firstLine="0"/>
              <w:jc w:val="left"/>
              <w:rPr>
                <w:rFonts w:eastAsia="Times New Roman" w:cstheme="majorBidi"/>
                <w:b/>
                <w:bCs/>
                <w:color w:val="000000"/>
                <w:sz w:val="20"/>
                <w:szCs w:val="20"/>
                <w:lang w:eastAsia="en-NZ"/>
              </w:rPr>
            </w:pPr>
            <w:r w:rsidRPr="00D55A1D">
              <w:rPr>
                <w:rFonts w:eastAsia="Times New Roman" w:cstheme="majorBidi"/>
                <w:b/>
                <w:bCs/>
                <w:color w:val="000000"/>
                <w:sz w:val="20"/>
                <w:szCs w:val="20"/>
                <w:lang w:eastAsia="en-NZ"/>
              </w:rPr>
              <w:t>HTO</w:t>
            </w:r>
          </w:p>
        </w:tc>
        <w:tc>
          <w:tcPr>
            <w:tcW w:w="1783" w:type="dxa"/>
            <w:tcBorders>
              <w:bottom w:val="single" w:sz="4" w:space="0" w:color="auto"/>
            </w:tcBorders>
            <w:shd w:val="clear" w:color="auto" w:fill="auto"/>
            <w:noWrap/>
            <w:vAlign w:val="bottom"/>
            <w:hideMark/>
          </w:tcPr>
          <w:p w14:paraId="4B2C58F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r>
      <w:tr w:rsidR="00761A9A" w:rsidRPr="00D55A1D" w14:paraId="350433C3" w14:textId="77777777" w:rsidTr="00354437">
        <w:trPr>
          <w:trHeight w:val="297"/>
        </w:trPr>
        <w:tc>
          <w:tcPr>
            <w:tcW w:w="1560" w:type="dxa"/>
            <w:tcBorders>
              <w:top w:val="single" w:sz="4" w:space="0" w:color="auto"/>
              <w:right w:val="single" w:sz="4" w:space="0" w:color="auto"/>
            </w:tcBorders>
            <w:shd w:val="clear" w:color="auto" w:fill="auto"/>
            <w:noWrap/>
            <w:vAlign w:val="bottom"/>
            <w:hideMark/>
          </w:tcPr>
          <w:p w14:paraId="5E89736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Albania</w:t>
            </w:r>
          </w:p>
        </w:tc>
        <w:tc>
          <w:tcPr>
            <w:tcW w:w="1570" w:type="dxa"/>
            <w:tcBorders>
              <w:top w:val="single" w:sz="4" w:space="0" w:color="auto"/>
              <w:left w:val="single" w:sz="4" w:space="0" w:color="auto"/>
            </w:tcBorders>
            <w:shd w:val="clear" w:color="auto" w:fill="auto"/>
            <w:noWrap/>
            <w:vAlign w:val="bottom"/>
            <w:hideMark/>
          </w:tcPr>
          <w:p w14:paraId="5A1D19F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Armenia</w:t>
            </w:r>
          </w:p>
        </w:tc>
        <w:tc>
          <w:tcPr>
            <w:tcW w:w="1863" w:type="dxa"/>
            <w:tcBorders>
              <w:top w:val="single" w:sz="4" w:space="0" w:color="auto"/>
              <w:right w:val="single" w:sz="4" w:space="0" w:color="auto"/>
            </w:tcBorders>
            <w:shd w:val="clear" w:color="auto" w:fill="auto"/>
            <w:noWrap/>
            <w:vAlign w:val="bottom"/>
            <w:hideMark/>
          </w:tcPr>
          <w:p w14:paraId="297B34D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Jamaica</w:t>
            </w:r>
          </w:p>
        </w:tc>
        <w:tc>
          <w:tcPr>
            <w:tcW w:w="1484" w:type="dxa"/>
            <w:tcBorders>
              <w:top w:val="single" w:sz="4" w:space="0" w:color="auto"/>
              <w:left w:val="single" w:sz="4" w:space="0" w:color="auto"/>
              <w:right w:val="single" w:sz="4" w:space="0" w:color="auto"/>
            </w:tcBorders>
            <w:shd w:val="clear" w:color="auto" w:fill="auto"/>
            <w:noWrap/>
            <w:vAlign w:val="bottom"/>
            <w:hideMark/>
          </w:tcPr>
          <w:p w14:paraId="76A6D07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Australia</w:t>
            </w:r>
          </w:p>
        </w:tc>
        <w:tc>
          <w:tcPr>
            <w:tcW w:w="1805" w:type="dxa"/>
            <w:tcBorders>
              <w:top w:val="single" w:sz="4" w:space="0" w:color="auto"/>
              <w:left w:val="single" w:sz="4" w:space="0" w:color="auto"/>
            </w:tcBorders>
            <w:shd w:val="clear" w:color="auto" w:fill="auto"/>
            <w:noWrap/>
            <w:vAlign w:val="bottom"/>
            <w:hideMark/>
          </w:tcPr>
          <w:p w14:paraId="7898D73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Albania</w:t>
            </w:r>
          </w:p>
        </w:tc>
        <w:tc>
          <w:tcPr>
            <w:tcW w:w="1783" w:type="dxa"/>
            <w:tcBorders>
              <w:top w:val="single" w:sz="4" w:space="0" w:color="auto"/>
            </w:tcBorders>
            <w:shd w:val="clear" w:color="auto" w:fill="auto"/>
            <w:noWrap/>
            <w:vAlign w:val="bottom"/>
            <w:hideMark/>
          </w:tcPr>
          <w:p w14:paraId="1A8680B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Germany</w:t>
            </w:r>
          </w:p>
        </w:tc>
      </w:tr>
      <w:tr w:rsidR="00761A9A" w:rsidRPr="00D55A1D" w14:paraId="7DAFAA1C" w14:textId="77777777" w:rsidTr="00354437">
        <w:trPr>
          <w:trHeight w:val="297"/>
        </w:trPr>
        <w:tc>
          <w:tcPr>
            <w:tcW w:w="1560" w:type="dxa"/>
            <w:tcBorders>
              <w:right w:val="single" w:sz="4" w:space="0" w:color="auto"/>
            </w:tcBorders>
            <w:shd w:val="clear" w:color="auto" w:fill="auto"/>
            <w:noWrap/>
            <w:vAlign w:val="bottom"/>
            <w:hideMark/>
          </w:tcPr>
          <w:p w14:paraId="7D42866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Bangladesh</w:t>
            </w:r>
          </w:p>
        </w:tc>
        <w:tc>
          <w:tcPr>
            <w:tcW w:w="1570" w:type="dxa"/>
            <w:tcBorders>
              <w:left w:val="single" w:sz="4" w:space="0" w:color="auto"/>
            </w:tcBorders>
            <w:shd w:val="clear" w:color="auto" w:fill="auto"/>
            <w:noWrap/>
            <w:vAlign w:val="bottom"/>
            <w:hideMark/>
          </w:tcPr>
          <w:p w14:paraId="7C2BBB1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Bolivia</w:t>
            </w:r>
          </w:p>
        </w:tc>
        <w:tc>
          <w:tcPr>
            <w:tcW w:w="1863" w:type="dxa"/>
            <w:tcBorders>
              <w:right w:val="single" w:sz="4" w:space="0" w:color="auto"/>
            </w:tcBorders>
            <w:shd w:val="clear" w:color="auto" w:fill="auto"/>
            <w:noWrap/>
            <w:vAlign w:val="bottom"/>
            <w:hideMark/>
          </w:tcPr>
          <w:p w14:paraId="34B65EA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Japan</w:t>
            </w:r>
          </w:p>
        </w:tc>
        <w:tc>
          <w:tcPr>
            <w:tcW w:w="1484" w:type="dxa"/>
            <w:tcBorders>
              <w:left w:val="single" w:sz="4" w:space="0" w:color="auto"/>
              <w:right w:val="single" w:sz="4" w:space="0" w:color="auto"/>
            </w:tcBorders>
            <w:shd w:val="clear" w:color="auto" w:fill="auto"/>
            <w:noWrap/>
            <w:vAlign w:val="bottom"/>
            <w:hideMark/>
          </w:tcPr>
          <w:p w14:paraId="535A87D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Bangladesh</w:t>
            </w:r>
          </w:p>
        </w:tc>
        <w:tc>
          <w:tcPr>
            <w:tcW w:w="1805" w:type="dxa"/>
            <w:tcBorders>
              <w:left w:val="single" w:sz="4" w:space="0" w:color="auto"/>
            </w:tcBorders>
            <w:shd w:val="clear" w:color="auto" w:fill="auto"/>
            <w:noWrap/>
            <w:vAlign w:val="bottom"/>
            <w:hideMark/>
          </w:tcPr>
          <w:p w14:paraId="5319DBA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Bolivia</w:t>
            </w:r>
          </w:p>
        </w:tc>
        <w:tc>
          <w:tcPr>
            <w:tcW w:w="1783" w:type="dxa"/>
            <w:shd w:val="clear" w:color="auto" w:fill="auto"/>
            <w:noWrap/>
            <w:vAlign w:val="bottom"/>
            <w:hideMark/>
          </w:tcPr>
          <w:p w14:paraId="220D923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Ghana</w:t>
            </w:r>
          </w:p>
        </w:tc>
      </w:tr>
      <w:tr w:rsidR="00761A9A" w:rsidRPr="00D55A1D" w14:paraId="6085B7AA" w14:textId="77777777" w:rsidTr="00354437">
        <w:trPr>
          <w:trHeight w:val="297"/>
        </w:trPr>
        <w:tc>
          <w:tcPr>
            <w:tcW w:w="1560" w:type="dxa"/>
            <w:tcBorders>
              <w:right w:val="single" w:sz="4" w:space="0" w:color="auto"/>
            </w:tcBorders>
            <w:shd w:val="clear" w:color="auto" w:fill="auto"/>
            <w:noWrap/>
            <w:vAlign w:val="bottom"/>
            <w:hideMark/>
          </w:tcPr>
          <w:p w14:paraId="571DFBB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Brazil</w:t>
            </w:r>
          </w:p>
        </w:tc>
        <w:tc>
          <w:tcPr>
            <w:tcW w:w="1570" w:type="dxa"/>
            <w:tcBorders>
              <w:left w:val="single" w:sz="4" w:space="0" w:color="auto"/>
            </w:tcBorders>
            <w:shd w:val="clear" w:color="auto" w:fill="auto"/>
            <w:noWrap/>
            <w:vAlign w:val="bottom"/>
            <w:hideMark/>
          </w:tcPr>
          <w:p w14:paraId="344E8BF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Costa Rica</w:t>
            </w:r>
          </w:p>
        </w:tc>
        <w:tc>
          <w:tcPr>
            <w:tcW w:w="1863" w:type="dxa"/>
            <w:tcBorders>
              <w:right w:val="single" w:sz="4" w:space="0" w:color="auto"/>
            </w:tcBorders>
            <w:shd w:val="clear" w:color="auto" w:fill="auto"/>
            <w:noWrap/>
            <w:vAlign w:val="bottom"/>
            <w:hideMark/>
          </w:tcPr>
          <w:p w14:paraId="445BB56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Lesotho</w:t>
            </w:r>
          </w:p>
        </w:tc>
        <w:tc>
          <w:tcPr>
            <w:tcW w:w="1484" w:type="dxa"/>
            <w:tcBorders>
              <w:left w:val="single" w:sz="4" w:space="0" w:color="auto"/>
              <w:right w:val="single" w:sz="4" w:space="0" w:color="auto"/>
            </w:tcBorders>
            <w:shd w:val="clear" w:color="auto" w:fill="auto"/>
            <w:noWrap/>
            <w:vAlign w:val="bottom"/>
            <w:hideMark/>
          </w:tcPr>
          <w:p w14:paraId="0D4B1F3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Brazil</w:t>
            </w:r>
          </w:p>
        </w:tc>
        <w:tc>
          <w:tcPr>
            <w:tcW w:w="1805" w:type="dxa"/>
            <w:tcBorders>
              <w:left w:val="single" w:sz="4" w:space="0" w:color="auto"/>
            </w:tcBorders>
            <w:shd w:val="clear" w:color="auto" w:fill="auto"/>
            <w:noWrap/>
            <w:vAlign w:val="bottom"/>
            <w:hideMark/>
          </w:tcPr>
          <w:p w14:paraId="15FA337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Chile</w:t>
            </w:r>
          </w:p>
        </w:tc>
        <w:tc>
          <w:tcPr>
            <w:tcW w:w="1783" w:type="dxa"/>
            <w:shd w:val="clear" w:color="auto" w:fill="auto"/>
            <w:noWrap/>
            <w:vAlign w:val="bottom"/>
            <w:hideMark/>
          </w:tcPr>
          <w:p w14:paraId="3A94261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Jamaica</w:t>
            </w:r>
          </w:p>
        </w:tc>
      </w:tr>
      <w:tr w:rsidR="00761A9A" w:rsidRPr="00D55A1D" w14:paraId="30807FA1" w14:textId="77777777" w:rsidTr="00354437">
        <w:trPr>
          <w:trHeight w:val="297"/>
        </w:trPr>
        <w:tc>
          <w:tcPr>
            <w:tcW w:w="1560" w:type="dxa"/>
            <w:tcBorders>
              <w:right w:val="single" w:sz="4" w:space="0" w:color="auto"/>
            </w:tcBorders>
            <w:shd w:val="clear" w:color="auto" w:fill="auto"/>
            <w:noWrap/>
            <w:vAlign w:val="bottom"/>
            <w:hideMark/>
          </w:tcPr>
          <w:p w14:paraId="04E3CBE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China</w:t>
            </w:r>
          </w:p>
        </w:tc>
        <w:tc>
          <w:tcPr>
            <w:tcW w:w="1570" w:type="dxa"/>
            <w:tcBorders>
              <w:left w:val="single" w:sz="4" w:space="0" w:color="auto"/>
            </w:tcBorders>
            <w:shd w:val="clear" w:color="auto" w:fill="auto"/>
            <w:noWrap/>
            <w:vAlign w:val="bottom"/>
            <w:hideMark/>
          </w:tcPr>
          <w:p w14:paraId="321219E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Cote d'Ivoire</w:t>
            </w:r>
          </w:p>
        </w:tc>
        <w:tc>
          <w:tcPr>
            <w:tcW w:w="1863" w:type="dxa"/>
            <w:tcBorders>
              <w:right w:val="single" w:sz="4" w:space="0" w:color="auto"/>
            </w:tcBorders>
            <w:shd w:val="clear" w:color="auto" w:fill="auto"/>
            <w:noWrap/>
            <w:vAlign w:val="bottom"/>
            <w:hideMark/>
          </w:tcPr>
          <w:p w14:paraId="7B78D3F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Malaysia</w:t>
            </w:r>
          </w:p>
        </w:tc>
        <w:tc>
          <w:tcPr>
            <w:tcW w:w="1484" w:type="dxa"/>
            <w:tcBorders>
              <w:left w:val="single" w:sz="4" w:space="0" w:color="auto"/>
              <w:right w:val="single" w:sz="4" w:space="0" w:color="auto"/>
            </w:tcBorders>
            <w:shd w:val="clear" w:color="auto" w:fill="auto"/>
            <w:noWrap/>
            <w:vAlign w:val="bottom"/>
            <w:hideMark/>
          </w:tcPr>
          <w:p w14:paraId="6567854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China</w:t>
            </w:r>
          </w:p>
        </w:tc>
        <w:tc>
          <w:tcPr>
            <w:tcW w:w="1805" w:type="dxa"/>
            <w:tcBorders>
              <w:left w:val="single" w:sz="4" w:space="0" w:color="auto"/>
            </w:tcBorders>
            <w:shd w:val="clear" w:color="auto" w:fill="auto"/>
            <w:noWrap/>
            <w:vAlign w:val="bottom"/>
            <w:hideMark/>
          </w:tcPr>
          <w:p w14:paraId="4F713F5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Cote d'Ivoire</w:t>
            </w:r>
          </w:p>
        </w:tc>
        <w:tc>
          <w:tcPr>
            <w:tcW w:w="1783" w:type="dxa"/>
            <w:shd w:val="clear" w:color="auto" w:fill="auto"/>
            <w:noWrap/>
            <w:vAlign w:val="bottom"/>
            <w:hideMark/>
          </w:tcPr>
          <w:p w14:paraId="46972C0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Korea, Rep.</w:t>
            </w:r>
          </w:p>
        </w:tc>
      </w:tr>
      <w:tr w:rsidR="00761A9A" w:rsidRPr="00D55A1D" w14:paraId="0AAAB4E0" w14:textId="77777777" w:rsidTr="00354437">
        <w:trPr>
          <w:trHeight w:val="297"/>
        </w:trPr>
        <w:tc>
          <w:tcPr>
            <w:tcW w:w="1560" w:type="dxa"/>
            <w:tcBorders>
              <w:right w:val="single" w:sz="4" w:space="0" w:color="auto"/>
            </w:tcBorders>
            <w:shd w:val="clear" w:color="auto" w:fill="auto"/>
            <w:noWrap/>
            <w:vAlign w:val="bottom"/>
            <w:hideMark/>
          </w:tcPr>
          <w:p w14:paraId="4CAD05B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Colombia</w:t>
            </w:r>
          </w:p>
        </w:tc>
        <w:tc>
          <w:tcPr>
            <w:tcW w:w="1570" w:type="dxa"/>
            <w:tcBorders>
              <w:left w:val="single" w:sz="4" w:space="0" w:color="auto"/>
            </w:tcBorders>
            <w:shd w:val="clear" w:color="auto" w:fill="auto"/>
            <w:noWrap/>
            <w:vAlign w:val="bottom"/>
            <w:hideMark/>
          </w:tcPr>
          <w:p w14:paraId="24C179E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Ecuador</w:t>
            </w:r>
          </w:p>
        </w:tc>
        <w:tc>
          <w:tcPr>
            <w:tcW w:w="1863" w:type="dxa"/>
            <w:tcBorders>
              <w:right w:val="single" w:sz="4" w:space="0" w:color="auto"/>
            </w:tcBorders>
            <w:shd w:val="clear" w:color="auto" w:fill="auto"/>
            <w:noWrap/>
            <w:vAlign w:val="bottom"/>
            <w:hideMark/>
          </w:tcPr>
          <w:p w14:paraId="2D6F4C4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Mongolia</w:t>
            </w:r>
          </w:p>
        </w:tc>
        <w:tc>
          <w:tcPr>
            <w:tcW w:w="1484" w:type="dxa"/>
            <w:tcBorders>
              <w:left w:val="single" w:sz="4" w:space="0" w:color="auto"/>
              <w:right w:val="single" w:sz="4" w:space="0" w:color="auto"/>
            </w:tcBorders>
            <w:shd w:val="clear" w:color="auto" w:fill="auto"/>
            <w:noWrap/>
            <w:vAlign w:val="bottom"/>
            <w:hideMark/>
          </w:tcPr>
          <w:p w14:paraId="21CDBE5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Colombia</w:t>
            </w:r>
          </w:p>
        </w:tc>
        <w:tc>
          <w:tcPr>
            <w:tcW w:w="1805" w:type="dxa"/>
            <w:tcBorders>
              <w:left w:val="single" w:sz="4" w:space="0" w:color="auto"/>
            </w:tcBorders>
            <w:shd w:val="clear" w:color="auto" w:fill="auto"/>
            <w:noWrap/>
            <w:vAlign w:val="bottom"/>
            <w:hideMark/>
          </w:tcPr>
          <w:p w14:paraId="6D0D0B0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Dominican Rep</w:t>
            </w:r>
          </w:p>
        </w:tc>
        <w:tc>
          <w:tcPr>
            <w:tcW w:w="1783" w:type="dxa"/>
            <w:shd w:val="clear" w:color="auto" w:fill="auto"/>
            <w:noWrap/>
            <w:vAlign w:val="bottom"/>
            <w:hideMark/>
          </w:tcPr>
          <w:p w14:paraId="286D783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Norway</w:t>
            </w:r>
          </w:p>
        </w:tc>
      </w:tr>
      <w:tr w:rsidR="00761A9A" w:rsidRPr="00D55A1D" w14:paraId="2B72C7CD" w14:textId="77777777" w:rsidTr="00354437">
        <w:trPr>
          <w:trHeight w:val="297"/>
        </w:trPr>
        <w:tc>
          <w:tcPr>
            <w:tcW w:w="1560" w:type="dxa"/>
            <w:tcBorders>
              <w:right w:val="single" w:sz="4" w:space="0" w:color="auto"/>
            </w:tcBorders>
            <w:shd w:val="clear" w:color="auto" w:fill="auto"/>
            <w:noWrap/>
            <w:vAlign w:val="bottom"/>
            <w:hideMark/>
          </w:tcPr>
          <w:p w14:paraId="51E99A6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Dominican Rep</w:t>
            </w:r>
          </w:p>
        </w:tc>
        <w:tc>
          <w:tcPr>
            <w:tcW w:w="1570" w:type="dxa"/>
            <w:tcBorders>
              <w:left w:val="single" w:sz="4" w:space="0" w:color="auto"/>
            </w:tcBorders>
            <w:shd w:val="clear" w:color="auto" w:fill="auto"/>
            <w:noWrap/>
            <w:vAlign w:val="bottom"/>
            <w:hideMark/>
          </w:tcPr>
          <w:p w14:paraId="09D4BDD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El Salvador</w:t>
            </w:r>
          </w:p>
        </w:tc>
        <w:tc>
          <w:tcPr>
            <w:tcW w:w="1863" w:type="dxa"/>
            <w:tcBorders>
              <w:right w:val="single" w:sz="4" w:space="0" w:color="auto"/>
            </w:tcBorders>
            <w:shd w:val="clear" w:color="auto" w:fill="auto"/>
            <w:noWrap/>
            <w:vAlign w:val="bottom"/>
            <w:hideMark/>
          </w:tcPr>
          <w:p w14:paraId="41833D2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New Zealand</w:t>
            </w:r>
          </w:p>
        </w:tc>
        <w:tc>
          <w:tcPr>
            <w:tcW w:w="1484" w:type="dxa"/>
            <w:tcBorders>
              <w:left w:val="single" w:sz="4" w:space="0" w:color="auto"/>
              <w:right w:val="single" w:sz="4" w:space="0" w:color="auto"/>
            </w:tcBorders>
            <w:shd w:val="clear" w:color="auto" w:fill="auto"/>
            <w:noWrap/>
            <w:vAlign w:val="bottom"/>
            <w:hideMark/>
          </w:tcPr>
          <w:p w14:paraId="62CD60B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Egypt</w:t>
            </w:r>
          </w:p>
        </w:tc>
        <w:tc>
          <w:tcPr>
            <w:tcW w:w="1805" w:type="dxa"/>
            <w:tcBorders>
              <w:left w:val="single" w:sz="4" w:space="0" w:color="auto"/>
            </w:tcBorders>
            <w:shd w:val="clear" w:color="auto" w:fill="auto"/>
            <w:noWrap/>
            <w:vAlign w:val="bottom"/>
            <w:hideMark/>
          </w:tcPr>
          <w:p w14:paraId="7C04807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Ecuador</w:t>
            </w:r>
          </w:p>
        </w:tc>
        <w:tc>
          <w:tcPr>
            <w:tcW w:w="1783" w:type="dxa"/>
            <w:shd w:val="clear" w:color="auto" w:fill="auto"/>
            <w:noWrap/>
            <w:vAlign w:val="bottom"/>
            <w:hideMark/>
          </w:tcPr>
          <w:p w14:paraId="53C0EDE2"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Paraguay</w:t>
            </w:r>
          </w:p>
        </w:tc>
      </w:tr>
      <w:tr w:rsidR="00761A9A" w:rsidRPr="00D55A1D" w14:paraId="2B7E1EED" w14:textId="77777777" w:rsidTr="00354437">
        <w:trPr>
          <w:trHeight w:val="297"/>
        </w:trPr>
        <w:tc>
          <w:tcPr>
            <w:tcW w:w="1560" w:type="dxa"/>
            <w:tcBorders>
              <w:right w:val="single" w:sz="4" w:space="0" w:color="auto"/>
            </w:tcBorders>
            <w:shd w:val="clear" w:color="auto" w:fill="auto"/>
            <w:noWrap/>
            <w:vAlign w:val="bottom"/>
            <w:hideMark/>
          </w:tcPr>
          <w:p w14:paraId="6D67CEF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Egypt</w:t>
            </w:r>
          </w:p>
        </w:tc>
        <w:tc>
          <w:tcPr>
            <w:tcW w:w="1570" w:type="dxa"/>
            <w:tcBorders>
              <w:left w:val="single" w:sz="4" w:space="0" w:color="auto"/>
            </w:tcBorders>
            <w:shd w:val="clear" w:color="auto" w:fill="auto"/>
            <w:noWrap/>
            <w:vAlign w:val="bottom"/>
            <w:hideMark/>
          </w:tcPr>
          <w:p w14:paraId="427D107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Eswatini</w:t>
            </w:r>
          </w:p>
        </w:tc>
        <w:tc>
          <w:tcPr>
            <w:tcW w:w="1863" w:type="dxa"/>
            <w:tcBorders>
              <w:right w:val="single" w:sz="4" w:space="0" w:color="auto"/>
            </w:tcBorders>
            <w:shd w:val="clear" w:color="auto" w:fill="auto"/>
            <w:noWrap/>
            <w:vAlign w:val="bottom"/>
            <w:hideMark/>
          </w:tcPr>
          <w:p w14:paraId="52EC5FA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South Africa</w:t>
            </w:r>
          </w:p>
        </w:tc>
        <w:tc>
          <w:tcPr>
            <w:tcW w:w="1484" w:type="dxa"/>
            <w:tcBorders>
              <w:left w:val="single" w:sz="4" w:space="0" w:color="auto"/>
              <w:right w:val="single" w:sz="4" w:space="0" w:color="auto"/>
            </w:tcBorders>
            <w:shd w:val="clear" w:color="auto" w:fill="auto"/>
            <w:noWrap/>
            <w:vAlign w:val="bottom"/>
            <w:hideMark/>
          </w:tcPr>
          <w:p w14:paraId="511E174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India</w:t>
            </w:r>
          </w:p>
        </w:tc>
        <w:tc>
          <w:tcPr>
            <w:tcW w:w="1805" w:type="dxa"/>
            <w:tcBorders>
              <w:left w:val="single" w:sz="4" w:space="0" w:color="auto"/>
            </w:tcBorders>
            <w:shd w:val="clear" w:color="auto" w:fill="auto"/>
            <w:noWrap/>
            <w:vAlign w:val="bottom"/>
            <w:hideMark/>
          </w:tcPr>
          <w:p w14:paraId="0A70E76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France</w:t>
            </w:r>
          </w:p>
        </w:tc>
        <w:tc>
          <w:tcPr>
            <w:tcW w:w="1783" w:type="dxa"/>
            <w:shd w:val="clear" w:color="auto" w:fill="auto"/>
            <w:noWrap/>
            <w:vAlign w:val="bottom"/>
            <w:hideMark/>
          </w:tcPr>
          <w:p w14:paraId="286AFD2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Philippines</w:t>
            </w:r>
          </w:p>
        </w:tc>
      </w:tr>
      <w:tr w:rsidR="00761A9A" w:rsidRPr="00D55A1D" w14:paraId="42C1E9E9" w14:textId="77777777" w:rsidTr="00354437">
        <w:trPr>
          <w:trHeight w:val="297"/>
        </w:trPr>
        <w:tc>
          <w:tcPr>
            <w:tcW w:w="1560" w:type="dxa"/>
            <w:tcBorders>
              <w:right w:val="single" w:sz="4" w:space="0" w:color="auto"/>
            </w:tcBorders>
            <w:shd w:val="clear" w:color="auto" w:fill="auto"/>
            <w:noWrap/>
            <w:vAlign w:val="bottom"/>
            <w:hideMark/>
          </w:tcPr>
          <w:p w14:paraId="2075439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Ghana</w:t>
            </w:r>
          </w:p>
        </w:tc>
        <w:tc>
          <w:tcPr>
            <w:tcW w:w="1570" w:type="dxa"/>
            <w:tcBorders>
              <w:left w:val="single" w:sz="4" w:space="0" w:color="auto"/>
            </w:tcBorders>
            <w:shd w:val="clear" w:color="auto" w:fill="auto"/>
            <w:noWrap/>
            <w:vAlign w:val="bottom"/>
            <w:hideMark/>
          </w:tcPr>
          <w:p w14:paraId="4DADC08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Georgia</w:t>
            </w:r>
          </w:p>
        </w:tc>
        <w:tc>
          <w:tcPr>
            <w:tcW w:w="1863" w:type="dxa"/>
            <w:tcBorders>
              <w:right w:val="single" w:sz="4" w:space="0" w:color="auto"/>
            </w:tcBorders>
            <w:shd w:val="clear" w:color="auto" w:fill="auto"/>
            <w:noWrap/>
            <w:vAlign w:val="bottom"/>
            <w:hideMark/>
          </w:tcPr>
          <w:p w14:paraId="1DBF02D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Ukraine</w:t>
            </w:r>
          </w:p>
        </w:tc>
        <w:tc>
          <w:tcPr>
            <w:tcW w:w="1484" w:type="dxa"/>
            <w:tcBorders>
              <w:left w:val="single" w:sz="4" w:space="0" w:color="auto"/>
              <w:right w:val="single" w:sz="4" w:space="0" w:color="auto"/>
            </w:tcBorders>
            <w:shd w:val="clear" w:color="auto" w:fill="auto"/>
            <w:noWrap/>
            <w:vAlign w:val="bottom"/>
            <w:hideMark/>
          </w:tcPr>
          <w:p w14:paraId="43DD7E4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Iran</w:t>
            </w:r>
          </w:p>
        </w:tc>
        <w:tc>
          <w:tcPr>
            <w:tcW w:w="1805" w:type="dxa"/>
            <w:tcBorders>
              <w:left w:val="single" w:sz="4" w:space="0" w:color="auto"/>
            </w:tcBorders>
            <w:shd w:val="clear" w:color="auto" w:fill="auto"/>
            <w:noWrap/>
            <w:vAlign w:val="bottom"/>
            <w:hideMark/>
          </w:tcPr>
          <w:p w14:paraId="234220C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Greece</w:t>
            </w:r>
          </w:p>
        </w:tc>
        <w:tc>
          <w:tcPr>
            <w:tcW w:w="1783" w:type="dxa"/>
            <w:shd w:val="clear" w:color="auto" w:fill="auto"/>
            <w:noWrap/>
            <w:vAlign w:val="bottom"/>
            <w:hideMark/>
          </w:tcPr>
          <w:p w14:paraId="3AF0CBA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Poland</w:t>
            </w:r>
          </w:p>
        </w:tc>
      </w:tr>
      <w:tr w:rsidR="00761A9A" w:rsidRPr="00D55A1D" w14:paraId="522571EA" w14:textId="77777777" w:rsidTr="00354437">
        <w:trPr>
          <w:trHeight w:val="297"/>
        </w:trPr>
        <w:tc>
          <w:tcPr>
            <w:tcW w:w="1560" w:type="dxa"/>
            <w:tcBorders>
              <w:right w:val="single" w:sz="4" w:space="0" w:color="auto"/>
            </w:tcBorders>
            <w:shd w:val="clear" w:color="auto" w:fill="auto"/>
            <w:noWrap/>
            <w:vAlign w:val="bottom"/>
            <w:hideMark/>
          </w:tcPr>
          <w:p w14:paraId="24376F7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India</w:t>
            </w:r>
          </w:p>
        </w:tc>
        <w:tc>
          <w:tcPr>
            <w:tcW w:w="1570" w:type="dxa"/>
            <w:tcBorders>
              <w:left w:val="single" w:sz="4" w:space="0" w:color="auto"/>
            </w:tcBorders>
            <w:shd w:val="clear" w:color="auto" w:fill="auto"/>
            <w:noWrap/>
            <w:vAlign w:val="bottom"/>
            <w:hideMark/>
          </w:tcPr>
          <w:p w14:paraId="7DBC815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Honduras</w:t>
            </w:r>
          </w:p>
        </w:tc>
        <w:tc>
          <w:tcPr>
            <w:tcW w:w="1863" w:type="dxa"/>
            <w:tcBorders>
              <w:right w:val="single" w:sz="4" w:space="0" w:color="auto"/>
            </w:tcBorders>
            <w:shd w:val="clear" w:color="auto" w:fill="auto"/>
            <w:noWrap/>
            <w:vAlign w:val="bottom"/>
            <w:hideMark/>
          </w:tcPr>
          <w:p w14:paraId="43BC027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United States</w:t>
            </w:r>
          </w:p>
        </w:tc>
        <w:tc>
          <w:tcPr>
            <w:tcW w:w="1484" w:type="dxa"/>
            <w:tcBorders>
              <w:left w:val="single" w:sz="4" w:space="0" w:color="auto"/>
              <w:right w:val="single" w:sz="4" w:space="0" w:color="auto"/>
            </w:tcBorders>
            <w:shd w:val="clear" w:color="auto" w:fill="auto"/>
            <w:noWrap/>
            <w:vAlign w:val="bottom"/>
            <w:hideMark/>
          </w:tcPr>
          <w:p w14:paraId="1EB83B52"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Italy</w:t>
            </w:r>
          </w:p>
        </w:tc>
        <w:tc>
          <w:tcPr>
            <w:tcW w:w="1805" w:type="dxa"/>
            <w:tcBorders>
              <w:left w:val="single" w:sz="4" w:space="0" w:color="auto"/>
            </w:tcBorders>
            <w:shd w:val="clear" w:color="auto" w:fill="auto"/>
            <w:noWrap/>
            <w:vAlign w:val="bottom"/>
            <w:hideMark/>
          </w:tcPr>
          <w:p w14:paraId="1CC87E5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Indonesia</w:t>
            </w:r>
          </w:p>
        </w:tc>
        <w:tc>
          <w:tcPr>
            <w:tcW w:w="1783" w:type="dxa"/>
            <w:shd w:val="clear" w:color="auto" w:fill="auto"/>
            <w:noWrap/>
            <w:vAlign w:val="bottom"/>
            <w:hideMark/>
          </w:tcPr>
          <w:p w14:paraId="52A2FF3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Sweden</w:t>
            </w:r>
          </w:p>
        </w:tc>
      </w:tr>
      <w:tr w:rsidR="00761A9A" w:rsidRPr="00D55A1D" w14:paraId="365D278A" w14:textId="77777777" w:rsidTr="00354437">
        <w:trPr>
          <w:trHeight w:val="297"/>
        </w:trPr>
        <w:tc>
          <w:tcPr>
            <w:tcW w:w="1560" w:type="dxa"/>
            <w:tcBorders>
              <w:right w:val="single" w:sz="4" w:space="0" w:color="auto"/>
            </w:tcBorders>
            <w:shd w:val="clear" w:color="auto" w:fill="auto"/>
            <w:noWrap/>
            <w:vAlign w:val="bottom"/>
            <w:hideMark/>
          </w:tcPr>
          <w:p w14:paraId="018FF9C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Indonesia</w:t>
            </w:r>
          </w:p>
        </w:tc>
        <w:tc>
          <w:tcPr>
            <w:tcW w:w="1570" w:type="dxa"/>
            <w:tcBorders>
              <w:left w:val="single" w:sz="4" w:space="0" w:color="auto"/>
            </w:tcBorders>
            <w:shd w:val="clear" w:color="auto" w:fill="auto"/>
            <w:noWrap/>
            <w:vAlign w:val="bottom"/>
            <w:hideMark/>
          </w:tcPr>
          <w:p w14:paraId="0B6ECE2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Korea, Rep.</w:t>
            </w:r>
          </w:p>
        </w:tc>
        <w:tc>
          <w:tcPr>
            <w:tcW w:w="1863" w:type="dxa"/>
            <w:tcBorders>
              <w:right w:val="single" w:sz="4" w:space="0" w:color="auto"/>
            </w:tcBorders>
            <w:shd w:val="clear" w:color="auto" w:fill="auto"/>
            <w:noWrap/>
            <w:vAlign w:val="bottom"/>
            <w:hideMark/>
          </w:tcPr>
          <w:p w14:paraId="34E71C6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Uruguay</w:t>
            </w:r>
          </w:p>
        </w:tc>
        <w:tc>
          <w:tcPr>
            <w:tcW w:w="1484" w:type="dxa"/>
            <w:tcBorders>
              <w:left w:val="single" w:sz="4" w:space="0" w:color="auto"/>
              <w:right w:val="single" w:sz="4" w:space="0" w:color="auto"/>
            </w:tcBorders>
            <w:shd w:val="clear" w:color="auto" w:fill="auto"/>
            <w:noWrap/>
            <w:vAlign w:val="bottom"/>
            <w:hideMark/>
          </w:tcPr>
          <w:p w14:paraId="2139CB9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Japan</w:t>
            </w:r>
          </w:p>
        </w:tc>
        <w:tc>
          <w:tcPr>
            <w:tcW w:w="1805" w:type="dxa"/>
            <w:tcBorders>
              <w:left w:val="single" w:sz="4" w:space="0" w:color="auto"/>
            </w:tcBorders>
            <w:shd w:val="clear" w:color="auto" w:fill="auto"/>
            <w:noWrap/>
            <w:vAlign w:val="bottom"/>
            <w:hideMark/>
          </w:tcPr>
          <w:p w14:paraId="4145119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Kenya</w:t>
            </w:r>
          </w:p>
        </w:tc>
        <w:tc>
          <w:tcPr>
            <w:tcW w:w="1783" w:type="dxa"/>
            <w:shd w:val="clear" w:color="auto" w:fill="auto"/>
            <w:noWrap/>
            <w:vAlign w:val="bottom"/>
            <w:hideMark/>
          </w:tcPr>
          <w:p w14:paraId="11C10EB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Tunisia</w:t>
            </w:r>
          </w:p>
        </w:tc>
      </w:tr>
      <w:tr w:rsidR="00761A9A" w:rsidRPr="00D55A1D" w14:paraId="5B67201E" w14:textId="77777777" w:rsidTr="00354437">
        <w:trPr>
          <w:trHeight w:val="297"/>
        </w:trPr>
        <w:tc>
          <w:tcPr>
            <w:tcW w:w="1560" w:type="dxa"/>
            <w:tcBorders>
              <w:right w:val="single" w:sz="4" w:space="0" w:color="auto"/>
            </w:tcBorders>
            <w:shd w:val="clear" w:color="auto" w:fill="auto"/>
            <w:noWrap/>
            <w:vAlign w:val="bottom"/>
            <w:hideMark/>
          </w:tcPr>
          <w:p w14:paraId="2EC2BC6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Iran</w:t>
            </w:r>
          </w:p>
        </w:tc>
        <w:tc>
          <w:tcPr>
            <w:tcW w:w="1570" w:type="dxa"/>
            <w:tcBorders>
              <w:left w:val="single" w:sz="4" w:space="0" w:color="auto"/>
            </w:tcBorders>
            <w:shd w:val="clear" w:color="auto" w:fill="auto"/>
            <w:noWrap/>
            <w:vAlign w:val="bottom"/>
            <w:hideMark/>
          </w:tcPr>
          <w:p w14:paraId="7FC2FBD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Mexico</w:t>
            </w:r>
          </w:p>
        </w:tc>
        <w:tc>
          <w:tcPr>
            <w:tcW w:w="1863" w:type="dxa"/>
            <w:tcBorders>
              <w:right w:val="single" w:sz="4" w:space="0" w:color="auto"/>
            </w:tcBorders>
            <w:shd w:val="clear" w:color="auto" w:fill="auto"/>
            <w:noWrap/>
            <w:vAlign w:val="bottom"/>
            <w:hideMark/>
          </w:tcPr>
          <w:p w14:paraId="7644059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Austria</w:t>
            </w:r>
          </w:p>
        </w:tc>
        <w:tc>
          <w:tcPr>
            <w:tcW w:w="1484" w:type="dxa"/>
            <w:tcBorders>
              <w:left w:val="single" w:sz="4" w:space="0" w:color="auto"/>
              <w:right w:val="single" w:sz="4" w:space="0" w:color="auto"/>
            </w:tcBorders>
            <w:shd w:val="clear" w:color="auto" w:fill="auto"/>
            <w:noWrap/>
            <w:vAlign w:val="bottom"/>
            <w:hideMark/>
          </w:tcPr>
          <w:p w14:paraId="2A97BC1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Nigeria</w:t>
            </w:r>
          </w:p>
        </w:tc>
        <w:tc>
          <w:tcPr>
            <w:tcW w:w="1805" w:type="dxa"/>
            <w:tcBorders>
              <w:left w:val="single" w:sz="4" w:space="0" w:color="auto"/>
            </w:tcBorders>
            <w:shd w:val="clear" w:color="auto" w:fill="auto"/>
            <w:noWrap/>
            <w:vAlign w:val="bottom"/>
            <w:hideMark/>
          </w:tcPr>
          <w:p w14:paraId="1A177B6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Mexico</w:t>
            </w:r>
          </w:p>
        </w:tc>
        <w:tc>
          <w:tcPr>
            <w:tcW w:w="1783" w:type="dxa"/>
            <w:shd w:val="clear" w:color="auto" w:fill="auto"/>
            <w:noWrap/>
            <w:vAlign w:val="bottom"/>
            <w:hideMark/>
          </w:tcPr>
          <w:p w14:paraId="11E6B98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Belgium</w:t>
            </w:r>
          </w:p>
        </w:tc>
      </w:tr>
      <w:tr w:rsidR="00761A9A" w:rsidRPr="00D55A1D" w14:paraId="75F49E87" w14:textId="77777777" w:rsidTr="00354437">
        <w:trPr>
          <w:trHeight w:val="297"/>
        </w:trPr>
        <w:tc>
          <w:tcPr>
            <w:tcW w:w="1560" w:type="dxa"/>
            <w:tcBorders>
              <w:right w:val="single" w:sz="4" w:space="0" w:color="auto"/>
            </w:tcBorders>
            <w:shd w:val="clear" w:color="auto" w:fill="auto"/>
            <w:noWrap/>
            <w:vAlign w:val="bottom"/>
            <w:hideMark/>
          </w:tcPr>
          <w:p w14:paraId="1E47F6B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Kenya</w:t>
            </w:r>
          </w:p>
        </w:tc>
        <w:tc>
          <w:tcPr>
            <w:tcW w:w="1570" w:type="dxa"/>
            <w:tcBorders>
              <w:left w:val="single" w:sz="4" w:space="0" w:color="auto"/>
            </w:tcBorders>
            <w:shd w:val="clear" w:color="auto" w:fill="auto"/>
            <w:noWrap/>
            <w:vAlign w:val="bottom"/>
            <w:hideMark/>
          </w:tcPr>
          <w:p w14:paraId="49D09FD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Paraguay</w:t>
            </w:r>
          </w:p>
        </w:tc>
        <w:tc>
          <w:tcPr>
            <w:tcW w:w="1863" w:type="dxa"/>
            <w:tcBorders>
              <w:right w:val="single" w:sz="4" w:space="0" w:color="auto"/>
            </w:tcBorders>
            <w:shd w:val="clear" w:color="auto" w:fill="auto"/>
            <w:noWrap/>
            <w:vAlign w:val="bottom"/>
            <w:hideMark/>
          </w:tcPr>
          <w:p w14:paraId="6390373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Belgium</w:t>
            </w:r>
          </w:p>
        </w:tc>
        <w:tc>
          <w:tcPr>
            <w:tcW w:w="1484" w:type="dxa"/>
            <w:tcBorders>
              <w:left w:val="single" w:sz="4" w:space="0" w:color="auto"/>
              <w:right w:val="single" w:sz="4" w:space="0" w:color="auto"/>
            </w:tcBorders>
            <w:shd w:val="clear" w:color="auto" w:fill="auto"/>
            <w:noWrap/>
            <w:vAlign w:val="bottom"/>
            <w:hideMark/>
          </w:tcPr>
          <w:p w14:paraId="2EA349D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Pakistan</w:t>
            </w:r>
          </w:p>
        </w:tc>
        <w:tc>
          <w:tcPr>
            <w:tcW w:w="1805" w:type="dxa"/>
            <w:tcBorders>
              <w:left w:val="single" w:sz="4" w:space="0" w:color="auto"/>
            </w:tcBorders>
            <w:shd w:val="clear" w:color="auto" w:fill="auto"/>
            <w:noWrap/>
            <w:vAlign w:val="bottom"/>
            <w:hideMark/>
          </w:tcPr>
          <w:p w14:paraId="4953B50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New Zealand</w:t>
            </w:r>
          </w:p>
        </w:tc>
        <w:tc>
          <w:tcPr>
            <w:tcW w:w="1783" w:type="dxa"/>
            <w:shd w:val="clear" w:color="auto" w:fill="auto"/>
            <w:noWrap/>
            <w:vAlign w:val="bottom"/>
            <w:hideMark/>
          </w:tcPr>
          <w:p w14:paraId="2B54F98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Bulgaria</w:t>
            </w:r>
          </w:p>
        </w:tc>
      </w:tr>
      <w:tr w:rsidR="00761A9A" w:rsidRPr="00D55A1D" w14:paraId="40B2CE62" w14:textId="77777777" w:rsidTr="00354437">
        <w:trPr>
          <w:trHeight w:val="297"/>
        </w:trPr>
        <w:tc>
          <w:tcPr>
            <w:tcW w:w="1560" w:type="dxa"/>
            <w:tcBorders>
              <w:right w:val="single" w:sz="4" w:space="0" w:color="auto"/>
            </w:tcBorders>
            <w:shd w:val="clear" w:color="auto" w:fill="auto"/>
            <w:noWrap/>
            <w:vAlign w:val="bottom"/>
            <w:hideMark/>
          </w:tcPr>
          <w:p w14:paraId="4472AAF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Nigeria</w:t>
            </w:r>
          </w:p>
        </w:tc>
        <w:tc>
          <w:tcPr>
            <w:tcW w:w="1570" w:type="dxa"/>
            <w:tcBorders>
              <w:left w:val="single" w:sz="4" w:space="0" w:color="auto"/>
            </w:tcBorders>
            <w:shd w:val="clear" w:color="auto" w:fill="auto"/>
            <w:noWrap/>
            <w:vAlign w:val="bottom"/>
            <w:hideMark/>
          </w:tcPr>
          <w:p w14:paraId="7E166ED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Peru</w:t>
            </w:r>
          </w:p>
        </w:tc>
        <w:tc>
          <w:tcPr>
            <w:tcW w:w="1863" w:type="dxa"/>
            <w:tcBorders>
              <w:right w:val="single" w:sz="4" w:space="0" w:color="auto"/>
            </w:tcBorders>
            <w:shd w:val="clear" w:color="auto" w:fill="auto"/>
            <w:noWrap/>
            <w:vAlign w:val="bottom"/>
            <w:hideMark/>
          </w:tcPr>
          <w:p w14:paraId="3DA64FF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Finland</w:t>
            </w:r>
          </w:p>
        </w:tc>
        <w:tc>
          <w:tcPr>
            <w:tcW w:w="1484" w:type="dxa"/>
            <w:tcBorders>
              <w:left w:val="single" w:sz="4" w:space="0" w:color="auto"/>
              <w:right w:val="single" w:sz="4" w:space="0" w:color="auto"/>
            </w:tcBorders>
            <w:shd w:val="clear" w:color="auto" w:fill="auto"/>
            <w:noWrap/>
            <w:vAlign w:val="bottom"/>
            <w:hideMark/>
          </w:tcPr>
          <w:p w14:paraId="3057BE1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Peru</w:t>
            </w:r>
          </w:p>
        </w:tc>
        <w:tc>
          <w:tcPr>
            <w:tcW w:w="1805" w:type="dxa"/>
            <w:tcBorders>
              <w:left w:val="single" w:sz="4" w:space="0" w:color="auto"/>
            </w:tcBorders>
            <w:shd w:val="clear" w:color="auto" w:fill="auto"/>
            <w:noWrap/>
            <w:vAlign w:val="bottom"/>
            <w:hideMark/>
          </w:tcPr>
          <w:p w14:paraId="3123FA4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Portugal</w:t>
            </w:r>
          </w:p>
        </w:tc>
        <w:tc>
          <w:tcPr>
            <w:tcW w:w="1783" w:type="dxa"/>
            <w:shd w:val="clear" w:color="auto" w:fill="auto"/>
            <w:noWrap/>
            <w:vAlign w:val="bottom"/>
            <w:hideMark/>
          </w:tcPr>
          <w:p w14:paraId="4C46518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Czech Republic</w:t>
            </w:r>
          </w:p>
        </w:tc>
      </w:tr>
      <w:tr w:rsidR="00761A9A" w:rsidRPr="00D55A1D" w14:paraId="3F2E3D6F" w14:textId="77777777" w:rsidTr="00354437">
        <w:trPr>
          <w:trHeight w:val="297"/>
        </w:trPr>
        <w:tc>
          <w:tcPr>
            <w:tcW w:w="1560" w:type="dxa"/>
            <w:tcBorders>
              <w:right w:val="single" w:sz="4" w:space="0" w:color="auto"/>
            </w:tcBorders>
            <w:shd w:val="clear" w:color="auto" w:fill="auto"/>
            <w:noWrap/>
            <w:vAlign w:val="bottom"/>
            <w:hideMark/>
          </w:tcPr>
          <w:p w14:paraId="26A468B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Pakistan</w:t>
            </w:r>
          </w:p>
        </w:tc>
        <w:tc>
          <w:tcPr>
            <w:tcW w:w="1570" w:type="dxa"/>
            <w:tcBorders>
              <w:left w:val="single" w:sz="4" w:space="0" w:color="auto"/>
            </w:tcBorders>
            <w:shd w:val="clear" w:color="auto" w:fill="auto"/>
            <w:noWrap/>
            <w:vAlign w:val="bottom"/>
            <w:hideMark/>
          </w:tcPr>
          <w:p w14:paraId="0C52B3B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Philippines</w:t>
            </w:r>
          </w:p>
        </w:tc>
        <w:tc>
          <w:tcPr>
            <w:tcW w:w="1863" w:type="dxa"/>
            <w:tcBorders>
              <w:right w:val="single" w:sz="4" w:space="0" w:color="auto"/>
            </w:tcBorders>
            <w:shd w:val="clear" w:color="auto" w:fill="auto"/>
            <w:noWrap/>
            <w:vAlign w:val="bottom"/>
            <w:hideMark/>
          </w:tcPr>
          <w:p w14:paraId="5BC4340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France</w:t>
            </w:r>
          </w:p>
        </w:tc>
        <w:tc>
          <w:tcPr>
            <w:tcW w:w="1484" w:type="dxa"/>
            <w:tcBorders>
              <w:left w:val="single" w:sz="4" w:space="0" w:color="auto"/>
              <w:right w:val="single" w:sz="4" w:space="0" w:color="auto"/>
            </w:tcBorders>
            <w:shd w:val="clear" w:color="auto" w:fill="auto"/>
            <w:noWrap/>
            <w:vAlign w:val="bottom"/>
            <w:hideMark/>
          </w:tcPr>
          <w:p w14:paraId="110D39F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Tanzania</w:t>
            </w:r>
          </w:p>
        </w:tc>
        <w:tc>
          <w:tcPr>
            <w:tcW w:w="1805" w:type="dxa"/>
            <w:tcBorders>
              <w:left w:val="single" w:sz="4" w:space="0" w:color="auto"/>
            </w:tcBorders>
            <w:shd w:val="clear" w:color="auto" w:fill="auto"/>
            <w:noWrap/>
            <w:vAlign w:val="bottom"/>
            <w:hideMark/>
          </w:tcPr>
          <w:p w14:paraId="437502B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Romania</w:t>
            </w:r>
          </w:p>
        </w:tc>
        <w:tc>
          <w:tcPr>
            <w:tcW w:w="1783" w:type="dxa"/>
            <w:shd w:val="clear" w:color="auto" w:fill="auto"/>
            <w:noWrap/>
            <w:vAlign w:val="bottom"/>
            <w:hideMark/>
          </w:tcPr>
          <w:p w14:paraId="7AF5B50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Eswatini</w:t>
            </w:r>
          </w:p>
        </w:tc>
      </w:tr>
      <w:tr w:rsidR="00761A9A" w:rsidRPr="00D55A1D" w14:paraId="33EAC555" w14:textId="77777777" w:rsidTr="00354437">
        <w:trPr>
          <w:trHeight w:val="297"/>
        </w:trPr>
        <w:tc>
          <w:tcPr>
            <w:tcW w:w="1560" w:type="dxa"/>
            <w:tcBorders>
              <w:right w:val="single" w:sz="4" w:space="0" w:color="auto"/>
            </w:tcBorders>
            <w:shd w:val="clear" w:color="auto" w:fill="auto"/>
            <w:noWrap/>
            <w:vAlign w:val="bottom"/>
            <w:hideMark/>
          </w:tcPr>
          <w:p w14:paraId="6BF7A33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Sri Lanka</w:t>
            </w:r>
          </w:p>
        </w:tc>
        <w:tc>
          <w:tcPr>
            <w:tcW w:w="1570" w:type="dxa"/>
            <w:tcBorders>
              <w:left w:val="single" w:sz="4" w:space="0" w:color="auto"/>
            </w:tcBorders>
            <w:shd w:val="clear" w:color="auto" w:fill="auto"/>
            <w:noWrap/>
            <w:vAlign w:val="bottom"/>
            <w:hideMark/>
          </w:tcPr>
          <w:p w14:paraId="163D514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Poland</w:t>
            </w:r>
          </w:p>
        </w:tc>
        <w:tc>
          <w:tcPr>
            <w:tcW w:w="1863" w:type="dxa"/>
            <w:tcBorders>
              <w:right w:val="single" w:sz="4" w:space="0" w:color="auto"/>
            </w:tcBorders>
            <w:shd w:val="clear" w:color="auto" w:fill="auto"/>
            <w:noWrap/>
            <w:vAlign w:val="bottom"/>
            <w:hideMark/>
          </w:tcPr>
          <w:p w14:paraId="49647BB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Germany</w:t>
            </w:r>
          </w:p>
        </w:tc>
        <w:tc>
          <w:tcPr>
            <w:tcW w:w="1484" w:type="dxa"/>
            <w:tcBorders>
              <w:left w:val="single" w:sz="4" w:space="0" w:color="auto"/>
              <w:right w:val="single" w:sz="4" w:space="0" w:color="auto"/>
            </w:tcBorders>
            <w:shd w:val="clear" w:color="auto" w:fill="auto"/>
            <w:noWrap/>
            <w:vAlign w:val="bottom"/>
            <w:hideMark/>
          </w:tcPr>
          <w:p w14:paraId="2EEA202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Turkey</w:t>
            </w:r>
          </w:p>
        </w:tc>
        <w:tc>
          <w:tcPr>
            <w:tcW w:w="1805" w:type="dxa"/>
            <w:tcBorders>
              <w:left w:val="single" w:sz="4" w:space="0" w:color="auto"/>
            </w:tcBorders>
            <w:shd w:val="clear" w:color="auto" w:fill="auto"/>
            <w:noWrap/>
            <w:vAlign w:val="bottom"/>
            <w:hideMark/>
          </w:tcPr>
          <w:p w14:paraId="66E02C6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South Africa</w:t>
            </w:r>
          </w:p>
        </w:tc>
        <w:tc>
          <w:tcPr>
            <w:tcW w:w="1783" w:type="dxa"/>
            <w:shd w:val="clear" w:color="auto" w:fill="auto"/>
            <w:noWrap/>
            <w:vAlign w:val="bottom"/>
            <w:hideMark/>
          </w:tcPr>
          <w:p w14:paraId="4113E952"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Honduras</w:t>
            </w:r>
          </w:p>
        </w:tc>
      </w:tr>
      <w:tr w:rsidR="00761A9A" w:rsidRPr="00D55A1D" w14:paraId="42EA98FF" w14:textId="77777777" w:rsidTr="00354437">
        <w:trPr>
          <w:trHeight w:val="297"/>
        </w:trPr>
        <w:tc>
          <w:tcPr>
            <w:tcW w:w="1560" w:type="dxa"/>
            <w:tcBorders>
              <w:right w:val="single" w:sz="4" w:space="0" w:color="auto"/>
            </w:tcBorders>
            <w:shd w:val="clear" w:color="auto" w:fill="auto"/>
            <w:noWrap/>
            <w:vAlign w:val="bottom"/>
            <w:hideMark/>
          </w:tcPr>
          <w:p w14:paraId="50A11FD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Tanzania</w:t>
            </w:r>
          </w:p>
        </w:tc>
        <w:tc>
          <w:tcPr>
            <w:tcW w:w="1570" w:type="dxa"/>
            <w:tcBorders>
              <w:left w:val="single" w:sz="4" w:space="0" w:color="auto"/>
            </w:tcBorders>
            <w:shd w:val="clear" w:color="auto" w:fill="auto"/>
            <w:noWrap/>
            <w:vAlign w:val="bottom"/>
            <w:hideMark/>
          </w:tcPr>
          <w:p w14:paraId="504FBD1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Romania</w:t>
            </w:r>
          </w:p>
        </w:tc>
        <w:tc>
          <w:tcPr>
            <w:tcW w:w="1863" w:type="dxa"/>
            <w:tcBorders>
              <w:right w:val="single" w:sz="4" w:space="0" w:color="auto"/>
            </w:tcBorders>
            <w:shd w:val="clear" w:color="auto" w:fill="auto"/>
            <w:noWrap/>
            <w:vAlign w:val="bottom"/>
            <w:hideMark/>
          </w:tcPr>
          <w:p w14:paraId="1E1625D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Hong Kong, China</w:t>
            </w:r>
          </w:p>
        </w:tc>
        <w:tc>
          <w:tcPr>
            <w:tcW w:w="1484" w:type="dxa"/>
            <w:tcBorders>
              <w:left w:val="single" w:sz="4" w:space="0" w:color="auto"/>
              <w:right w:val="single" w:sz="4" w:space="0" w:color="auto"/>
            </w:tcBorders>
            <w:shd w:val="clear" w:color="auto" w:fill="auto"/>
            <w:noWrap/>
            <w:vAlign w:val="bottom"/>
            <w:hideMark/>
          </w:tcPr>
          <w:p w14:paraId="52B5DCE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Uganda</w:t>
            </w:r>
          </w:p>
        </w:tc>
        <w:tc>
          <w:tcPr>
            <w:tcW w:w="1805" w:type="dxa"/>
            <w:tcBorders>
              <w:left w:val="single" w:sz="4" w:space="0" w:color="auto"/>
            </w:tcBorders>
            <w:shd w:val="clear" w:color="auto" w:fill="auto"/>
            <w:noWrap/>
            <w:vAlign w:val="bottom"/>
            <w:hideMark/>
          </w:tcPr>
          <w:p w14:paraId="25E86E2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Spain</w:t>
            </w:r>
          </w:p>
        </w:tc>
        <w:tc>
          <w:tcPr>
            <w:tcW w:w="1783" w:type="dxa"/>
            <w:shd w:val="clear" w:color="auto" w:fill="auto"/>
            <w:noWrap/>
            <w:vAlign w:val="bottom"/>
            <w:hideMark/>
          </w:tcPr>
          <w:p w14:paraId="60D7692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Hong Kong, China</w:t>
            </w:r>
          </w:p>
        </w:tc>
      </w:tr>
      <w:tr w:rsidR="00761A9A" w:rsidRPr="00D55A1D" w14:paraId="7103205A" w14:textId="77777777" w:rsidTr="00354437">
        <w:trPr>
          <w:trHeight w:val="297"/>
        </w:trPr>
        <w:tc>
          <w:tcPr>
            <w:tcW w:w="1560" w:type="dxa"/>
            <w:tcBorders>
              <w:right w:val="single" w:sz="4" w:space="0" w:color="auto"/>
            </w:tcBorders>
            <w:shd w:val="clear" w:color="auto" w:fill="auto"/>
            <w:noWrap/>
            <w:vAlign w:val="bottom"/>
            <w:hideMark/>
          </w:tcPr>
          <w:p w14:paraId="3CFC4A9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Turkey</w:t>
            </w:r>
          </w:p>
        </w:tc>
        <w:tc>
          <w:tcPr>
            <w:tcW w:w="1570" w:type="dxa"/>
            <w:tcBorders>
              <w:left w:val="single" w:sz="4" w:space="0" w:color="auto"/>
            </w:tcBorders>
            <w:shd w:val="clear" w:color="auto" w:fill="auto"/>
            <w:noWrap/>
            <w:vAlign w:val="bottom"/>
            <w:hideMark/>
          </w:tcPr>
          <w:p w14:paraId="35C5BE5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Thailand</w:t>
            </w:r>
          </w:p>
        </w:tc>
        <w:tc>
          <w:tcPr>
            <w:tcW w:w="1863" w:type="dxa"/>
            <w:tcBorders>
              <w:right w:val="single" w:sz="4" w:space="0" w:color="auto"/>
            </w:tcBorders>
            <w:shd w:val="clear" w:color="auto" w:fill="auto"/>
            <w:noWrap/>
            <w:vAlign w:val="bottom"/>
            <w:hideMark/>
          </w:tcPr>
          <w:p w14:paraId="7E251B9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Hungary</w:t>
            </w:r>
          </w:p>
        </w:tc>
        <w:tc>
          <w:tcPr>
            <w:tcW w:w="1484" w:type="dxa"/>
            <w:tcBorders>
              <w:left w:val="single" w:sz="4" w:space="0" w:color="auto"/>
              <w:right w:val="single" w:sz="4" w:space="0" w:color="auto"/>
            </w:tcBorders>
            <w:shd w:val="clear" w:color="auto" w:fill="auto"/>
            <w:noWrap/>
            <w:vAlign w:val="bottom"/>
            <w:hideMark/>
          </w:tcPr>
          <w:p w14:paraId="70A0BBA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United States</w:t>
            </w:r>
          </w:p>
        </w:tc>
        <w:tc>
          <w:tcPr>
            <w:tcW w:w="1805" w:type="dxa"/>
            <w:tcBorders>
              <w:left w:val="single" w:sz="4" w:space="0" w:color="auto"/>
            </w:tcBorders>
            <w:shd w:val="clear" w:color="auto" w:fill="auto"/>
            <w:noWrap/>
            <w:vAlign w:val="bottom"/>
            <w:hideMark/>
          </w:tcPr>
          <w:p w14:paraId="614C1EA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Sri Lanka</w:t>
            </w:r>
          </w:p>
        </w:tc>
        <w:tc>
          <w:tcPr>
            <w:tcW w:w="1783" w:type="dxa"/>
            <w:shd w:val="clear" w:color="auto" w:fill="auto"/>
            <w:noWrap/>
            <w:vAlign w:val="bottom"/>
            <w:hideMark/>
          </w:tcPr>
          <w:p w14:paraId="403FF76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Hungary</w:t>
            </w:r>
          </w:p>
        </w:tc>
      </w:tr>
      <w:tr w:rsidR="00761A9A" w:rsidRPr="00D55A1D" w14:paraId="7CDC75F6" w14:textId="77777777" w:rsidTr="00354437">
        <w:trPr>
          <w:trHeight w:val="297"/>
        </w:trPr>
        <w:tc>
          <w:tcPr>
            <w:tcW w:w="1560" w:type="dxa"/>
            <w:tcBorders>
              <w:right w:val="single" w:sz="4" w:space="0" w:color="auto"/>
            </w:tcBorders>
            <w:shd w:val="clear" w:color="auto" w:fill="auto"/>
            <w:noWrap/>
            <w:vAlign w:val="bottom"/>
            <w:hideMark/>
          </w:tcPr>
          <w:p w14:paraId="1FFD192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Uganda</w:t>
            </w:r>
          </w:p>
        </w:tc>
        <w:tc>
          <w:tcPr>
            <w:tcW w:w="1570" w:type="dxa"/>
            <w:tcBorders>
              <w:left w:val="single" w:sz="4" w:space="0" w:color="auto"/>
            </w:tcBorders>
            <w:shd w:val="clear" w:color="auto" w:fill="auto"/>
            <w:noWrap/>
            <w:vAlign w:val="bottom"/>
            <w:hideMark/>
          </w:tcPr>
          <w:p w14:paraId="4BBABBC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Tunisia</w:t>
            </w:r>
          </w:p>
        </w:tc>
        <w:tc>
          <w:tcPr>
            <w:tcW w:w="1863" w:type="dxa"/>
            <w:tcBorders>
              <w:right w:val="single" w:sz="4" w:space="0" w:color="auto"/>
            </w:tcBorders>
            <w:shd w:val="clear" w:color="auto" w:fill="auto"/>
            <w:noWrap/>
            <w:vAlign w:val="bottom"/>
            <w:hideMark/>
          </w:tcPr>
          <w:p w14:paraId="55C23CC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Ireland</w:t>
            </w:r>
          </w:p>
        </w:tc>
        <w:tc>
          <w:tcPr>
            <w:tcW w:w="1484" w:type="dxa"/>
            <w:tcBorders>
              <w:left w:val="single" w:sz="4" w:space="0" w:color="auto"/>
              <w:right w:val="single" w:sz="4" w:space="0" w:color="auto"/>
            </w:tcBorders>
            <w:shd w:val="clear" w:color="auto" w:fill="auto"/>
            <w:noWrap/>
            <w:vAlign w:val="bottom"/>
            <w:hideMark/>
          </w:tcPr>
          <w:p w14:paraId="17A33BD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Uruguay</w:t>
            </w:r>
          </w:p>
        </w:tc>
        <w:tc>
          <w:tcPr>
            <w:tcW w:w="1805" w:type="dxa"/>
            <w:tcBorders>
              <w:left w:val="single" w:sz="4" w:space="0" w:color="auto"/>
            </w:tcBorders>
            <w:shd w:val="clear" w:color="auto" w:fill="auto"/>
            <w:noWrap/>
            <w:vAlign w:val="bottom"/>
            <w:hideMark/>
          </w:tcPr>
          <w:p w14:paraId="6C3BB039"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United Kingdom</w:t>
            </w:r>
          </w:p>
        </w:tc>
        <w:tc>
          <w:tcPr>
            <w:tcW w:w="1783" w:type="dxa"/>
            <w:shd w:val="clear" w:color="auto" w:fill="auto"/>
            <w:noWrap/>
            <w:vAlign w:val="bottom"/>
            <w:hideMark/>
          </w:tcPr>
          <w:p w14:paraId="48E463F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Ireland</w:t>
            </w:r>
          </w:p>
        </w:tc>
      </w:tr>
      <w:tr w:rsidR="00761A9A" w:rsidRPr="00D55A1D" w14:paraId="320F4827" w14:textId="77777777" w:rsidTr="00354437">
        <w:trPr>
          <w:trHeight w:val="297"/>
        </w:trPr>
        <w:tc>
          <w:tcPr>
            <w:tcW w:w="1560" w:type="dxa"/>
            <w:tcBorders>
              <w:right w:val="single" w:sz="4" w:space="0" w:color="auto"/>
            </w:tcBorders>
            <w:shd w:val="clear" w:color="auto" w:fill="auto"/>
            <w:noWrap/>
            <w:vAlign w:val="bottom"/>
            <w:hideMark/>
          </w:tcPr>
          <w:p w14:paraId="30A6602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79C335F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Australia</w:t>
            </w:r>
          </w:p>
        </w:tc>
        <w:tc>
          <w:tcPr>
            <w:tcW w:w="1863" w:type="dxa"/>
            <w:tcBorders>
              <w:right w:val="single" w:sz="4" w:space="0" w:color="auto"/>
            </w:tcBorders>
            <w:shd w:val="clear" w:color="auto" w:fill="auto"/>
            <w:noWrap/>
            <w:vAlign w:val="bottom"/>
            <w:hideMark/>
          </w:tcPr>
          <w:p w14:paraId="50FB473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Netherlands</w:t>
            </w:r>
          </w:p>
        </w:tc>
        <w:tc>
          <w:tcPr>
            <w:tcW w:w="1484" w:type="dxa"/>
            <w:tcBorders>
              <w:left w:val="single" w:sz="4" w:space="0" w:color="auto"/>
              <w:right w:val="single" w:sz="4" w:space="0" w:color="auto"/>
            </w:tcBorders>
            <w:shd w:val="clear" w:color="auto" w:fill="auto"/>
            <w:vAlign w:val="bottom"/>
          </w:tcPr>
          <w:p w14:paraId="52E7B8D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1EABAC6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Armenia</w:t>
            </w:r>
          </w:p>
        </w:tc>
        <w:tc>
          <w:tcPr>
            <w:tcW w:w="1783" w:type="dxa"/>
            <w:shd w:val="clear" w:color="auto" w:fill="auto"/>
            <w:noWrap/>
            <w:vAlign w:val="bottom"/>
            <w:hideMark/>
          </w:tcPr>
          <w:p w14:paraId="3B010AF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Lesotho</w:t>
            </w:r>
          </w:p>
        </w:tc>
      </w:tr>
      <w:tr w:rsidR="00761A9A" w:rsidRPr="00D55A1D" w14:paraId="0469F589" w14:textId="77777777" w:rsidTr="00354437">
        <w:trPr>
          <w:trHeight w:val="297"/>
        </w:trPr>
        <w:tc>
          <w:tcPr>
            <w:tcW w:w="1560" w:type="dxa"/>
            <w:tcBorders>
              <w:right w:val="single" w:sz="4" w:space="0" w:color="auto"/>
            </w:tcBorders>
            <w:shd w:val="clear" w:color="auto" w:fill="auto"/>
            <w:noWrap/>
            <w:vAlign w:val="bottom"/>
            <w:hideMark/>
          </w:tcPr>
          <w:p w14:paraId="0F4FDB82"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05A4CDD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Barbados</w:t>
            </w:r>
          </w:p>
        </w:tc>
        <w:tc>
          <w:tcPr>
            <w:tcW w:w="1863" w:type="dxa"/>
            <w:tcBorders>
              <w:right w:val="single" w:sz="4" w:space="0" w:color="auto"/>
            </w:tcBorders>
            <w:shd w:val="clear" w:color="auto" w:fill="auto"/>
            <w:noWrap/>
            <w:vAlign w:val="bottom"/>
            <w:hideMark/>
          </w:tcPr>
          <w:p w14:paraId="1E78784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Norway</w:t>
            </w:r>
          </w:p>
        </w:tc>
        <w:tc>
          <w:tcPr>
            <w:tcW w:w="1484" w:type="dxa"/>
            <w:tcBorders>
              <w:left w:val="single" w:sz="4" w:space="0" w:color="auto"/>
              <w:right w:val="single" w:sz="4" w:space="0" w:color="auto"/>
            </w:tcBorders>
            <w:shd w:val="clear" w:color="auto" w:fill="auto"/>
            <w:noWrap/>
            <w:vAlign w:val="bottom"/>
            <w:hideMark/>
          </w:tcPr>
          <w:p w14:paraId="0EAA51B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370CEBB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Austria</w:t>
            </w:r>
          </w:p>
        </w:tc>
        <w:tc>
          <w:tcPr>
            <w:tcW w:w="1783" w:type="dxa"/>
            <w:shd w:val="clear" w:color="auto" w:fill="auto"/>
            <w:noWrap/>
            <w:vAlign w:val="bottom"/>
            <w:hideMark/>
          </w:tcPr>
          <w:p w14:paraId="05BB7AF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Malaysia</w:t>
            </w:r>
          </w:p>
        </w:tc>
      </w:tr>
      <w:tr w:rsidR="00761A9A" w:rsidRPr="00D55A1D" w14:paraId="05A69898" w14:textId="77777777" w:rsidTr="00354437">
        <w:trPr>
          <w:trHeight w:val="297"/>
        </w:trPr>
        <w:tc>
          <w:tcPr>
            <w:tcW w:w="1560" w:type="dxa"/>
            <w:tcBorders>
              <w:right w:val="single" w:sz="4" w:space="0" w:color="auto"/>
            </w:tcBorders>
            <w:shd w:val="clear" w:color="auto" w:fill="auto"/>
            <w:noWrap/>
            <w:vAlign w:val="bottom"/>
            <w:hideMark/>
          </w:tcPr>
          <w:p w14:paraId="6FFD300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5F2883A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Botswana</w:t>
            </w:r>
          </w:p>
        </w:tc>
        <w:tc>
          <w:tcPr>
            <w:tcW w:w="1863" w:type="dxa"/>
            <w:tcBorders>
              <w:right w:val="single" w:sz="4" w:space="0" w:color="auto"/>
            </w:tcBorders>
            <w:shd w:val="clear" w:color="auto" w:fill="auto"/>
            <w:noWrap/>
            <w:vAlign w:val="bottom"/>
            <w:hideMark/>
          </w:tcPr>
          <w:p w14:paraId="304EF13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Panama</w:t>
            </w:r>
          </w:p>
        </w:tc>
        <w:tc>
          <w:tcPr>
            <w:tcW w:w="1484" w:type="dxa"/>
            <w:tcBorders>
              <w:left w:val="single" w:sz="4" w:space="0" w:color="auto"/>
              <w:right w:val="single" w:sz="4" w:space="0" w:color="auto"/>
            </w:tcBorders>
            <w:shd w:val="clear" w:color="auto" w:fill="auto"/>
            <w:noWrap/>
            <w:vAlign w:val="bottom"/>
            <w:hideMark/>
          </w:tcPr>
          <w:p w14:paraId="5F896FA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368D1FE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Barbados</w:t>
            </w:r>
          </w:p>
        </w:tc>
        <w:tc>
          <w:tcPr>
            <w:tcW w:w="1783" w:type="dxa"/>
            <w:shd w:val="clear" w:color="auto" w:fill="auto"/>
            <w:noWrap/>
            <w:vAlign w:val="bottom"/>
            <w:hideMark/>
          </w:tcPr>
          <w:p w14:paraId="5F0CB5C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Mongolia</w:t>
            </w:r>
          </w:p>
        </w:tc>
      </w:tr>
      <w:tr w:rsidR="00761A9A" w:rsidRPr="00D55A1D" w14:paraId="2D0ED07D" w14:textId="77777777" w:rsidTr="00354437">
        <w:trPr>
          <w:trHeight w:val="297"/>
        </w:trPr>
        <w:tc>
          <w:tcPr>
            <w:tcW w:w="1560" w:type="dxa"/>
            <w:tcBorders>
              <w:right w:val="single" w:sz="4" w:space="0" w:color="auto"/>
            </w:tcBorders>
            <w:shd w:val="clear" w:color="auto" w:fill="auto"/>
            <w:noWrap/>
            <w:vAlign w:val="bottom"/>
            <w:hideMark/>
          </w:tcPr>
          <w:p w14:paraId="6338B80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11F83F2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Bulgaria</w:t>
            </w:r>
          </w:p>
        </w:tc>
        <w:tc>
          <w:tcPr>
            <w:tcW w:w="1863" w:type="dxa"/>
            <w:tcBorders>
              <w:right w:val="single" w:sz="4" w:space="0" w:color="auto"/>
            </w:tcBorders>
            <w:shd w:val="clear" w:color="auto" w:fill="auto"/>
            <w:noWrap/>
            <w:vAlign w:val="bottom"/>
            <w:hideMark/>
          </w:tcPr>
          <w:p w14:paraId="7B9BA2D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Portugal</w:t>
            </w:r>
          </w:p>
        </w:tc>
        <w:tc>
          <w:tcPr>
            <w:tcW w:w="1484" w:type="dxa"/>
            <w:tcBorders>
              <w:left w:val="single" w:sz="4" w:space="0" w:color="auto"/>
              <w:right w:val="single" w:sz="4" w:space="0" w:color="auto"/>
            </w:tcBorders>
            <w:shd w:val="clear" w:color="auto" w:fill="auto"/>
            <w:noWrap/>
            <w:vAlign w:val="bottom"/>
            <w:hideMark/>
          </w:tcPr>
          <w:p w14:paraId="1CC4077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275F8B4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Botswana</w:t>
            </w:r>
          </w:p>
        </w:tc>
        <w:tc>
          <w:tcPr>
            <w:tcW w:w="1783" w:type="dxa"/>
            <w:shd w:val="clear" w:color="auto" w:fill="auto"/>
            <w:noWrap/>
            <w:vAlign w:val="bottom"/>
            <w:hideMark/>
          </w:tcPr>
          <w:p w14:paraId="176F8A06"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Netherlands</w:t>
            </w:r>
          </w:p>
        </w:tc>
      </w:tr>
      <w:tr w:rsidR="00761A9A" w:rsidRPr="00D55A1D" w14:paraId="571432CF" w14:textId="77777777" w:rsidTr="00354437">
        <w:trPr>
          <w:trHeight w:val="297"/>
        </w:trPr>
        <w:tc>
          <w:tcPr>
            <w:tcW w:w="1560" w:type="dxa"/>
            <w:tcBorders>
              <w:right w:val="single" w:sz="4" w:space="0" w:color="auto"/>
            </w:tcBorders>
            <w:shd w:val="clear" w:color="auto" w:fill="auto"/>
            <w:noWrap/>
            <w:vAlign w:val="bottom"/>
            <w:hideMark/>
          </w:tcPr>
          <w:p w14:paraId="2C6109C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21BFE96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Chile</w:t>
            </w:r>
          </w:p>
        </w:tc>
        <w:tc>
          <w:tcPr>
            <w:tcW w:w="1863" w:type="dxa"/>
            <w:tcBorders>
              <w:right w:val="single" w:sz="4" w:space="0" w:color="auto"/>
            </w:tcBorders>
            <w:shd w:val="clear" w:color="auto" w:fill="auto"/>
            <w:noWrap/>
            <w:vAlign w:val="bottom"/>
            <w:hideMark/>
          </w:tcPr>
          <w:p w14:paraId="5A693E4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Singapore</w:t>
            </w:r>
          </w:p>
        </w:tc>
        <w:tc>
          <w:tcPr>
            <w:tcW w:w="1484" w:type="dxa"/>
            <w:tcBorders>
              <w:left w:val="single" w:sz="4" w:space="0" w:color="auto"/>
              <w:right w:val="single" w:sz="4" w:space="0" w:color="auto"/>
            </w:tcBorders>
            <w:shd w:val="clear" w:color="auto" w:fill="auto"/>
            <w:noWrap/>
            <w:vAlign w:val="bottom"/>
            <w:hideMark/>
          </w:tcPr>
          <w:p w14:paraId="1285FB7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390BB787"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Costa Rica</w:t>
            </w:r>
          </w:p>
        </w:tc>
        <w:tc>
          <w:tcPr>
            <w:tcW w:w="1783" w:type="dxa"/>
            <w:shd w:val="clear" w:color="auto" w:fill="auto"/>
            <w:noWrap/>
            <w:vAlign w:val="bottom"/>
            <w:hideMark/>
          </w:tcPr>
          <w:p w14:paraId="118C869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Panama</w:t>
            </w:r>
          </w:p>
        </w:tc>
      </w:tr>
      <w:tr w:rsidR="00761A9A" w:rsidRPr="00D55A1D" w14:paraId="276D8280" w14:textId="77777777" w:rsidTr="00354437">
        <w:trPr>
          <w:trHeight w:val="297"/>
        </w:trPr>
        <w:tc>
          <w:tcPr>
            <w:tcW w:w="1560" w:type="dxa"/>
            <w:tcBorders>
              <w:right w:val="single" w:sz="4" w:space="0" w:color="auto"/>
            </w:tcBorders>
            <w:shd w:val="clear" w:color="auto" w:fill="auto"/>
            <w:noWrap/>
            <w:vAlign w:val="bottom"/>
            <w:hideMark/>
          </w:tcPr>
          <w:p w14:paraId="3CEE14E1"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14A3C1E0"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Czech Republic</w:t>
            </w:r>
          </w:p>
        </w:tc>
        <w:tc>
          <w:tcPr>
            <w:tcW w:w="1863" w:type="dxa"/>
            <w:tcBorders>
              <w:right w:val="single" w:sz="4" w:space="0" w:color="auto"/>
            </w:tcBorders>
            <w:shd w:val="clear" w:color="auto" w:fill="auto"/>
            <w:noWrap/>
            <w:vAlign w:val="bottom"/>
            <w:hideMark/>
          </w:tcPr>
          <w:p w14:paraId="6951627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Spain</w:t>
            </w:r>
          </w:p>
        </w:tc>
        <w:tc>
          <w:tcPr>
            <w:tcW w:w="1484" w:type="dxa"/>
            <w:tcBorders>
              <w:left w:val="single" w:sz="4" w:space="0" w:color="auto"/>
              <w:right w:val="single" w:sz="4" w:space="0" w:color="auto"/>
            </w:tcBorders>
            <w:shd w:val="clear" w:color="auto" w:fill="auto"/>
            <w:noWrap/>
            <w:vAlign w:val="bottom"/>
            <w:hideMark/>
          </w:tcPr>
          <w:p w14:paraId="723AB8D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51D1A22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El Salvador</w:t>
            </w:r>
          </w:p>
        </w:tc>
        <w:tc>
          <w:tcPr>
            <w:tcW w:w="1783" w:type="dxa"/>
            <w:shd w:val="clear" w:color="auto" w:fill="auto"/>
            <w:noWrap/>
            <w:vAlign w:val="bottom"/>
            <w:hideMark/>
          </w:tcPr>
          <w:p w14:paraId="7246F68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Singapore</w:t>
            </w:r>
          </w:p>
        </w:tc>
      </w:tr>
      <w:tr w:rsidR="00761A9A" w:rsidRPr="00D55A1D" w14:paraId="148D4666" w14:textId="77777777" w:rsidTr="00354437">
        <w:trPr>
          <w:trHeight w:val="297"/>
        </w:trPr>
        <w:tc>
          <w:tcPr>
            <w:tcW w:w="1560" w:type="dxa"/>
            <w:tcBorders>
              <w:right w:val="single" w:sz="4" w:space="0" w:color="auto"/>
            </w:tcBorders>
            <w:shd w:val="clear" w:color="auto" w:fill="auto"/>
            <w:noWrap/>
            <w:vAlign w:val="bottom"/>
            <w:hideMark/>
          </w:tcPr>
          <w:p w14:paraId="2F3424F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7E7B07F8"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Greece</w:t>
            </w:r>
          </w:p>
        </w:tc>
        <w:tc>
          <w:tcPr>
            <w:tcW w:w="1863" w:type="dxa"/>
            <w:tcBorders>
              <w:right w:val="single" w:sz="4" w:space="0" w:color="auto"/>
            </w:tcBorders>
            <w:shd w:val="clear" w:color="auto" w:fill="auto"/>
            <w:noWrap/>
            <w:vAlign w:val="bottom"/>
            <w:hideMark/>
          </w:tcPr>
          <w:p w14:paraId="50EDB90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Sweden</w:t>
            </w:r>
          </w:p>
        </w:tc>
        <w:tc>
          <w:tcPr>
            <w:tcW w:w="1484" w:type="dxa"/>
            <w:tcBorders>
              <w:left w:val="single" w:sz="4" w:space="0" w:color="auto"/>
              <w:right w:val="single" w:sz="4" w:space="0" w:color="auto"/>
            </w:tcBorders>
            <w:shd w:val="clear" w:color="auto" w:fill="auto"/>
            <w:noWrap/>
            <w:vAlign w:val="bottom"/>
            <w:hideMark/>
          </w:tcPr>
          <w:p w14:paraId="4AE0AFE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28C88FF4"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Finland</w:t>
            </w:r>
          </w:p>
        </w:tc>
        <w:tc>
          <w:tcPr>
            <w:tcW w:w="1783" w:type="dxa"/>
            <w:shd w:val="clear" w:color="auto" w:fill="auto"/>
            <w:noWrap/>
            <w:vAlign w:val="bottom"/>
            <w:hideMark/>
          </w:tcPr>
          <w:p w14:paraId="31473A1D"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Switzerland</w:t>
            </w:r>
          </w:p>
        </w:tc>
      </w:tr>
      <w:tr w:rsidR="00761A9A" w:rsidRPr="00D55A1D" w14:paraId="1C47A635" w14:textId="77777777" w:rsidTr="00354437">
        <w:trPr>
          <w:trHeight w:val="297"/>
        </w:trPr>
        <w:tc>
          <w:tcPr>
            <w:tcW w:w="1560" w:type="dxa"/>
            <w:tcBorders>
              <w:right w:val="single" w:sz="4" w:space="0" w:color="auto"/>
            </w:tcBorders>
            <w:shd w:val="clear" w:color="auto" w:fill="auto"/>
            <w:noWrap/>
            <w:vAlign w:val="bottom"/>
            <w:hideMark/>
          </w:tcPr>
          <w:p w14:paraId="0AD2850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tcBorders>
            <w:shd w:val="clear" w:color="auto" w:fill="auto"/>
            <w:noWrap/>
            <w:vAlign w:val="bottom"/>
            <w:hideMark/>
          </w:tcPr>
          <w:p w14:paraId="4947474C"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Italy</w:t>
            </w:r>
          </w:p>
        </w:tc>
        <w:tc>
          <w:tcPr>
            <w:tcW w:w="1863" w:type="dxa"/>
            <w:tcBorders>
              <w:right w:val="single" w:sz="4" w:space="0" w:color="auto"/>
            </w:tcBorders>
            <w:shd w:val="clear" w:color="auto" w:fill="auto"/>
            <w:noWrap/>
            <w:vAlign w:val="bottom"/>
            <w:hideMark/>
          </w:tcPr>
          <w:p w14:paraId="4E8706F3"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Switzerland</w:t>
            </w:r>
          </w:p>
        </w:tc>
        <w:tc>
          <w:tcPr>
            <w:tcW w:w="1484" w:type="dxa"/>
            <w:tcBorders>
              <w:left w:val="single" w:sz="4" w:space="0" w:color="auto"/>
              <w:right w:val="single" w:sz="4" w:space="0" w:color="auto"/>
            </w:tcBorders>
            <w:shd w:val="clear" w:color="auto" w:fill="auto"/>
            <w:noWrap/>
            <w:vAlign w:val="bottom"/>
            <w:hideMark/>
          </w:tcPr>
          <w:p w14:paraId="2D22780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tcBorders>
            <w:shd w:val="clear" w:color="auto" w:fill="auto"/>
            <w:noWrap/>
            <w:vAlign w:val="bottom"/>
            <w:hideMark/>
          </w:tcPr>
          <w:p w14:paraId="1E63D05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Georgia</w:t>
            </w:r>
          </w:p>
        </w:tc>
        <w:tc>
          <w:tcPr>
            <w:tcW w:w="1783" w:type="dxa"/>
            <w:shd w:val="clear" w:color="auto" w:fill="auto"/>
            <w:noWrap/>
            <w:vAlign w:val="bottom"/>
            <w:hideMark/>
          </w:tcPr>
          <w:p w14:paraId="763CF9CA"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Thailand</w:t>
            </w:r>
          </w:p>
        </w:tc>
      </w:tr>
      <w:tr w:rsidR="00761A9A" w:rsidRPr="00D55A1D" w14:paraId="5D201AFB" w14:textId="77777777" w:rsidTr="00354437">
        <w:trPr>
          <w:trHeight w:val="297"/>
        </w:trPr>
        <w:tc>
          <w:tcPr>
            <w:tcW w:w="1560" w:type="dxa"/>
            <w:tcBorders>
              <w:bottom w:val="single" w:sz="4" w:space="0" w:color="auto"/>
              <w:right w:val="single" w:sz="4" w:space="0" w:color="auto"/>
            </w:tcBorders>
            <w:shd w:val="clear" w:color="auto" w:fill="auto"/>
            <w:noWrap/>
            <w:vAlign w:val="bottom"/>
            <w:hideMark/>
          </w:tcPr>
          <w:p w14:paraId="03C0016B"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570" w:type="dxa"/>
            <w:tcBorders>
              <w:left w:val="single" w:sz="4" w:space="0" w:color="auto"/>
              <w:bottom w:val="single" w:sz="4" w:space="0" w:color="auto"/>
            </w:tcBorders>
            <w:shd w:val="clear" w:color="auto" w:fill="auto"/>
            <w:noWrap/>
            <w:vAlign w:val="bottom"/>
            <w:hideMark/>
          </w:tcPr>
          <w:p w14:paraId="78032841" w14:textId="77777777" w:rsidR="00761A9A" w:rsidRPr="00D55A1D" w:rsidRDefault="00761A9A" w:rsidP="00354437">
            <w:pPr>
              <w:spacing w:after="0" w:line="240" w:lineRule="auto"/>
              <w:ind w:firstLine="0"/>
              <w:jc w:val="left"/>
              <w:rPr>
                <w:rFonts w:eastAsia="Times New Roman" w:cstheme="majorBidi"/>
                <w:sz w:val="20"/>
                <w:szCs w:val="20"/>
                <w:lang w:eastAsia="en-NZ"/>
              </w:rPr>
            </w:pPr>
          </w:p>
        </w:tc>
        <w:tc>
          <w:tcPr>
            <w:tcW w:w="1863" w:type="dxa"/>
            <w:tcBorders>
              <w:bottom w:val="single" w:sz="4" w:space="0" w:color="auto"/>
              <w:right w:val="single" w:sz="4" w:space="0" w:color="auto"/>
            </w:tcBorders>
            <w:shd w:val="clear" w:color="auto" w:fill="auto"/>
            <w:noWrap/>
            <w:vAlign w:val="bottom"/>
            <w:hideMark/>
          </w:tcPr>
          <w:p w14:paraId="2C2C4345"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United Kingdom</w:t>
            </w:r>
          </w:p>
        </w:tc>
        <w:tc>
          <w:tcPr>
            <w:tcW w:w="1484" w:type="dxa"/>
            <w:tcBorders>
              <w:left w:val="single" w:sz="4" w:space="0" w:color="auto"/>
              <w:bottom w:val="single" w:sz="4" w:space="0" w:color="auto"/>
              <w:right w:val="single" w:sz="4" w:space="0" w:color="auto"/>
            </w:tcBorders>
            <w:shd w:val="clear" w:color="auto" w:fill="auto"/>
            <w:vAlign w:val="bottom"/>
          </w:tcPr>
          <w:p w14:paraId="391D7912"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805" w:type="dxa"/>
            <w:tcBorders>
              <w:left w:val="single" w:sz="4" w:space="0" w:color="auto"/>
              <w:bottom w:val="single" w:sz="4" w:space="0" w:color="auto"/>
            </w:tcBorders>
            <w:shd w:val="clear" w:color="auto" w:fill="auto"/>
            <w:noWrap/>
            <w:vAlign w:val="bottom"/>
            <w:hideMark/>
          </w:tcPr>
          <w:p w14:paraId="3ABA7A8F"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p>
        </w:tc>
        <w:tc>
          <w:tcPr>
            <w:tcW w:w="1783" w:type="dxa"/>
            <w:tcBorders>
              <w:bottom w:val="single" w:sz="4" w:space="0" w:color="auto"/>
            </w:tcBorders>
            <w:shd w:val="clear" w:color="auto" w:fill="auto"/>
            <w:noWrap/>
            <w:vAlign w:val="bottom"/>
            <w:hideMark/>
          </w:tcPr>
          <w:p w14:paraId="1EFCA3AE" w14:textId="77777777" w:rsidR="00761A9A" w:rsidRPr="00D55A1D" w:rsidRDefault="00761A9A" w:rsidP="00354437">
            <w:pPr>
              <w:spacing w:after="0" w:line="240" w:lineRule="auto"/>
              <w:ind w:firstLine="0"/>
              <w:jc w:val="left"/>
              <w:rPr>
                <w:rFonts w:eastAsia="Times New Roman" w:cstheme="majorBidi"/>
                <w:color w:val="000000"/>
                <w:sz w:val="20"/>
                <w:szCs w:val="20"/>
                <w:lang w:eastAsia="en-NZ"/>
              </w:rPr>
            </w:pPr>
            <w:r w:rsidRPr="00D55A1D">
              <w:rPr>
                <w:rFonts w:eastAsia="Times New Roman" w:cstheme="majorBidi"/>
                <w:color w:val="000000"/>
                <w:sz w:val="20"/>
                <w:szCs w:val="20"/>
                <w:lang w:eastAsia="en-NZ"/>
              </w:rPr>
              <w:t>Ukraine</w:t>
            </w:r>
          </w:p>
        </w:tc>
      </w:tr>
    </w:tbl>
    <w:p w14:paraId="33B8080B" w14:textId="77777777" w:rsidR="00761A9A" w:rsidRPr="00014CED" w:rsidRDefault="00761A9A" w:rsidP="00761A9A">
      <w:pPr>
        <w:spacing w:line="240" w:lineRule="auto"/>
        <w:ind w:firstLine="0"/>
      </w:pPr>
    </w:p>
    <w:p w14:paraId="40C6A09D" w14:textId="77777777" w:rsidR="00176DAD" w:rsidRPr="00B932EC" w:rsidRDefault="00176DAD" w:rsidP="00B932EC"/>
    <w:sectPr w:rsidR="00176DAD" w:rsidRPr="00B932EC" w:rsidSect="00150D22">
      <w:footerReference w:type="default" r:id="rId2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ED28C" w14:textId="77777777" w:rsidR="00026C62" w:rsidRDefault="00026C62" w:rsidP="00916652">
      <w:pPr>
        <w:spacing w:after="0" w:line="240" w:lineRule="auto"/>
      </w:pPr>
      <w:r>
        <w:separator/>
      </w:r>
    </w:p>
  </w:endnote>
  <w:endnote w:type="continuationSeparator" w:id="0">
    <w:p w14:paraId="3EF3349A" w14:textId="77777777" w:rsidR="00026C62" w:rsidRDefault="00026C62" w:rsidP="00916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SIL">
    <w:altName w:val="Calibri"/>
    <w:panose1 w:val="00000000000000000000"/>
    <w:charset w:val="00"/>
    <w:family w:val="auto"/>
    <w:notTrueType/>
    <w:pitch w:val="default"/>
    <w:sig w:usb0="00000003" w:usb1="00000000" w:usb2="00000000" w:usb3="00000000" w:csb0="00000001" w:csb1="00000000"/>
  </w:font>
  <w:font w:name="AdvGulliv-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522076"/>
      <w:docPartObj>
        <w:docPartGallery w:val="Page Numbers (Bottom of Page)"/>
        <w:docPartUnique/>
      </w:docPartObj>
    </w:sdtPr>
    <w:sdtEndPr>
      <w:rPr>
        <w:noProof/>
      </w:rPr>
    </w:sdtEndPr>
    <w:sdtContent>
      <w:p w14:paraId="1206BCB8" w14:textId="104845A9" w:rsidR="00150D22" w:rsidRDefault="00150D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1E65C8" w14:textId="77777777" w:rsidR="00C549DB" w:rsidRDefault="00C549DB" w:rsidP="00727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F7EFE" w14:textId="77777777" w:rsidR="00026C62" w:rsidRDefault="00026C62" w:rsidP="00916652">
      <w:pPr>
        <w:spacing w:after="0" w:line="240" w:lineRule="auto"/>
      </w:pPr>
      <w:r>
        <w:separator/>
      </w:r>
    </w:p>
  </w:footnote>
  <w:footnote w:type="continuationSeparator" w:id="0">
    <w:p w14:paraId="37851B3E" w14:textId="77777777" w:rsidR="00026C62" w:rsidRDefault="00026C62" w:rsidP="00916652">
      <w:pPr>
        <w:spacing w:after="0" w:line="240" w:lineRule="auto"/>
      </w:pPr>
      <w:r>
        <w:continuationSeparator/>
      </w:r>
    </w:p>
  </w:footnote>
  <w:footnote w:id="1">
    <w:p w14:paraId="3331C057" w14:textId="3701058B" w:rsidR="0012305F" w:rsidRDefault="0012305F" w:rsidP="007D5DFF">
      <w:pPr>
        <w:pStyle w:val="Footnote"/>
      </w:pPr>
      <w:r w:rsidRPr="007D5DFF">
        <w:rPr>
          <w:rStyle w:val="FootnoteReference"/>
          <w:sz w:val="22"/>
          <w:szCs w:val="22"/>
        </w:rPr>
        <w:footnoteRef/>
      </w:r>
      <w:r w:rsidRPr="007D5DFF">
        <w:rPr>
          <w:sz w:val="22"/>
          <w:szCs w:val="22"/>
        </w:rPr>
        <w:t xml:space="preserve"> See </w:t>
      </w:r>
      <w:proofErr w:type="spellStart"/>
      <w:r w:rsidRPr="007D5DFF">
        <w:rPr>
          <w:sz w:val="22"/>
          <w:szCs w:val="22"/>
        </w:rPr>
        <w:t>Furceri</w:t>
      </w:r>
      <w:proofErr w:type="spellEnd"/>
      <w:r w:rsidRPr="007D5DFF">
        <w:rPr>
          <w:sz w:val="22"/>
          <w:szCs w:val="22"/>
        </w:rPr>
        <w:t xml:space="preserve"> &amp; </w:t>
      </w:r>
      <w:proofErr w:type="spellStart"/>
      <w:r w:rsidRPr="007D5DFF">
        <w:rPr>
          <w:sz w:val="22"/>
          <w:szCs w:val="22"/>
        </w:rPr>
        <w:t>Loungani</w:t>
      </w:r>
      <w:proofErr w:type="spellEnd"/>
      <w:r w:rsidRPr="007D5DFF">
        <w:rPr>
          <w:sz w:val="22"/>
          <w:szCs w:val="22"/>
        </w:rPr>
        <w:t xml:space="preserve">, (2018) for further details. (Mills 2009) </w:t>
      </w:r>
      <w:r w:rsidR="00FB12E6" w:rsidRPr="007D5DFF">
        <w:rPr>
          <w:sz w:val="22"/>
          <w:szCs w:val="22"/>
        </w:rPr>
        <w:t>(Harrison</w:t>
      </w:r>
      <w:r w:rsidRPr="007D5DFF">
        <w:rPr>
          <w:sz w:val="22"/>
          <w:szCs w:val="22"/>
        </w:rPr>
        <w:t xml:space="preserve"> 2011 for trade openness)</w:t>
      </w:r>
    </w:p>
  </w:footnote>
  <w:footnote w:id="2">
    <w:p w14:paraId="16ACA865" w14:textId="02E2501C" w:rsidR="0012305F" w:rsidRPr="007D5DFF" w:rsidRDefault="0012305F" w:rsidP="0012305F">
      <w:pPr>
        <w:pStyle w:val="Footnote"/>
        <w:rPr>
          <w:sz w:val="22"/>
          <w:szCs w:val="22"/>
        </w:rPr>
      </w:pPr>
      <w:r w:rsidRPr="007D5DFF">
        <w:rPr>
          <w:rStyle w:val="FootnoteReference"/>
          <w:rFonts w:cstheme="majorBidi"/>
          <w:sz w:val="22"/>
          <w:szCs w:val="22"/>
        </w:rPr>
        <w:footnoteRef/>
      </w:r>
      <w:r w:rsidRPr="007D5DFF">
        <w:rPr>
          <w:sz w:val="22"/>
          <w:szCs w:val="22"/>
        </w:rPr>
        <w:t xml:space="preserve"> </w:t>
      </w:r>
      <w:r w:rsidRPr="007D5DFF">
        <w:rPr>
          <w:b/>
          <w:bCs/>
          <w:sz w:val="22"/>
          <w:szCs w:val="22"/>
        </w:rPr>
        <w:t>High and upper-middle income</w:t>
      </w:r>
      <w:r w:rsidRPr="007D5DFF">
        <w:rPr>
          <w:sz w:val="22"/>
          <w:szCs w:val="22"/>
        </w:rPr>
        <w:t xml:space="preserve"> countries include Albania, Armenia, Australia, Austria, Barbados, Belgium, Botswana, Brazil, Bulgaria, Chile, China, Colombia, Costa Rica, Czech Republic, Dominican Rep, Ecuador, Finland France, Georgia, Germany, Greece, Hong Kong, , Hungary, Ireland, Italy, Jamaica, Japan, Korea Rep., Malaysia, Mexico, Netherlands, New Zealand, Norway, Panama, Paraguay, Peru, Poland, Portugal , Romania, Singapore, South Africa, Spain, Sweden, Switzerland, Thailand, Turkey, United Kingdom, United States, and Uruguay. </w:t>
      </w:r>
      <w:r w:rsidRPr="007D5DFF">
        <w:rPr>
          <w:b/>
          <w:bCs/>
          <w:sz w:val="22"/>
          <w:szCs w:val="22"/>
        </w:rPr>
        <w:t>Low and lower-middle income</w:t>
      </w:r>
      <w:r w:rsidRPr="007D5DFF">
        <w:rPr>
          <w:sz w:val="22"/>
          <w:szCs w:val="22"/>
        </w:rPr>
        <w:t xml:space="preserve"> countries </w:t>
      </w:r>
      <w:r w:rsidR="00B15F46" w:rsidRPr="007D5DFF">
        <w:rPr>
          <w:sz w:val="22"/>
          <w:szCs w:val="22"/>
        </w:rPr>
        <w:t>include Bangladesh</w:t>
      </w:r>
      <w:r w:rsidRPr="007D5DFF">
        <w:rPr>
          <w:sz w:val="22"/>
          <w:szCs w:val="22"/>
        </w:rPr>
        <w:t>, Bolivia, Cote d'Ivoire, Egypt, El Salvador, Eswatini, Ghana, Honduras, India, Indonesia, Iran, Kenya, Lesotho, Mongolia, Nigeria, Pakistan, Philippines, Sri Lanka, Tanzania, Tunisia, Uganda, and Ukraine.</w:t>
      </w:r>
    </w:p>
    <w:p w14:paraId="78C4D58C" w14:textId="77777777" w:rsidR="0012305F" w:rsidRDefault="0012305F" w:rsidP="0012305F">
      <w:pPr>
        <w:pStyle w:val="FootnoteText"/>
      </w:pPr>
    </w:p>
  </w:footnote>
  <w:footnote w:id="3">
    <w:p w14:paraId="3241582B" w14:textId="77777777" w:rsidR="0012305F" w:rsidRPr="007D5DFF" w:rsidRDefault="0012305F" w:rsidP="0012305F">
      <w:pPr>
        <w:pStyle w:val="Footnote"/>
        <w:rPr>
          <w:sz w:val="22"/>
          <w:szCs w:val="22"/>
        </w:rPr>
      </w:pPr>
      <w:r w:rsidRPr="007D5DFF">
        <w:rPr>
          <w:rStyle w:val="FootnoteReference"/>
          <w:sz w:val="22"/>
          <w:szCs w:val="22"/>
        </w:rPr>
        <w:footnoteRef/>
      </w:r>
      <w:r w:rsidRPr="007D5DFF">
        <w:rPr>
          <w:sz w:val="22"/>
          <w:szCs w:val="22"/>
        </w:rPr>
        <w:t xml:space="preserve"> An additional advantage of the GMM estimator is that by differencing it helps to ensure that all the regressors are stationary.</w:t>
      </w:r>
    </w:p>
  </w:footnote>
  <w:footnote w:id="4">
    <w:p w14:paraId="0FE02A4A" w14:textId="77777777" w:rsidR="0012305F" w:rsidRDefault="0012305F" w:rsidP="0012305F">
      <w:pPr>
        <w:pStyle w:val="Footnote"/>
      </w:pPr>
      <w:r w:rsidRPr="007D5DFF">
        <w:rPr>
          <w:rStyle w:val="FootnoteReference"/>
          <w:sz w:val="22"/>
          <w:szCs w:val="22"/>
        </w:rPr>
        <w:footnoteRef/>
      </w:r>
      <w:r w:rsidRPr="007D5DFF">
        <w:rPr>
          <w:sz w:val="22"/>
          <w:szCs w:val="22"/>
        </w:rPr>
        <w:t xml:space="preserve"> To reduce the instrument proliferation problem that can result in biased parameter estimates, we used the “collapse” option in the xtabond2 STATA command to collapse the instrument matrix. We kept the number of instruments below the number of countries. See </w:t>
      </w:r>
      <w:proofErr w:type="spellStart"/>
      <w:r w:rsidRPr="007D5DFF">
        <w:rPr>
          <w:sz w:val="22"/>
          <w:szCs w:val="22"/>
        </w:rPr>
        <w:t>Roodman</w:t>
      </w:r>
      <w:proofErr w:type="spellEnd"/>
      <w:r w:rsidRPr="007D5DFF">
        <w:rPr>
          <w:sz w:val="22"/>
          <w:szCs w:val="22"/>
        </w:rPr>
        <w:t xml:space="preserve"> (2009) for details.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806"/>
    <w:multiLevelType w:val="hybridMultilevel"/>
    <w:tmpl w:val="CEB817C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325F56"/>
    <w:multiLevelType w:val="hybridMultilevel"/>
    <w:tmpl w:val="61965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A5650F"/>
    <w:multiLevelType w:val="hybridMultilevel"/>
    <w:tmpl w:val="DDC8BFDA"/>
    <w:lvl w:ilvl="0" w:tplc="E96A1402">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 w15:restartNumberingAfterBreak="0">
    <w:nsid w:val="0E503EBB"/>
    <w:multiLevelType w:val="multilevel"/>
    <w:tmpl w:val="1ED6483C"/>
    <w:numStyleLink w:val="styleWP"/>
  </w:abstractNum>
  <w:abstractNum w:abstractNumId="4" w15:restartNumberingAfterBreak="0">
    <w:nsid w:val="12DF2188"/>
    <w:multiLevelType w:val="multilevel"/>
    <w:tmpl w:val="60D40C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361EB1"/>
    <w:multiLevelType w:val="hybridMultilevel"/>
    <w:tmpl w:val="416A061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15:restartNumberingAfterBreak="0">
    <w:nsid w:val="18332193"/>
    <w:multiLevelType w:val="hybridMultilevel"/>
    <w:tmpl w:val="9F004514"/>
    <w:lvl w:ilvl="0" w:tplc="6F82480E">
      <w:start w:val="1"/>
      <w:numFmt w:val="bullet"/>
      <w:lvlText w:val="•"/>
      <w:lvlJc w:val="left"/>
      <w:pPr>
        <w:tabs>
          <w:tab w:val="num" w:pos="720"/>
        </w:tabs>
        <w:ind w:left="720" w:hanging="360"/>
      </w:pPr>
      <w:rPr>
        <w:rFonts w:ascii="Arial" w:hAnsi="Arial" w:hint="default"/>
      </w:rPr>
    </w:lvl>
    <w:lvl w:ilvl="1" w:tplc="CD54A72A" w:tentative="1">
      <w:start w:val="1"/>
      <w:numFmt w:val="bullet"/>
      <w:lvlText w:val="•"/>
      <w:lvlJc w:val="left"/>
      <w:pPr>
        <w:tabs>
          <w:tab w:val="num" w:pos="1440"/>
        </w:tabs>
        <w:ind w:left="1440" w:hanging="360"/>
      </w:pPr>
      <w:rPr>
        <w:rFonts w:ascii="Arial" w:hAnsi="Arial" w:hint="default"/>
      </w:rPr>
    </w:lvl>
    <w:lvl w:ilvl="2" w:tplc="9D0EBBEC" w:tentative="1">
      <w:start w:val="1"/>
      <w:numFmt w:val="bullet"/>
      <w:lvlText w:val="•"/>
      <w:lvlJc w:val="left"/>
      <w:pPr>
        <w:tabs>
          <w:tab w:val="num" w:pos="2160"/>
        </w:tabs>
        <w:ind w:left="2160" w:hanging="360"/>
      </w:pPr>
      <w:rPr>
        <w:rFonts w:ascii="Arial" w:hAnsi="Arial" w:hint="default"/>
      </w:rPr>
    </w:lvl>
    <w:lvl w:ilvl="3" w:tplc="F6CEF52E" w:tentative="1">
      <w:start w:val="1"/>
      <w:numFmt w:val="bullet"/>
      <w:lvlText w:val="•"/>
      <w:lvlJc w:val="left"/>
      <w:pPr>
        <w:tabs>
          <w:tab w:val="num" w:pos="2880"/>
        </w:tabs>
        <w:ind w:left="2880" w:hanging="360"/>
      </w:pPr>
      <w:rPr>
        <w:rFonts w:ascii="Arial" w:hAnsi="Arial" w:hint="default"/>
      </w:rPr>
    </w:lvl>
    <w:lvl w:ilvl="4" w:tplc="85F2FD76" w:tentative="1">
      <w:start w:val="1"/>
      <w:numFmt w:val="bullet"/>
      <w:lvlText w:val="•"/>
      <w:lvlJc w:val="left"/>
      <w:pPr>
        <w:tabs>
          <w:tab w:val="num" w:pos="3600"/>
        </w:tabs>
        <w:ind w:left="3600" w:hanging="360"/>
      </w:pPr>
      <w:rPr>
        <w:rFonts w:ascii="Arial" w:hAnsi="Arial" w:hint="default"/>
      </w:rPr>
    </w:lvl>
    <w:lvl w:ilvl="5" w:tplc="5A8072A4" w:tentative="1">
      <w:start w:val="1"/>
      <w:numFmt w:val="bullet"/>
      <w:lvlText w:val="•"/>
      <w:lvlJc w:val="left"/>
      <w:pPr>
        <w:tabs>
          <w:tab w:val="num" w:pos="4320"/>
        </w:tabs>
        <w:ind w:left="4320" w:hanging="360"/>
      </w:pPr>
      <w:rPr>
        <w:rFonts w:ascii="Arial" w:hAnsi="Arial" w:hint="default"/>
      </w:rPr>
    </w:lvl>
    <w:lvl w:ilvl="6" w:tplc="574A2A08" w:tentative="1">
      <w:start w:val="1"/>
      <w:numFmt w:val="bullet"/>
      <w:lvlText w:val="•"/>
      <w:lvlJc w:val="left"/>
      <w:pPr>
        <w:tabs>
          <w:tab w:val="num" w:pos="5040"/>
        </w:tabs>
        <w:ind w:left="5040" w:hanging="360"/>
      </w:pPr>
      <w:rPr>
        <w:rFonts w:ascii="Arial" w:hAnsi="Arial" w:hint="default"/>
      </w:rPr>
    </w:lvl>
    <w:lvl w:ilvl="7" w:tplc="DE0C2710" w:tentative="1">
      <w:start w:val="1"/>
      <w:numFmt w:val="bullet"/>
      <w:lvlText w:val="•"/>
      <w:lvlJc w:val="left"/>
      <w:pPr>
        <w:tabs>
          <w:tab w:val="num" w:pos="5760"/>
        </w:tabs>
        <w:ind w:left="5760" w:hanging="360"/>
      </w:pPr>
      <w:rPr>
        <w:rFonts w:ascii="Arial" w:hAnsi="Arial" w:hint="default"/>
      </w:rPr>
    </w:lvl>
    <w:lvl w:ilvl="8" w:tplc="D736B4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6E790D"/>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E0103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690C51"/>
    <w:multiLevelType w:val="multilevel"/>
    <w:tmpl w:val="1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8F27507"/>
    <w:multiLevelType w:val="hybridMultilevel"/>
    <w:tmpl w:val="4A7E2462"/>
    <w:lvl w:ilvl="0" w:tplc="D5628A68">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1" w15:restartNumberingAfterBreak="0">
    <w:nsid w:val="28F9261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266702"/>
    <w:multiLevelType w:val="hybridMultilevel"/>
    <w:tmpl w:val="EF38B9F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FE416E"/>
    <w:multiLevelType w:val="hybridMultilevel"/>
    <w:tmpl w:val="CF7A2A58"/>
    <w:lvl w:ilvl="0" w:tplc="14090013">
      <w:start w:val="1"/>
      <w:numFmt w:val="upperRoman"/>
      <w:lvlText w:val="%1."/>
      <w:lvlJc w:val="right"/>
      <w:pPr>
        <w:ind w:left="1117" w:hanging="360"/>
      </w:p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4" w15:restartNumberingAfterBreak="0">
    <w:nsid w:val="35995C6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E60346"/>
    <w:multiLevelType w:val="multilevel"/>
    <w:tmpl w:val="7556D6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825291"/>
    <w:multiLevelType w:val="hybridMultilevel"/>
    <w:tmpl w:val="7362CF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AF57EAB"/>
    <w:multiLevelType w:val="multilevel"/>
    <w:tmpl w:val="83DCF47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35115F"/>
    <w:multiLevelType w:val="hybridMultilevel"/>
    <w:tmpl w:val="1DEE8C58"/>
    <w:lvl w:ilvl="0" w:tplc="104805F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9" w15:restartNumberingAfterBreak="0">
    <w:nsid w:val="3DD95C11"/>
    <w:multiLevelType w:val="multilevel"/>
    <w:tmpl w:val="803C124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485028"/>
    <w:multiLevelType w:val="hybridMultilevel"/>
    <w:tmpl w:val="99C6A5BA"/>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1" w15:restartNumberingAfterBreak="0">
    <w:nsid w:val="47705CF7"/>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6923B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F32E2F"/>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EF3FD0"/>
    <w:multiLevelType w:val="multilevel"/>
    <w:tmpl w:val="664250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E781621"/>
    <w:multiLevelType w:val="multilevel"/>
    <w:tmpl w:val="1ED6483C"/>
    <w:numStyleLink w:val="styleWP"/>
  </w:abstractNum>
  <w:abstractNum w:abstractNumId="26" w15:restartNumberingAfterBreak="0">
    <w:nsid w:val="5075604D"/>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4D0594"/>
    <w:multiLevelType w:val="hybridMultilevel"/>
    <w:tmpl w:val="809C72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7117508"/>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8F1C97"/>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6A0171"/>
    <w:multiLevelType w:val="multilevel"/>
    <w:tmpl w:val="1ED6483C"/>
    <w:numStyleLink w:val="styleWP"/>
  </w:abstractNum>
  <w:abstractNum w:abstractNumId="31" w15:restartNumberingAfterBreak="0">
    <w:nsid w:val="6A6030C5"/>
    <w:multiLevelType w:val="multilevel"/>
    <w:tmpl w:val="1ED6483C"/>
    <w:styleLink w:val="styleWP"/>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2" w15:restartNumberingAfterBreak="0">
    <w:nsid w:val="6C553EA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F183F9C"/>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3733FA"/>
    <w:multiLevelType w:val="hybridMultilevel"/>
    <w:tmpl w:val="E3E69808"/>
    <w:lvl w:ilvl="0" w:tplc="E3BAF1C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5" w15:restartNumberingAfterBreak="0">
    <w:nsid w:val="7F936D59"/>
    <w:multiLevelType w:val="multilevel"/>
    <w:tmpl w:val="6DDA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0533049">
    <w:abstractNumId w:val="4"/>
  </w:num>
  <w:num w:numId="2" w16cid:durableId="1223372809">
    <w:abstractNumId w:val="10"/>
  </w:num>
  <w:num w:numId="3" w16cid:durableId="553783094">
    <w:abstractNumId w:val="17"/>
  </w:num>
  <w:num w:numId="4" w16cid:durableId="1534032704">
    <w:abstractNumId w:val="11"/>
  </w:num>
  <w:num w:numId="5" w16cid:durableId="610473473">
    <w:abstractNumId w:val="32"/>
  </w:num>
  <w:num w:numId="6" w16cid:durableId="688988140">
    <w:abstractNumId w:val="22"/>
  </w:num>
  <w:num w:numId="7" w16cid:durableId="1675523387">
    <w:abstractNumId w:val="8"/>
  </w:num>
  <w:num w:numId="8" w16cid:durableId="440996836">
    <w:abstractNumId w:val="24"/>
  </w:num>
  <w:num w:numId="9" w16cid:durableId="1233009920">
    <w:abstractNumId w:val="29"/>
  </w:num>
  <w:num w:numId="10" w16cid:durableId="1648778727">
    <w:abstractNumId w:val="31"/>
  </w:num>
  <w:num w:numId="11" w16cid:durableId="992678886">
    <w:abstractNumId w:val="3"/>
  </w:num>
  <w:num w:numId="12" w16cid:durableId="1761104119">
    <w:abstractNumId w:val="25"/>
  </w:num>
  <w:num w:numId="13" w16cid:durableId="48921588">
    <w:abstractNumId w:val="7"/>
  </w:num>
  <w:num w:numId="14" w16cid:durableId="991985050">
    <w:abstractNumId w:val="21"/>
  </w:num>
  <w:num w:numId="15" w16cid:durableId="416906888">
    <w:abstractNumId w:val="33"/>
  </w:num>
  <w:num w:numId="16" w16cid:durableId="1564373188">
    <w:abstractNumId w:val="30"/>
  </w:num>
  <w:num w:numId="17" w16cid:durableId="553546571">
    <w:abstractNumId w:val="23"/>
  </w:num>
  <w:num w:numId="18" w16cid:durableId="743919502">
    <w:abstractNumId w:val="26"/>
  </w:num>
  <w:num w:numId="19" w16cid:durableId="1985307742">
    <w:abstractNumId w:val="13"/>
  </w:num>
  <w:num w:numId="20" w16cid:durableId="196771694">
    <w:abstractNumId w:val="27"/>
  </w:num>
  <w:num w:numId="21" w16cid:durableId="1763259991">
    <w:abstractNumId w:val="14"/>
  </w:num>
  <w:num w:numId="22" w16cid:durableId="1830707554">
    <w:abstractNumId w:val="9"/>
  </w:num>
  <w:num w:numId="23" w16cid:durableId="1144927643">
    <w:abstractNumId w:val="28"/>
  </w:num>
  <w:num w:numId="24" w16cid:durableId="818108742">
    <w:abstractNumId w:val="1"/>
  </w:num>
  <w:num w:numId="25" w16cid:durableId="750086264">
    <w:abstractNumId w:val="12"/>
  </w:num>
  <w:num w:numId="26" w16cid:durableId="972443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35343749">
    <w:abstractNumId w:val="2"/>
  </w:num>
  <w:num w:numId="28" w16cid:durableId="1057242437">
    <w:abstractNumId w:val="16"/>
  </w:num>
  <w:num w:numId="29" w16cid:durableId="1164051325">
    <w:abstractNumId w:val="6"/>
  </w:num>
  <w:num w:numId="30" w16cid:durableId="2110731878">
    <w:abstractNumId w:val="18"/>
  </w:num>
  <w:num w:numId="31" w16cid:durableId="624892127">
    <w:abstractNumId w:val="34"/>
  </w:num>
  <w:num w:numId="32" w16cid:durableId="1396584633">
    <w:abstractNumId w:val="35"/>
  </w:num>
  <w:num w:numId="33" w16cid:durableId="1556962603">
    <w:abstractNumId w:val="0"/>
  </w:num>
  <w:num w:numId="34" w16cid:durableId="319815858">
    <w:abstractNumId w:val="20"/>
  </w:num>
  <w:num w:numId="35" w16cid:durableId="1366100405">
    <w:abstractNumId w:val="5"/>
  </w:num>
  <w:num w:numId="36" w16cid:durableId="501161376">
    <w:abstractNumId w:val="19"/>
  </w:num>
  <w:num w:numId="37" w16cid:durableId="10956372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NZ" w:vendorID="64" w:dllVersion="6" w:nlCheck="1" w:checkStyle="1"/>
  <w:activeWritingStyle w:appName="MSWord" w:lang="en-US" w:vendorID="64" w:dllVersion="6" w:nlCheck="1" w:checkStyle="1"/>
  <w:activeWritingStyle w:appName="MSWord" w:lang="en-US" w:vendorID="64" w:dllVersion="0" w:nlCheck="1" w:checkStyle="0"/>
  <w:activeWritingStyle w:appName="MSWord" w:lang="en-NZ"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3N7IwtzQxMjMzNzNX0lEKTi0uzszPAykwrgUApsMwDi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31F8E"/>
    <w:rsid w:val="00001896"/>
    <w:rsid w:val="00001C5B"/>
    <w:rsid w:val="00002211"/>
    <w:rsid w:val="000026A6"/>
    <w:rsid w:val="00002783"/>
    <w:rsid w:val="00002792"/>
    <w:rsid w:val="00002B0F"/>
    <w:rsid w:val="000036B0"/>
    <w:rsid w:val="00003DB7"/>
    <w:rsid w:val="00003EC8"/>
    <w:rsid w:val="000042AA"/>
    <w:rsid w:val="00005865"/>
    <w:rsid w:val="00005C9D"/>
    <w:rsid w:val="000063DA"/>
    <w:rsid w:val="00006812"/>
    <w:rsid w:val="00006D3F"/>
    <w:rsid w:val="00006EE5"/>
    <w:rsid w:val="000079C4"/>
    <w:rsid w:val="00007F55"/>
    <w:rsid w:val="000104D8"/>
    <w:rsid w:val="000108EF"/>
    <w:rsid w:val="00010CAF"/>
    <w:rsid w:val="0001289E"/>
    <w:rsid w:val="00013468"/>
    <w:rsid w:val="00014407"/>
    <w:rsid w:val="0001458A"/>
    <w:rsid w:val="000155D8"/>
    <w:rsid w:val="00015742"/>
    <w:rsid w:val="000159D0"/>
    <w:rsid w:val="00015FF5"/>
    <w:rsid w:val="00016408"/>
    <w:rsid w:val="000169D5"/>
    <w:rsid w:val="00017505"/>
    <w:rsid w:val="000176E7"/>
    <w:rsid w:val="00017A85"/>
    <w:rsid w:val="0002050F"/>
    <w:rsid w:val="00020809"/>
    <w:rsid w:val="00020A47"/>
    <w:rsid w:val="0002145C"/>
    <w:rsid w:val="000217D5"/>
    <w:rsid w:val="00021DF4"/>
    <w:rsid w:val="0002252A"/>
    <w:rsid w:val="00023C03"/>
    <w:rsid w:val="00023DAB"/>
    <w:rsid w:val="0002454F"/>
    <w:rsid w:val="00025B42"/>
    <w:rsid w:val="000265E4"/>
    <w:rsid w:val="00026ADB"/>
    <w:rsid w:val="00026C62"/>
    <w:rsid w:val="0002766D"/>
    <w:rsid w:val="00027828"/>
    <w:rsid w:val="00030234"/>
    <w:rsid w:val="000303D3"/>
    <w:rsid w:val="00030575"/>
    <w:rsid w:val="000310C2"/>
    <w:rsid w:val="00031C67"/>
    <w:rsid w:val="00031F27"/>
    <w:rsid w:val="00032725"/>
    <w:rsid w:val="00033884"/>
    <w:rsid w:val="000345D8"/>
    <w:rsid w:val="00034A24"/>
    <w:rsid w:val="00034F58"/>
    <w:rsid w:val="00034F63"/>
    <w:rsid w:val="000373C9"/>
    <w:rsid w:val="000377B7"/>
    <w:rsid w:val="00040D13"/>
    <w:rsid w:val="000415BF"/>
    <w:rsid w:val="0004161D"/>
    <w:rsid w:val="000419EF"/>
    <w:rsid w:val="0004230B"/>
    <w:rsid w:val="00042889"/>
    <w:rsid w:val="00042E99"/>
    <w:rsid w:val="000434F3"/>
    <w:rsid w:val="000435E2"/>
    <w:rsid w:val="000435F3"/>
    <w:rsid w:val="000436A6"/>
    <w:rsid w:val="000436B3"/>
    <w:rsid w:val="000451E2"/>
    <w:rsid w:val="00045ADB"/>
    <w:rsid w:val="00047256"/>
    <w:rsid w:val="000472A7"/>
    <w:rsid w:val="00047F4C"/>
    <w:rsid w:val="00050426"/>
    <w:rsid w:val="00050AD1"/>
    <w:rsid w:val="00050F0B"/>
    <w:rsid w:val="0005291D"/>
    <w:rsid w:val="00052C60"/>
    <w:rsid w:val="00053007"/>
    <w:rsid w:val="000533D3"/>
    <w:rsid w:val="0005526A"/>
    <w:rsid w:val="0005529D"/>
    <w:rsid w:val="00055F82"/>
    <w:rsid w:val="00056958"/>
    <w:rsid w:val="00057561"/>
    <w:rsid w:val="00057B9A"/>
    <w:rsid w:val="00057FB1"/>
    <w:rsid w:val="00061141"/>
    <w:rsid w:val="00061447"/>
    <w:rsid w:val="00061951"/>
    <w:rsid w:val="000623EE"/>
    <w:rsid w:val="0006324F"/>
    <w:rsid w:val="00063EF9"/>
    <w:rsid w:val="000643BD"/>
    <w:rsid w:val="00065C44"/>
    <w:rsid w:val="0006631B"/>
    <w:rsid w:val="00066B5A"/>
    <w:rsid w:val="00067D60"/>
    <w:rsid w:val="00070803"/>
    <w:rsid w:val="00070F6D"/>
    <w:rsid w:val="00071517"/>
    <w:rsid w:val="00071AE4"/>
    <w:rsid w:val="00071FA9"/>
    <w:rsid w:val="00072010"/>
    <w:rsid w:val="00072800"/>
    <w:rsid w:val="000737DE"/>
    <w:rsid w:val="000740DC"/>
    <w:rsid w:val="00074187"/>
    <w:rsid w:val="00075BD7"/>
    <w:rsid w:val="00076C47"/>
    <w:rsid w:val="00077924"/>
    <w:rsid w:val="000801C2"/>
    <w:rsid w:val="00080579"/>
    <w:rsid w:val="000806F4"/>
    <w:rsid w:val="0008082E"/>
    <w:rsid w:val="00080C38"/>
    <w:rsid w:val="00080D05"/>
    <w:rsid w:val="00082D9B"/>
    <w:rsid w:val="0008577B"/>
    <w:rsid w:val="00085A2A"/>
    <w:rsid w:val="000862C6"/>
    <w:rsid w:val="00086319"/>
    <w:rsid w:val="00086F10"/>
    <w:rsid w:val="000879AB"/>
    <w:rsid w:val="00087B3A"/>
    <w:rsid w:val="00090861"/>
    <w:rsid w:val="00091315"/>
    <w:rsid w:val="0009191E"/>
    <w:rsid w:val="000920AB"/>
    <w:rsid w:val="000925C2"/>
    <w:rsid w:val="00092920"/>
    <w:rsid w:val="00093BA0"/>
    <w:rsid w:val="0009441D"/>
    <w:rsid w:val="0009493C"/>
    <w:rsid w:val="00094B10"/>
    <w:rsid w:val="0009687F"/>
    <w:rsid w:val="00096C37"/>
    <w:rsid w:val="00097344"/>
    <w:rsid w:val="000973E9"/>
    <w:rsid w:val="0009741F"/>
    <w:rsid w:val="00097702"/>
    <w:rsid w:val="000A0367"/>
    <w:rsid w:val="000A0514"/>
    <w:rsid w:val="000A0E2A"/>
    <w:rsid w:val="000A0E4A"/>
    <w:rsid w:val="000A1F59"/>
    <w:rsid w:val="000A2609"/>
    <w:rsid w:val="000A2BF7"/>
    <w:rsid w:val="000A40E8"/>
    <w:rsid w:val="000A50B3"/>
    <w:rsid w:val="000A5675"/>
    <w:rsid w:val="000A594C"/>
    <w:rsid w:val="000A6780"/>
    <w:rsid w:val="000A7F64"/>
    <w:rsid w:val="000B00EA"/>
    <w:rsid w:val="000B0C13"/>
    <w:rsid w:val="000B0D72"/>
    <w:rsid w:val="000B0E6B"/>
    <w:rsid w:val="000B0EBF"/>
    <w:rsid w:val="000B2801"/>
    <w:rsid w:val="000B3FED"/>
    <w:rsid w:val="000B415D"/>
    <w:rsid w:val="000B421A"/>
    <w:rsid w:val="000B51B6"/>
    <w:rsid w:val="000B52CA"/>
    <w:rsid w:val="000B6030"/>
    <w:rsid w:val="000B72C3"/>
    <w:rsid w:val="000C02B0"/>
    <w:rsid w:val="000C1794"/>
    <w:rsid w:val="000C1A2D"/>
    <w:rsid w:val="000C1AD4"/>
    <w:rsid w:val="000C2B97"/>
    <w:rsid w:val="000C3105"/>
    <w:rsid w:val="000C37D1"/>
    <w:rsid w:val="000C4031"/>
    <w:rsid w:val="000C4C8A"/>
    <w:rsid w:val="000C4D76"/>
    <w:rsid w:val="000C555E"/>
    <w:rsid w:val="000C5971"/>
    <w:rsid w:val="000C5F5A"/>
    <w:rsid w:val="000C6780"/>
    <w:rsid w:val="000C6DA6"/>
    <w:rsid w:val="000D11E0"/>
    <w:rsid w:val="000D1967"/>
    <w:rsid w:val="000D3695"/>
    <w:rsid w:val="000D3A88"/>
    <w:rsid w:val="000D4DB7"/>
    <w:rsid w:val="000D500D"/>
    <w:rsid w:val="000D59D9"/>
    <w:rsid w:val="000D5E24"/>
    <w:rsid w:val="000D5E94"/>
    <w:rsid w:val="000D62EE"/>
    <w:rsid w:val="000D6614"/>
    <w:rsid w:val="000D69D6"/>
    <w:rsid w:val="000D7289"/>
    <w:rsid w:val="000D7756"/>
    <w:rsid w:val="000D7C1B"/>
    <w:rsid w:val="000E0421"/>
    <w:rsid w:val="000E0603"/>
    <w:rsid w:val="000E140C"/>
    <w:rsid w:val="000E1C97"/>
    <w:rsid w:val="000E262D"/>
    <w:rsid w:val="000E2B33"/>
    <w:rsid w:val="000E448A"/>
    <w:rsid w:val="000E4E3B"/>
    <w:rsid w:val="000E5403"/>
    <w:rsid w:val="000E5A7E"/>
    <w:rsid w:val="000E5BA5"/>
    <w:rsid w:val="000E639B"/>
    <w:rsid w:val="000E6A6A"/>
    <w:rsid w:val="000F00C6"/>
    <w:rsid w:val="000F0364"/>
    <w:rsid w:val="000F1AD9"/>
    <w:rsid w:val="000F28A4"/>
    <w:rsid w:val="000F4348"/>
    <w:rsid w:val="000F465A"/>
    <w:rsid w:val="000F46B2"/>
    <w:rsid w:val="000F619D"/>
    <w:rsid w:val="000F62E0"/>
    <w:rsid w:val="000F6421"/>
    <w:rsid w:val="000F69BD"/>
    <w:rsid w:val="000F72D7"/>
    <w:rsid w:val="000F7577"/>
    <w:rsid w:val="00100A2D"/>
    <w:rsid w:val="00100ECD"/>
    <w:rsid w:val="00100FD5"/>
    <w:rsid w:val="001016C9"/>
    <w:rsid w:val="00101B2D"/>
    <w:rsid w:val="001029E0"/>
    <w:rsid w:val="0010361C"/>
    <w:rsid w:val="00103EF5"/>
    <w:rsid w:val="00104947"/>
    <w:rsid w:val="00104FBD"/>
    <w:rsid w:val="001065B9"/>
    <w:rsid w:val="00106675"/>
    <w:rsid w:val="001069FF"/>
    <w:rsid w:val="00107BED"/>
    <w:rsid w:val="00107DA7"/>
    <w:rsid w:val="00107E65"/>
    <w:rsid w:val="00110140"/>
    <w:rsid w:val="00110146"/>
    <w:rsid w:val="0011020F"/>
    <w:rsid w:val="00110433"/>
    <w:rsid w:val="001112A9"/>
    <w:rsid w:val="001116CB"/>
    <w:rsid w:val="00112A63"/>
    <w:rsid w:val="00112F73"/>
    <w:rsid w:val="00113F60"/>
    <w:rsid w:val="0011529D"/>
    <w:rsid w:val="001164D0"/>
    <w:rsid w:val="00116AF3"/>
    <w:rsid w:val="00116CF1"/>
    <w:rsid w:val="00117630"/>
    <w:rsid w:val="001214C1"/>
    <w:rsid w:val="00122217"/>
    <w:rsid w:val="001223F3"/>
    <w:rsid w:val="00122EC4"/>
    <w:rsid w:val="00122FBF"/>
    <w:rsid w:val="0012305F"/>
    <w:rsid w:val="001236F3"/>
    <w:rsid w:val="00124B5B"/>
    <w:rsid w:val="00124D0F"/>
    <w:rsid w:val="001255A9"/>
    <w:rsid w:val="00125EF8"/>
    <w:rsid w:val="00126392"/>
    <w:rsid w:val="00126AB2"/>
    <w:rsid w:val="00127687"/>
    <w:rsid w:val="00127B8A"/>
    <w:rsid w:val="0013100C"/>
    <w:rsid w:val="001312B5"/>
    <w:rsid w:val="00131E35"/>
    <w:rsid w:val="00131E3B"/>
    <w:rsid w:val="00133C3B"/>
    <w:rsid w:val="00134D9C"/>
    <w:rsid w:val="0013511F"/>
    <w:rsid w:val="0013560B"/>
    <w:rsid w:val="0013576B"/>
    <w:rsid w:val="001357FF"/>
    <w:rsid w:val="00135A66"/>
    <w:rsid w:val="00135C2A"/>
    <w:rsid w:val="001369C5"/>
    <w:rsid w:val="00137F89"/>
    <w:rsid w:val="001404E2"/>
    <w:rsid w:val="001414B9"/>
    <w:rsid w:val="00141CF1"/>
    <w:rsid w:val="00142045"/>
    <w:rsid w:val="0014299C"/>
    <w:rsid w:val="00142AC0"/>
    <w:rsid w:val="00143C8B"/>
    <w:rsid w:val="001448BA"/>
    <w:rsid w:val="00144BBA"/>
    <w:rsid w:val="00144F12"/>
    <w:rsid w:val="001450E2"/>
    <w:rsid w:val="00145D45"/>
    <w:rsid w:val="0014688A"/>
    <w:rsid w:val="00146CD4"/>
    <w:rsid w:val="00147360"/>
    <w:rsid w:val="00150D22"/>
    <w:rsid w:val="00151221"/>
    <w:rsid w:val="001515DA"/>
    <w:rsid w:val="00151A0D"/>
    <w:rsid w:val="00151C4B"/>
    <w:rsid w:val="00152167"/>
    <w:rsid w:val="0015251D"/>
    <w:rsid w:val="00153B27"/>
    <w:rsid w:val="00153C55"/>
    <w:rsid w:val="00153E56"/>
    <w:rsid w:val="00153E75"/>
    <w:rsid w:val="001541C0"/>
    <w:rsid w:val="001546FF"/>
    <w:rsid w:val="00154C16"/>
    <w:rsid w:val="0015553C"/>
    <w:rsid w:val="00155721"/>
    <w:rsid w:val="00155747"/>
    <w:rsid w:val="00155999"/>
    <w:rsid w:val="00155AE4"/>
    <w:rsid w:val="001567B4"/>
    <w:rsid w:val="001569DE"/>
    <w:rsid w:val="001573EA"/>
    <w:rsid w:val="0015785F"/>
    <w:rsid w:val="00157ABD"/>
    <w:rsid w:val="00157C90"/>
    <w:rsid w:val="00161633"/>
    <w:rsid w:val="0016216C"/>
    <w:rsid w:val="0016230F"/>
    <w:rsid w:val="001627CD"/>
    <w:rsid w:val="0016388A"/>
    <w:rsid w:val="00164C53"/>
    <w:rsid w:val="00164CB6"/>
    <w:rsid w:val="00164E9A"/>
    <w:rsid w:val="00164FF2"/>
    <w:rsid w:val="00165BF7"/>
    <w:rsid w:val="0016637F"/>
    <w:rsid w:val="0016706D"/>
    <w:rsid w:val="00170895"/>
    <w:rsid w:val="00170BDC"/>
    <w:rsid w:val="001727AD"/>
    <w:rsid w:val="00173F38"/>
    <w:rsid w:val="00174A45"/>
    <w:rsid w:val="00175BD3"/>
    <w:rsid w:val="00175D7A"/>
    <w:rsid w:val="00176004"/>
    <w:rsid w:val="001762E3"/>
    <w:rsid w:val="00176C27"/>
    <w:rsid w:val="00176DAD"/>
    <w:rsid w:val="0018091B"/>
    <w:rsid w:val="00181A16"/>
    <w:rsid w:val="001823F3"/>
    <w:rsid w:val="001826BE"/>
    <w:rsid w:val="00184290"/>
    <w:rsid w:val="001858CC"/>
    <w:rsid w:val="00186ACA"/>
    <w:rsid w:val="00186C52"/>
    <w:rsid w:val="0018721D"/>
    <w:rsid w:val="00187C01"/>
    <w:rsid w:val="00190488"/>
    <w:rsid w:val="001907E9"/>
    <w:rsid w:val="00191CF8"/>
    <w:rsid w:val="0019321F"/>
    <w:rsid w:val="00193A8B"/>
    <w:rsid w:val="001942B3"/>
    <w:rsid w:val="00194B57"/>
    <w:rsid w:val="00195594"/>
    <w:rsid w:val="00195688"/>
    <w:rsid w:val="00195E1B"/>
    <w:rsid w:val="00196806"/>
    <w:rsid w:val="001971D9"/>
    <w:rsid w:val="001A03C6"/>
    <w:rsid w:val="001A077D"/>
    <w:rsid w:val="001A1388"/>
    <w:rsid w:val="001A1950"/>
    <w:rsid w:val="001A19EF"/>
    <w:rsid w:val="001A2328"/>
    <w:rsid w:val="001A2CD9"/>
    <w:rsid w:val="001A376F"/>
    <w:rsid w:val="001A3FCB"/>
    <w:rsid w:val="001A4E3D"/>
    <w:rsid w:val="001A5125"/>
    <w:rsid w:val="001A5256"/>
    <w:rsid w:val="001A5A0D"/>
    <w:rsid w:val="001A6E14"/>
    <w:rsid w:val="001A764F"/>
    <w:rsid w:val="001B01B6"/>
    <w:rsid w:val="001B1536"/>
    <w:rsid w:val="001B1B1C"/>
    <w:rsid w:val="001B1ED2"/>
    <w:rsid w:val="001B37F3"/>
    <w:rsid w:val="001B393A"/>
    <w:rsid w:val="001B3CCB"/>
    <w:rsid w:val="001B3CDE"/>
    <w:rsid w:val="001B4BA6"/>
    <w:rsid w:val="001B629E"/>
    <w:rsid w:val="001B659C"/>
    <w:rsid w:val="001B67A8"/>
    <w:rsid w:val="001B6DD7"/>
    <w:rsid w:val="001B7597"/>
    <w:rsid w:val="001B75A9"/>
    <w:rsid w:val="001B7727"/>
    <w:rsid w:val="001B777F"/>
    <w:rsid w:val="001B77A9"/>
    <w:rsid w:val="001B7B19"/>
    <w:rsid w:val="001C02A8"/>
    <w:rsid w:val="001C03E5"/>
    <w:rsid w:val="001C0B36"/>
    <w:rsid w:val="001C181A"/>
    <w:rsid w:val="001C18EB"/>
    <w:rsid w:val="001C212F"/>
    <w:rsid w:val="001C3241"/>
    <w:rsid w:val="001C3CF2"/>
    <w:rsid w:val="001C4D12"/>
    <w:rsid w:val="001C585A"/>
    <w:rsid w:val="001C613E"/>
    <w:rsid w:val="001C6347"/>
    <w:rsid w:val="001C63C5"/>
    <w:rsid w:val="001C6C88"/>
    <w:rsid w:val="001C72B9"/>
    <w:rsid w:val="001D071E"/>
    <w:rsid w:val="001D087C"/>
    <w:rsid w:val="001D11DF"/>
    <w:rsid w:val="001D121B"/>
    <w:rsid w:val="001D181C"/>
    <w:rsid w:val="001D1926"/>
    <w:rsid w:val="001D1FA6"/>
    <w:rsid w:val="001D26DA"/>
    <w:rsid w:val="001D322E"/>
    <w:rsid w:val="001D4677"/>
    <w:rsid w:val="001D46DA"/>
    <w:rsid w:val="001D47C2"/>
    <w:rsid w:val="001D5C0B"/>
    <w:rsid w:val="001D6103"/>
    <w:rsid w:val="001D700B"/>
    <w:rsid w:val="001D7984"/>
    <w:rsid w:val="001E1AE5"/>
    <w:rsid w:val="001E2FDE"/>
    <w:rsid w:val="001E40CB"/>
    <w:rsid w:val="001E43B0"/>
    <w:rsid w:val="001E4A57"/>
    <w:rsid w:val="001E4AB0"/>
    <w:rsid w:val="001E5C1C"/>
    <w:rsid w:val="001F0316"/>
    <w:rsid w:val="001F1EBC"/>
    <w:rsid w:val="001F1FD1"/>
    <w:rsid w:val="001F2761"/>
    <w:rsid w:val="001F27EF"/>
    <w:rsid w:val="001F2F1E"/>
    <w:rsid w:val="001F3866"/>
    <w:rsid w:val="001F3B48"/>
    <w:rsid w:val="001F419F"/>
    <w:rsid w:val="001F47F0"/>
    <w:rsid w:val="001F49ED"/>
    <w:rsid w:val="001F4B70"/>
    <w:rsid w:val="001F4F49"/>
    <w:rsid w:val="001F5B55"/>
    <w:rsid w:val="001F6671"/>
    <w:rsid w:val="001F6CB3"/>
    <w:rsid w:val="001F6E30"/>
    <w:rsid w:val="001F7E82"/>
    <w:rsid w:val="0020161C"/>
    <w:rsid w:val="0020391A"/>
    <w:rsid w:val="002039BA"/>
    <w:rsid w:val="00205CB4"/>
    <w:rsid w:val="00206EF8"/>
    <w:rsid w:val="002077DC"/>
    <w:rsid w:val="00207832"/>
    <w:rsid w:val="00210CC6"/>
    <w:rsid w:val="00210F23"/>
    <w:rsid w:val="0021140D"/>
    <w:rsid w:val="00211C9E"/>
    <w:rsid w:val="00211EDB"/>
    <w:rsid w:val="00213317"/>
    <w:rsid w:val="0021362F"/>
    <w:rsid w:val="00213F7C"/>
    <w:rsid w:val="00214F12"/>
    <w:rsid w:val="002154A1"/>
    <w:rsid w:val="00215EF3"/>
    <w:rsid w:val="00216762"/>
    <w:rsid w:val="00216D3C"/>
    <w:rsid w:val="00216D4F"/>
    <w:rsid w:val="00217E45"/>
    <w:rsid w:val="00220B42"/>
    <w:rsid w:val="00220DA8"/>
    <w:rsid w:val="00220EDE"/>
    <w:rsid w:val="002217C8"/>
    <w:rsid w:val="0022355B"/>
    <w:rsid w:val="00223846"/>
    <w:rsid w:val="00224656"/>
    <w:rsid w:val="00224929"/>
    <w:rsid w:val="00224D40"/>
    <w:rsid w:val="00224DCA"/>
    <w:rsid w:val="00224F7F"/>
    <w:rsid w:val="00225842"/>
    <w:rsid w:val="00225AB5"/>
    <w:rsid w:val="0022675B"/>
    <w:rsid w:val="0022691F"/>
    <w:rsid w:val="00226B89"/>
    <w:rsid w:val="00226BB8"/>
    <w:rsid w:val="002303C5"/>
    <w:rsid w:val="00230F23"/>
    <w:rsid w:val="00231421"/>
    <w:rsid w:val="00231773"/>
    <w:rsid w:val="00232887"/>
    <w:rsid w:val="002328F7"/>
    <w:rsid w:val="00233167"/>
    <w:rsid w:val="002334DF"/>
    <w:rsid w:val="00233C71"/>
    <w:rsid w:val="00233FE0"/>
    <w:rsid w:val="002342A6"/>
    <w:rsid w:val="00235C1D"/>
    <w:rsid w:val="002362AD"/>
    <w:rsid w:val="00237050"/>
    <w:rsid w:val="00240751"/>
    <w:rsid w:val="00241824"/>
    <w:rsid w:val="002429B4"/>
    <w:rsid w:val="00243352"/>
    <w:rsid w:val="00243A90"/>
    <w:rsid w:val="00243C25"/>
    <w:rsid w:val="002444B4"/>
    <w:rsid w:val="00244DEF"/>
    <w:rsid w:val="00245E0E"/>
    <w:rsid w:val="002464BE"/>
    <w:rsid w:val="00247B87"/>
    <w:rsid w:val="00247D90"/>
    <w:rsid w:val="00250A27"/>
    <w:rsid w:val="00250BD5"/>
    <w:rsid w:val="00250D11"/>
    <w:rsid w:val="00250FD4"/>
    <w:rsid w:val="00252915"/>
    <w:rsid w:val="0025343C"/>
    <w:rsid w:val="002539C7"/>
    <w:rsid w:val="00253BA4"/>
    <w:rsid w:val="00253C56"/>
    <w:rsid w:val="00253D37"/>
    <w:rsid w:val="0025457E"/>
    <w:rsid w:val="00254C9D"/>
    <w:rsid w:val="0025559E"/>
    <w:rsid w:val="0025563D"/>
    <w:rsid w:val="002559B8"/>
    <w:rsid w:val="0025635C"/>
    <w:rsid w:val="0025714E"/>
    <w:rsid w:val="002575BD"/>
    <w:rsid w:val="002604D5"/>
    <w:rsid w:val="00261B43"/>
    <w:rsid w:val="002628D2"/>
    <w:rsid w:val="002630C5"/>
    <w:rsid w:val="00263805"/>
    <w:rsid w:val="002639EE"/>
    <w:rsid w:val="00263CBD"/>
    <w:rsid w:val="00264028"/>
    <w:rsid w:val="00264282"/>
    <w:rsid w:val="002642BF"/>
    <w:rsid w:val="00264A16"/>
    <w:rsid w:val="00265332"/>
    <w:rsid w:val="00265CA3"/>
    <w:rsid w:val="00265E97"/>
    <w:rsid w:val="002671B9"/>
    <w:rsid w:val="00267B12"/>
    <w:rsid w:val="00270672"/>
    <w:rsid w:val="00273107"/>
    <w:rsid w:val="00273ACC"/>
    <w:rsid w:val="00273FD7"/>
    <w:rsid w:val="002745BD"/>
    <w:rsid w:val="0027463B"/>
    <w:rsid w:val="002761C9"/>
    <w:rsid w:val="00276917"/>
    <w:rsid w:val="00276E89"/>
    <w:rsid w:val="00277B16"/>
    <w:rsid w:val="00280607"/>
    <w:rsid w:val="002808B8"/>
    <w:rsid w:val="00281667"/>
    <w:rsid w:val="00282EB2"/>
    <w:rsid w:val="00282ED3"/>
    <w:rsid w:val="00283385"/>
    <w:rsid w:val="002839FF"/>
    <w:rsid w:val="00284C77"/>
    <w:rsid w:val="00284CF7"/>
    <w:rsid w:val="00286D12"/>
    <w:rsid w:val="00286D51"/>
    <w:rsid w:val="00286F60"/>
    <w:rsid w:val="00287097"/>
    <w:rsid w:val="00287231"/>
    <w:rsid w:val="00287FC8"/>
    <w:rsid w:val="00290423"/>
    <w:rsid w:val="002913DA"/>
    <w:rsid w:val="0029197D"/>
    <w:rsid w:val="00291CF5"/>
    <w:rsid w:val="0029233E"/>
    <w:rsid w:val="0029278E"/>
    <w:rsid w:val="00292E0D"/>
    <w:rsid w:val="002931A4"/>
    <w:rsid w:val="00293798"/>
    <w:rsid w:val="00293AA4"/>
    <w:rsid w:val="00293D8F"/>
    <w:rsid w:val="00293F56"/>
    <w:rsid w:val="0029418B"/>
    <w:rsid w:val="002947D9"/>
    <w:rsid w:val="00294B59"/>
    <w:rsid w:val="00294BCE"/>
    <w:rsid w:val="00295541"/>
    <w:rsid w:val="0029574D"/>
    <w:rsid w:val="002958D0"/>
    <w:rsid w:val="002970B5"/>
    <w:rsid w:val="00297A9C"/>
    <w:rsid w:val="002A00B6"/>
    <w:rsid w:val="002A0482"/>
    <w:rsid w:val="002A220F"/>
    <w:rsid w:val="002A228C"/>
    <w:rsid w:val="002A274E"/>
    <w:rsid w:val="002A3219"/>
    <w:rsid w:val="002A33B9"/>
    <w:rsid w:val="002A3F1B"/>
    <w:rsid w:val="002A5F74"/>
    <w:rsid w:val="002A720D"/>
    <w:rsid w:val="002A7A40"/>
    <w:rsid w:val="002B0365"/>
    <w:rsid w:val="002B0A15"/>
    <w:rsid w:val="002B0CAD"/>
    <w:rsid w:val="002B0D74"/>
    <w:rsid w:val="002B1529"/>
    <w:rsid w:val="002B3877"/>
    <w:rsid w:val="002B3947"/>
    <w:rsid w:val="002B3DF5"/>
    <w:rsid w:val="002B5671"/>
    <w:rsid w:val="002B66B4"/>
    <w:rsid w:val="002B6DF8"/>
    <w:rsid w:val="002B757B"/>
    <w:rsid w:val="002B76C5"/>
    <w:rsid w:val="002B7CE8"/>
    <w:rsid w:val="002B7F1E"/>
    <w:rsid w:val="002C0821"/>
    <w:rsid w:val="002C0C29"/>
    <w:rsid w:val="002C104C"/>
    <w:rsid w:val="002C1198"/>
    <w:rsid w:val="002C13CC"/>
    <w:rsid w:val="002C1480"/>
    <w:rsid w:val="002C1906"/>
    <w:rsid w:val="002C23D1"/>
    <w:rsid w:val="002C241C"/>
    <w:rsid w:val="002C258C"/>
    <w:rsid w:val="002C25A0"/>
    <w:rsid w:val="002C4914"/>
    <w:rsid w:val="002C5297"/>
    <w:rsid w:val="002C5A54"/>
    <w:rsid w:val="002C5A84"/>
    <w:rsid w:val="002C612A"/>
    <w:rsid w:val="002C630C"/>
    <w:rsid w:val="002C6880"/>
    <w:rsid w:val="002C7FE1"/>
    <w:rsid w:val="002D045B"/>
    <w:rsid w:val="002D0785"/>
    <w:rsid w:val="002D17EC"/>
    <w:rsid w:val="002D264B"/>
    <w:rsid w:val="002D2ED8"/>
    <w:rsid w:val="002D4D07"/>
    <w:rsid w:val="002D504C"/>
    <w:rsid w:val="002D5EF2"/>
    <w:rsid w:val="002D6D30"/>
    <w:rsid w:val="002D7619"/>
    <w:rsid w:val="002D78A1"/>
    <w:rsid w:val="002D7BD6"/>
    <w:rsid w:val="002D7CA8"/>
    <w:rsid w:val="002E0242"/>
    <w:rsid w:val="002E0453"/>
    <w:rsid w:val="002E256B"/>
    <w:rsid w:val="002E2768"/>
    <w:rsid w:val="002E2818"/>
    <w:rsid w:val="002E2895"/>
    <w:rsid w:val="002E2AA0"/>
    <w:rsid w:val="002E36DB"/>
    <w:rsid w:val="002E3CFA"/>
    <w:rsid w:val="002E43FF"/>
    <w:rsid w:val="002E467A"/>
    <w:rsid w:val="002E5440"/>
    <w:rsid w:val="002E54EA"/>
    <w:rsid w:val="002E5AF3"/>
    <w:rsid w:val="002E6236"/>
    <w:rsid w:val="002E6399"/>
    <w:rsid w:val="002E6B4A"/>
    <w:rsid w:val="002E7309"/>
    <w:rsid w:val="002E73B5"/>
    <w:rsid w:val="002E7D44"/>
    <w:rsid w:val="002F00E9"/>
    <w:rsid w:val="002F12E1"/>
    <w:rsid w:val="002F13F4"/>
    <w:rsid w:val="002F1A51"/>
    <w:rsid w:val="002F1E08"/>
    <w:rsid w:val="002F24EC"/>
    <w:rsid w:val="002F28BC"/>
    <w:rsid w:val="002F3061"/>
    <w:rsid w:val="002F465F"/>
    <w:rsid w:val="002F497D"/>
    <w:rsid w:val="002F50D8"/>
    <w:rsid w:val="002F5D76"/>
    <w:rsid w:val="002F6253"/>
    <w:rsid w:val="002F76FE"/>
    <w:rsid w:val="002F7EE8"/>
    <w:rsid w:val="00300231"/>
    <w:rsid w:val="003015CB"/>
    <w:rsid w:val="00301EE7"/>
    <w:rsid w:val="00302375"/>
    <w:rsid w:val="0030267A"/>
    <w:rsid w:val="00302CA5"/>
    <w:rsid w:val="00302E6B"/>
    <w:rsid w:val="0030364D"/>
    <w:rsid w:val="00303C5E"/>
    <w:rsid w:val="00304E0A"/>
    <w:rsid w:val="00305079"/>
    <w:rsid w:val="00305245"/>
    <w:rsid w:val="003064E0"/>
    <w:rsid w:val="00306E4E"/>
    <w:rsid w:val="00307071"/>
    <w:rsid w:val="00307125"/>
    <w:rsid w:val="003079BE"/>
    <w:rsid w:val="00310FF4"/>
    <w:rsid w:val="0031117F"/>
    <w:rsid w:val="003113EE"/>
    <w:rsid w:val="00311CC1"/>
    <w:rsid w:val="00312D65"/>
    <w:rsid w:val="0031364B"/>
    <w:rsid w:val="0031433D"/>
    <w:rsid w:val="00314E4B"/>
    <w:rsid w:val="0031567E"/>
    <w:rsid w:val="00315B5A"/>
    <w:rsid w:val="00316509"/>
    <w:rsid w:val="00316A42"/>
    <w:rsid w:val="00316D87"/>
    <w:rsid w:val="00316F00"/>
    <w:rsid w:val="00317D8E"/>
    <w:rsid w:val="003217D4"/>
    <w:rsid w:val="00322062"/>
    <w:rsid w:val="0032214D"/>
    <w:rsid w:val="00322255"/>
    <w:rsid w:val="0032235F"/>
    <w:rsid w:val="00322525"/>
    <w:rsid w:val="0032272E"/>
    <w:rsid w:val="003229DB"/>
    <w:rsid w:val="00322AB2"/>
    <w:rsid w:val="00322CFF"/>
    <w:rsid w:val="00322E68"/>
    <w:rsid w:val="00323FA3"/>
    <w:rsid w:val="0032467E"/>
    <w:rsid w:val="00324B0D"/>
    <w:rsid w:val="00324FE4"/>
    <w:rsid w:val="00325131"/>
    <w:rsid w:val="003252B1"/>
    <w:rsid w:val="00325A68"/>
    <w:rsid w:val="00325F19"/>
    <w:rsid w:val="003262D0"/>
    <w:rsid w:val="00326371"/>
    <w:rsid w:val="00326CFD"/>
    <w:rsid w:val="003270BA"/>
    <w:rsid w:val="003276BA"/>
    <w:rsid w:val="00327F5F"/>
    <w:rsid w:val="00330DEF"/>
    <w:rsid w:val="0033179E"/>
    <w:rsid w:val="00331897"/>
    <w:rsid w:val="00331BD8"/>
    <w:rsid w:val="00331BF4"/>
    <w:rsid w:val="00331D71"/>
    <w:rsid w:val="0033222D"/>
    <w:rsid w:val="00332D6A"/>
    <w:rsid w:val="00333696"/>
    <w:rsid w:val="00334343"/>
    <w:rsid w:val="00335292"/>
    <w:rsid w:val="00335329"/>
    <w:rsid w:val="00335680"/>
    <w:rsid w:val="00336EFE"/>
    <w:rsid w:val="00337351"/>
    <w:rsid w:val="00337603"/>
    <w:rsid w:val="00337AC0"/>
    <w:rsid w:val="00337C21"/>
    <w:rsid w:val="003403AB"/>
    <w:rsid w:val="00340937"/>
    <w:rsid w:val="00340A71"/>
    <w:rsid w:val="00340C56"/>
    <w:rsid w:val="00342472"/>
    <w:rsid w:val="0034292F"/>
    <w:rsid w:val="00342DBE"/>
    <w:rsid w:val="003430E8"/>
    <w:rsid w:val="0034552B"/>
    <w:rsid w:val="0034594E"/>
    <w:rsid w:val="00346134"/>
    <w:rsid w:val="0034630E"/>
    <w:rsid w:val="00347923"/>
    <w:rsid w:val="00347AD3"/>
    <w:rsid w:val="0035067C"/>
    <w:rsid w:val="00350C00"/>
    <w:rsid w:val="00350C3D"/>
    <w:rsid w:val="00351693"/>
    <w:rsid w:val="00352B95"/>
    <w:rsid w:val="00352D65"/>
    <w:rsid w:val="00352E9D"/>
    <w:rsid w:val="00353C6C"/>
    <w:rsid w:val="00355066"/>
    <w:rsid w:val="0035510B"/>
    <w:rsid w:val="003570D6"/>
    <w:rsid w:val="00357794"/>
    <w:rsid w:val="00360037"/>
    <w:rsid w:val="003601BF"/>
    <w:rsid w:val="0036169D"/>
    <w:rsid w:val="00361A9B"/>
    <w:rsid w:val="0036251B"/>
    <w:rsid w:val="003625ED"/>
    <w:rsid w:val="00363DBF"/>
    <w:rsid w:val="00363F3A"/>
    <w:rsid w:val="00364952"/>
    <w:rsid w:val="00365357"/>
    <w:rsid w:val="003657CF"/>
    <w:rsid w:val="00365C9D"/>
    <w:rsid w:val="00365DF9"/>
    <w:rsid w:val="00366369"/>
    <w:rsid w:val="00366739"/>
    <w:rsid w:val="00366B1C"/>
    <w:rsid w:val="0036794F"/>
    <w:rsid w:val="00370408"/>
    <w:rsid w:val="00370FD8"/>
    <w:rsid w:val="003710FE"/>
    <w:rsid w:val="003724B4"/>
    <w:rsid w:val="00373302"/>
    <w:rsid w:val="00373C55"/>
    <w:rsid w:val="00374013"/>
    <w:rsid w:val="003745AE"/>
    <w:rsid w:val="00374659"/>
    <w:rsid w:val="003747D2"/>
    <w:rsid w:val="00374FBB"/>
    <w:rsid w:val="00375726"/>
    <w:rsid w:val="003762E9"/>
    <w:rsid w:val="00376C72"/>
    <w:rsid w:val="003773CD"/>
    <w:rsid w:val="00377B7C"/>
    <w:rsid w:val="0038024F"/>
    <w:rsid w:val="0038043F"/>
    <w:rsid w:val="00381ABA"/>
    <w:rsid w:val="00383506"/>
    <w:rsid w:val="003847DC"/>
    <w:rsid w:val="003853B5"/>
    <w:rsid w:val="00385B92"/>
    <w:rsid w:val="00385FA3"/>
    <w:rsid w:val="003866FA"/>
    <w:rsid w:val="003868E8"/>
    <w:rsid w:val="00386996"/>
    <w:rsid w:val="00386BBD"/>
    <w:rsid w:val="003879E9"/>
    <w:rsid w:val="00387A6F"/>
    <w:rsid w:val="00390E9B"/>
    <w:rsid w:val="00391309"/>
    <w:rsid w:val="00391F76"/>
    <w:rsid w:val="00392B69"/>
    <w:rsid w:val="00392F18"/>
    <w:rsid w:val="0039310F"/>
    <w:rsid w:val="00393CD3"/>
    <w:rsid w:val="00394337"/>
    <w:rsid w:val="00394870"/>
    <w:rsid w:val="00394B26"/>
    <w:rsid w:val="0039528F"/>
    <w:rsid w:val="00395BE5"/>
    <w:rsid w:val="00395D21"/>
    <w:rsid w:val="00395E52"/>
    <w:rsid w:val="00396320"/>
    <w:rsid w:val="00396745"/>
    <w:rsid w:val="00396B70"/>
    <w:rsid w:val="00397531"/>
    <w:rsid w:val="00397934"/>
    <w:rsid w:val="00397E78"/>
    <w:rsid w:val="003A00E6"/>
    <w:rsid w:val="003A06F5"/>
    <w:rsid w:val="003A0990"/>
    <w:rsid w:val="003A2366"/>
    <w:rsid w:val="003A28A2"/>
    <w:rsid w:val="003A4FD7"/>
    <w:rsid w:val="003A50A9"/>
    <w:rsid w:val="003A5418"/>
    <w:rsid w:val="003A7E47"/>
    <w:rsid w:val="003B1CD2"/>
    <w:rsid w:val="003B1FC7"/>
    <w:rsid w:val="003B354A"/>
    <w:rsid w:val="003B3C93"/>
    <w:rsid w:val="003B3FC1"/>
    <w:rsid w:val="003B4C5E"/>
    <w:rsid w:val="003B56C4"/>
    <w:rsid w:val="003B5B1F"/>
    <w:rsid w:val="003B5F58"/>
    <w:rsid w:val="003B660D"/>
    <w:rsid w:val="003B73FD"/>
    <w:rsid w:val="003B751F"/>
    <w:rsid w:val="003B7BD4"/>
    <w:rsid w:val="003C068B"/>
    <w:rsid w:val="003C09D5"/>
    <w:rsid w:val="003C14C9"/>
    <w:rsid w:val="003C156D"/>
    <w:rsid w:val="003C1930"/>
    <w:rsid w:val="003C19E4"/>
    <w:rsid w:val="003C23D9"/>
    <w:rsid w:val="003C3406"/>
    <w:rsid w:val="003C3DE3"/>
    <w:rsid w:val="003C4CA3"/>
    <w:rsid w:val="003C4ED4"/>
    <w:rsid w:val="003C6943"/>
    <w:rsid w:val="003C7E66"/>
    <w:rsid w:val="003C7F06"/>
    <w:rsid w:val="003D07B9"/>
    <w:rsid w:val="003D0C11"/>
    <w:rsid w:val="003D1957"/>
    <w:rsid w:val="003D21A9"/>
    <w:rsid w:val="003D2C39"/>
    <w:rsid w:val="003D3416"/>
    <w:rsid w:val="003D3F23"/>
    <w:rsid w:val="003D3F6B"/>
    <w:rsid w:val="003D44EF"/>
    <w:rsid w:val="003D49E3"/>
    <w:rsid w:val="003D4C81"/>
    <w:rsid w:val="003D6F15"/>
    <w:rsid w:val="003D7730"/>
    <w:rsid w:val="003E0702"/>
    <w:rsid w:val="003E195A"/>
    <w:rsid w:val="003E244A"/>
    <w:rsid w:val="003E25F4"/>
    <w:rsid w:val="003E4873"/>
    <w:rsid w:val="003E4A06"/>
    <w:rsid w:val="003E5551"/>
    <w:rsid w:val="003E55AE"/>
    <w:rsid w:val="003E6244"/>
    <w:rsid w:val="003E6635"/>
    <w:rsid w:val="003E6920"/>
    <w:rsid w:val="003E698D"/>
    <w:rsid w:val="003F0715"/>
    <w:rsid w:val="003F0B5B"/>
    <w:rsid w:val="003F0E00"/>
    <w:rsid w:val="003F1ACC"/>
    <w:rsid w:val="003F221C"/>
    <w:rsid w:val="003F325C"/>
    <w:rsid w:val="003F4C5A"/>
    <w:rsid w:val="003F4E9B"/>
    <w:rsid w:val="003F5A3B"/>
    <w:rsid w:val="003F71D7"/>
    <w:rsid w:val="003F7BED"/>
    <w:rsid w:val="00400AD3"/>
    <w:rsid w:val="00400C71"/>
    <w:rsid w:val="00400F38"/>
    <w:rsid w:val="004026E9"/>
    <w:rsid w:val="00402817"/>
    <w:rsid w:val="0040331A"/>
    <w:rsid w:val="00403ADC"/>
    <w:rsid w:val="00405119"/>
    <w:rsid w:val="0040579A"/>
    <w:rsid w:val="0040580D"/>
    <w:rsid w:val="00406362"/>
    <w:rsid w:val="00406F40"/>
    <w:rsid w:val="0040700D"/>
    <w:rsid w:val="00407503"/>
    <w:rsid w:val="0040763E"/>
    <w:rsid w:val="0041003A"/>
    <w:rsid w:val="00410140"/>
    <w:rsid w:val="00410CE7"/>
    <w:rsid w:val="004125CB"/>
    <w:rsid w:val="00412797"/>
    <w:rsid w:val="00413091"/>
    <w:rsid w:val="00413C9C"/>
    <w:rsid w:val="00413C9E"/>
    <w:rsid w:val="0041434D"/>
    <w:rsid w:val="004143A9"/>
    <w:rsid w:val="004144E7"/>
    <w:rsid w:val="004149C4"/>
    <w:rsid w:val="00414AA2"/>
    <w:rsid w:val="00414B60"/>
    <w:rsid w:val="00414CA3"/>
    <w:rsid w:val="0041598C"/>
    <w:rsid w:val="00416F82"/>
    <w:rsid w:val="00416FD2"/>
    <w:rsid w:val="004205D3"/>
    <w:rsid w:val="00420724"/>
    <w:rsid w:val="00421703"/>
    <w:rsid w:val="00421941"/>
    <w:rsid w:val="00421E99"/>
    <w:rsid w:val="00422094"/>
    <w:rsid w:val="00422677"/>
    <w:rsid w:val="00422D6E"/>
    <w:rsid w:val="00423420"/>
    <w:rsid w:val="00423615"/>
    <w:rsid w:val="00423E7B"/>
    <w:rsid w:val="00423F57"/>
    <w:rsid w:val="004241F3"/>
    <w:rsid w:val="00425275"/>
    <w:rsid w:val="004268ED"/>
    <w:rsid w:val="00426B91"/>
    <w:rsid w:val="0042725F"/>
    <w:rsid w:val="004300AF"/>
    <w:rsid w:val="004302AF"/>
    <w:rsid w:val="00430720"/>
    <w:rsid w:val="004308FB"/>
    <w:rsid w:val="00432102"/>
    <w:rsid w:val="00433543"/>
    <w:rsid w:val="00433896"/>
    <w:rsid w:val="004338F0"/>
    <w:rsid w:val="00433BD9"/>
    <w:rsid w:val="00433D76"/>
    <w:rsid w:val="00433F4B"/>
    <w:rsid w:val="0043426F"/>
    <w:rsid w:val="004346FC"/>
    <w:rsid w:val="00434F79"/>
    <w:rsid w:val="00435719"/>
    <w:rsid w:val="00435987"/>
    <w:rsid w:val="00435CEF"/>
    <w:rsid w:val="004360CB"/>
    <w:rsid w:val="00436D96"/>
    <w:rsid w:val="0043718A"/>
    <w:rsid w:val="00437D85"/>
    <w:rsid w:val="00440C1A"/>
    <w:rsid w:val="0044365E"/>
    <w:rsid w:val="00443A7D"/>
    <w:rsid w:val="00444890"/>
    <w:rsid w:val="0044528A"/>
    <w:rsid w:val="00445579"/>
    <w:rsid w:val="004459E7"/>
    <w:rsid w:val="00446E9C"/>
    <w:rsid w:val="00446FA7"/>
    <w:rsid w:val="00447044"/>
    <w:rsid w:val="00447368"/>
    <w:rsid w:val="00447444"/>
    <w:rsid w:val="004500F7"/>
    <w:rsid w:val="0045032C"/>
    <w:rsid w:val="004504B8"/>
    <w:rsid w:val="004508C9"/>
    <w:rsid w:val="00450C61"/>
    <w:rsid w:val="00450F3C"/>
    <w:rsid w:val="004517FC"/>
    <w:rsid w:val="00452205"/>
    <w:rsid w:val="0045441E"/>
    <w:rsid w:val="00454936"/>
    <w:rsid w:val="0045498D"/>
    <w:rsid w:val="004559E6"/>
    <w:rsid w:val="0045635B"/>
    <w:rsid w:val="00456451"/>
    <w:rsid w:val="00457BD5"/>
    <w:rsid w:val="00457F4D"/>
    <w:rsid w:val="00460154"/>
    <w:rsid w:val="00460C61"/>
    <w:rsid w:val="00461672"/>
    <w:rsid w:val="00461F54"/>
    <w:rsid w:val="00462C78"/>
    <w:rsid w:val="00463200"/>
    <w:rsid w:val="004634E1"/>
    <w:rsid w:val="00463BB2"/>
    <w:rsid w:val="00463E85"/>
    <w:rsid w:val="0046435D"/>
    <w:rsid w:val="00465AE0"/>
    <w:rsid w:val="00467110"/>
    <w:rsid w:val="00467244"/>
    <w:rsid w:val="00467529"/>
    <w:rsid w:val="0047189E"/>
    <w:rsid w:val="00471E7F"/>
    <w:rsid w:val="0047279B"/>
    <w:rsid w:val="00474481"/>
    <w:rsid w:val="00474C3B"/>
    <w:rsid w:val="00474F88"/>
    <w:rsid w:val="004753B7"/>
    <w:rsid w:val="00477879"/>
    <w:rsid w:val="0047788A"/>
    <w:rsid w:val="00480733"/>
    <w:rsid w:val="00480E7C"/>
    <w:rsid w:val="00481CB1"/>
    <w:rsid w:val="00482710"/>
    <w:rsid w:val="004836F4"/>
    <w:rsid w:val="004837DC"/>
    <w:rsid w:val="004848FE"/>
    <w:rsid w:val="0048566E"/>
    <w:rsid w:val="0048568F"/>
    <w:rsid w:val="00486EE6"/>
    <w:rsid w:val="0048797D"/>
    <w:rsid w:val="00487EA8"/>
    <w:rsid w:val="0049075A"/>
    <w:rsid w:val="00490C7C"/>
    <w:rsid w:val="00491319"/>
    <w:rsid w:val="00491617"/>
    <w:rsid w:val="00491A71"/>
    <w:rsid w:val="00492067"/>
    <w:rsid w:val="004921BE"/>
    <w:rsid w:val="00494661"/>
    <w:rsid w:val="004A2D28"/>
    <w:rsid w:val="004A3587"/>
    <w:rsid w:val="004A3589"/>
    <w:rsid w:val="004A46C7"/>
    <w:rsid w:val="004A5E79"/>
    <w:rsid w:val="004A624B"/>
    <w:rsid w:val="004A63B9"/>
    <w:rsid w:val="004A64D3"/>
    <w:rsid w:val="004A65D2"/>
    <w:rsid w:val="004A6EE3"/>
    <w:rsid w:val="004A70C2"/>
    <w:rsid w:val="004B01F5"/>
    <w:rsid w:val="004B02C6"/>
    <w:rsid w:val="004B047F"/>
    <w:rsid w:val="004B07B4"/>
    <w:rsid w:val="004B0B3C"/>
    <w:rsid w:val="004B0D2F"/>
    <w:rsid w:val="004B0E14"/>
    <w:rsid w:val="004B1861"/>
    <w:rsid w:val="004B1956"/>
    <w:rsid w:val="004B1F1E"/>
    <w:rsid w:val="004B1F65"/>
    <w:rsid w:val="004B3AC1"/>
    <w:rsid w:val="004B40E6"/>
    <w:rsid w:val="004B4807"/>
    <w:rsid w:val="004B4F1B"/>
    <w:rsid w:val="004B64E5"/>
    <w:rsid w:val="004C02B1"/>
    <w:rsid w:val="004C031D"/>
    <w:rsid w:val="004C1B6A"/>
    <w:rsid w:val="004C1F72"/>
    <w:rsid w:val="004C1FAB"/>
    <w:rsid w:val="004C2E89"/>
    <w:rsid w:val="004C3419"/>
    <w:rsid w:val="004C3D24"/>
    <w:rsid w:val="004C3FCB"/>
    <w:rsid w:val="004C4053"/>
    <w:rsid w:val="004C464D"/>
    <w:rsid w:val="004C4F99"/>
    <w:rsid w:val="004C5D30"/>
    <w:rsid w:val="004C5FE5"/>
    <w:rsid w:val="004C669C"/>
    <w:rsid w:val="004C6C80"/>
    <w:rsid w:val="004C6EDF"/>
    <w:rsid w:val="004C76E1"/>
    <w:rsid w:val="004C776E"/>
    <w:rsid w:val="004C7E22"/>
    <w:rsid w:val="004D03BD"/>
    <w:rsid w:val="004D1BE3"/>
    <w:rsid w:val="004D1EE9"/>
    <w:rsid w:val="004D2380"/>
    <w:rsid w:val="004D3552"/>
    <w:rsid w:val="004D3991"/>
    <w:rsid w:val="004D3A5E"/>
    <w:rsid w:val="004D3A94"/>
    <w:rsid w:val="004D3C35"/>
    <w:rsid w:val="004D42DC"/>
    <w:rsid w:val="004D4A9C"/>
    <w:rsid w:val="004D6776"/>
    <w:rsid w:val="004D68C8"/>
    <w:rsid w:val="004D6A34"/>
    <w:rsid w:val="004D6F6A"/>
    <w:rsid w:val="004D7056"/>
    <w:rsid w:val="004E0226"/>
    <w:rsid w:val="004E0AC1"/>
    <w:rsid w:val="004E0F20"/>
    <w:rsid w:val="004E1021"/>
    <w:rsid w:val="004E137B"/>
    <w:rsid w:val="004E157A"/>
    <w:rsid w:val="004E1984"/>
    <w:rsid w:val="004E1AF2"/>
    <w:rsid w:val="004E2ECD"/>
    <w:rsid w:val="004E4260"/>
    <w:rsid w:val="004E4DFF"/>
    <w:rsid w:val="004E5406"/>
    <w:rsid w:val="004E55C8"/>
    <w:rsid w:val="004E5686"/>
    <w:rsid w:val="004E5C0F"/>
    <w:rsid w:val="004E78CB"/>
    <w:rsid w:val="004F031A"/>
    <w:rsid w:val="004F0AFC"/>
    <w:rsid w:val="004F110D"/>
    <w:rsid w:val="004F2BE2"/>
    <w:rsid w:val="004F33CD"/>
    <w:rsid w:val="004F3B3E"/>
    <w:rsid w:val="004F3BE9"/>
    <w:rsid w:val="004F4703"/>
    <w:rsid w:val="004F512F"/>
    <w:rsid w:val="004F518B"/>
    <w:rsid w:val="004F641C"/>
    <w:rsid w:val="004F6525"/>
    <w:rsid w:val="005008C7"/>
    <w:rsid w:val="00502506"/>
    <w:rsid w:val="00503358"/>
    <w:rsid w:val="00503A29"/>
    <w:rsid w:val="0050409B"/>
    <w:rsid w:val="005045FF"/>
    <w:rsid w:val="00504E7B"/>
    <w:rsid w:val="0050530F"/>
    <w:rsid w:val="00505BB6"/>
    <w:rsid w:val="00505E2D"/>
    <w:rsid w:val="005060E8"/>
    <w:rsid w:val="00506B3A"/>
    <w:rsid w:val="00506BBB"/>
    <w:rsid w:val="0050789A"/>
    <w:rsid w:val="00507A47"/>
    <w:rsid w:val="00510141"/>
    <w:rsid w:val="00510771"/>
    <w:rsid w:val="00511235"/>
    <w:rsid w:val="00511F30"/>
    <w:rsid w:val="005124EF"/>
    <w:rsid w:val="005126D0"/>
    <w:rsid w:val="00513843"/>
    <w:rsid w:val="00514002"/>
    <w:rsid w:val="00514411"/>
    <w:rsid w:val="0051510B"/>
    <w:rsid w:val="0051553E"/>
    <w:rsid w:val="0051779E"/>
    <w:rsid w:val="00517A5A"/>
    <w:rsid w:val="00517B0F"/>
    <w:rsid w:val="00517C9E"/>
    <w:rsid w:val="0052081C"/>
    <w:rsid w:val="00520BAB"/>
    <w:rsid w:val="00520C9D"/>
    <w:rsid w:val="00521FEF"/>
    <w:rsid w:val="005223AB"/>
    <w:rsid w:val="0052283F"/>
    <w:rsid w:val="00523A27"/>
    <w:rsid w:val="00523AD8"/>
    <w:rsid w:val="00525C5C"/>
    <w:rsid w:val="00526FFD"/>
    <w:rsid w:val="0053051B"/>
    <w:rsid w:val="005310CA"/>
    <w:rsid w:val="00531491"/>
    <w:rsid w:val="00531B7A"/>
    <w:rsid w:val="00532275"/>
    <w:rsid w:val="00532DE8"/>
    <w:rsid w:val="0053383D"/>
    <w:rsid w:val="00533EEE"/>
    <w:rsid w:val="005341D9"/>
    <w:rsid w:val="00534B8E"/>
    <w:rsid w:val="005350B7"/>
    <w:rsid w:val="005357D2"/>
    <w:rsid w:val="00535C55"/>
    <w:rsid w:val="0053604A"/>
    <w:rsid w:val="0053642F"/>
    <w:rsid w:val="005367EB"/>
    <w:rsid w:val="00536AE7"/>
    <w:rsid w:val="00536B38"/>
    <w:rsid w:val="0054043A"/>
    <w:rsid w:val="00540BBB"/>
    <w:rsid w:val="00540D99"/>
    <w:rsid w:val="00541CEF"/>
    <w:rsid w:val="00542126"/>
    <w:rsid w:val="005428CF"/>
    <w:rsid w:val="00542991"/>
    <w:rsid w:val="0054411D"/>
    <w:rsid w:val="005444DB"/>
    <w:rsid w:val="005445AE"/>
    <w:rsid w:val="005449B8"/>
    <w:rsid w:val="00544C97"/>
    <w:rsid w:val="00544D49"/>
    <w:rsid w:val="005466F6"/>
    <w:rsid w:val="00546EC9"/>
    <w:rsid w:val="00550060"/>
    <w:rsid w:val="00550369"/>
    <w:rsid w:val="0055045F"/>
    <w:rsid w:val="00550B11"/>
    <w:rsid w:val="00550B7F"/>
    <w:rsid w:val="00550DCC"/>
    <w:rsid w:val="00551563"/>
    <w:rsid w:val="00551A4F"/>
    <w:rsid w:val="005526D0"/>
    <w:rsid w:val="00552850"/>
    <w:rsid w:val="00553400"/>
    <w:rsid w:val="00554098"/>
    <w:rsid w:val="00554E0F"/>
    <w:rsid w:val="00554E73"/>
    <w:rsid w:val="00555260"/>
    <w:rsid w:val="00556614"/>
    <w:rsid w:val="00557228"/>
    <w:rsid w:val="00557258"/>
    <w:rsid w:val="00557C93"/>
    <w:rsid w:val="00557E43"/>
    <w:rsid w:val="00560800"/>
    <w:rsid w:val="00560BAA"/>
    <w:rsid w:val="00561A3A"/>
    <w:rsid w:val="00562342"/>
    <w:rsid w:val="00562A05"/>
    <w:rsid w:val="00563958"/>
    <w:rsid w:val="00563FB9"/>
    <w:rsid w:val="00565648"/>
    <w:rsid w:val="00565C9F"/>
    <w:rsid w:val="00566B27"/>
    <w:rsid w:val="00567BDD"/>
    <w:rsid w:val="00570283"/>
    <w:rsid w:val="005707DC"/>
    <w:rsid w:val="00571061"/>
    <w:rsid w:val="00571FAC"/>
    <w:rsid w:val="00572745"/>
    <w:rsid w:val="00572DEB"/>
    <w:rsid w:val="0057366E"/>
    <w:rsid w:val="00574EBC"/>
    <w:rsid w:val="00575794"/>
    <w:rsid w:val="00576657"/>
    <w:rsid w:val="005777E9"/>
    <w:rsid w:val="0057787A"/>
    <w:rsid w:val="00577B8A"/>
    <w:rsid w:val="0058027C"/>
    <w:rsid w:val="0058034A"/>
    <w:rsid w:val="00581B2F"/>
    <w:rsid w:val="00581C2B"/>
    <w:rsid w:val="00582C04"/>
    <w:rsid w:val="00583969"/>
    <w:rsid w:val="00584049"/>
    <w:rsid w:val="00584EAB"/>
    <w:rsid w:val="005857A9"/>
    <w:rsid w:val="00585BFD"/>
    <w:rsid w:val="00585CDA"/>
    <w:rsid w:val="00585ED6"/>
    <w:rsid w:val="00586104"/>
    <w:rsid w:val="00586680"/>
    <w:rsid w:val="005906FB"/>
    <w:rsid w:val="00590B2F"/>
    <w:rsid w:val="00590F4D"/>
    <w:rsid w:val="005917A5"/>
    <w:rsid w:val="00592A0F"/>
    <w:rsid w:val="00593147"/>
    <w:rsid w:val="00593A0B"/>
    <w:rsid w:val="00594142"/>
    <w:rsid w:val="00594516"/>
    <w:rsid w:val="005946A7"/>
    <w:rsid w:val="0059475B"/>
    <w:rsid w:val="005947CD"/>
    <w:rsid w:val="00594F29"/>
    <w:rsid w:val="005959F1"/>
    <w:rsid w:val="00595C4C"/>
    <w:rsid w:val="0059677A"/>
    <w:rsid w:val="00596D76"/>
    <w:rsid w:val="00596E4C"/>
    <w:rsid w:val="005A018C"/>
    <w:rsid w:val="005A0437"/>
    <w:rsid w:val="005A05C3"/>
    <w:rsid w:val="005A169F"/>
    <w:rsid w:val="005A1C7A"/>
    <w:rsid w:val="005A1C92"/>
    <w:rsid w:val="005A2BDE"/>
    <w:rsid w:val="005A2E19"/>
    <w:rsid w:val="005A3226"/>
    <w:rsid w:val="005A389C"/>
    <w:rsid w:val="005A4708"/>
    <w:rsid w:val="005A4A50"/>
    <w:rsid w:val="005A5274"/>
    <w:rsid w:val="005A5F1C"/>
    <w:rsid w:val="005A6499"/>
    <w:rsid w:val="005A7019"/>
    <w:rsid w:val="005A737E"/>
    <w:rsid w:val="005B0EE9"/>
    <w:rsid w:val="005B102F"/>
    <w:rsid w:val="005B149F"/>
    <w:rsid w:val="005B1984"/>
    <w:rsid w:val="005B1BEE"/>
    <w:rsid w:val="005B1CEB"/>
    <w:rsid w:val="005B2BD5"/>
    <w:rsid w:val="005B3825"/>
    <w:rsid w:val="005B4D0F"/>
    <w:rsid w:val="005B503A"/>
    <w:rsid w:val="005B5598"/>
    <w:rsid w:val="005B5D68"/>
    <w:rsid w:val="005B678A"/>
    <w:rsid w:val="005B6E85"/>
    <w:rsid w:val="005B78FB"/>
    <w:rsid w:val="005C018B"/>
    <w:rsid w:val="005C0560"/>
    <w:rsid w:val="005C0ADF"/>
    <w:rsid w:val="005C1498"/>
    <w:rsid w:val="005C1F2B"/>
    <w:rsid w:val="005C2F62"/>
    <w:rsid w:val="005C32AF"/>
    <w:rsid w:val="005C33F5"/>
    <w:rsid w:val="005C3BF3"/>
    <w:rsid w:val="005C4082"/>
    <w:rsid w:val="005C499B"/>
    <w:rsid w:val="005C5B4C"/>
    <w:rsid w:val="005C5B5E"/>
    <w:rsid w:val="005C5B9A"/>
    <w:rsid w:val="005C5DAF"/>
    <w:rsid w:val="005C65FD"/>
    <w:rsid w:val="005C6C54"/>
    <w:rsid w:val="005C7194"/>
    <w:rsid w:val="005C7783"/>
    <w:rsid w:val="005C7B65"/>
    <w:rsid w:val="005D0334"/>
    <w:rsid w:val="005D046F"/>
    <w:rsid w:val="005D05F2"/>
    <w:rsid w:val="005D084C"/>
    <w:rsid w:val="005D0D92"/>
    <w:rsid w:val="005D1060"/>
    <w:rsid w:val="005D172B"/>
    <w:rsid w:val="005D1762"/>
    <w:rsid w:val="005D195C"/>
    <w:rsid w:val="005D19E3"/>
    <w:rsid w:val="005D1E89"/>
    <w:rsid w:val="005D2451"/>
    <w:rsid w:val="005D2957"/>
    <w:rsid w:val="005D2BA9"/>
    <w:rsid w:val="005D318D"/>
    <w:rsid w:val="005D3693"/>
    <w:rsid w:val="005D4E5C"/>
    <w:rsid w:val="005D4F66"/>
    <w:rsid w:val="005D51D0"/>
    <w:rsid w:val="005D5B05"/>
    <w:rsid w:val="005D5E56"/>
    <w:rsid w:val="005D603A"/>
    <w:rsid w:val="005D7224"/>
    <w:rsid w:val="005D7879"/>
    <w:rsid w:val="005D7E6A"/>
    <w:rsid w:val="005E0BB9"/>
    <w:rsid w:val="005E14D9"/>
    <w:rsid w:val="005E21EC"/>
    <w:rsid w:val="005E2FFB"/>
    <w:rsid w:val="005E3C41"/>
    <w:rsid w:val="005E3CE3"/>
    <w:rsid w:val="005E3D72"/>
    <w:rsid w:val="005E3D86"/>
    <w:rsid w:val="005E3F37"/>
    <w:rsid w:val="005E508C"/>
    <w:rsid w:val="005E5BB8"/>
    <w:rsid w:val="005E5E3F"/>
    <w:rsid w:val="005E63D4"/>
    <w:rsid w:val="005E7B34"/>
    <w:rsid w:val="005F00A0"/>
    <w:rsid w:val="005F0530"/>
    <w:rsid w:val="005F0C17"/>
    <w:rsid w:val="005F0D54"/>
    <w:rsid w:val="005F1360"/>
    <w:rsid w:val="005F26B4"/>
    <w:rsid w:val="005F3337"/>
    <w:rsid w:val="005F333A"/>
    <w:rsid w:val="005F3B04"/>
    <w:rsid w:val="005F3BEA"/>
    <w:rsid w:val="005F455D"/>
    <w:rsid w:val="005F4D5E"/>
    <w:rsid w:val="005F51B7"/>
    <w:rsid w:val="005F53D5"/>
    <w:rsid w:val="005F6280"/>
    <w:rsid w:val="005F694C"/>
    <w:rsid w:val="005F6A94"/>
    <w:rsid w:val="005F74E3"/>
    <w:rsid w:val="00600327"/>
    <w:rsid w:val="0060115B"/>
    <w:rsid w:val="00602141"/>
    <w:rsid w:val="0060237F"/>
    <w:rsid w:val="0060327D"/>
    <w:rsid w:val="00604430"/>
    <w:rsid w:val="006047AC"/>
    <w:rsid w:val="00604A5A"/>
    <w:rsid w:val="00604D07"/>
    <w:rsid w:val="0060525F"/>
    <w:rsid w:val="00605975"/>
    <w:rsid w:val="00605C09"/>
    <w:rsid w:val="00606CC0"/>
    <w:rsid w:val="006074A4"/>
    <w:rsid w:val="00607960"/>
    <w:rsid w:val="00607F40"/>
    <w:rsid w:val="00610213"/>
    <w:rsid w:val="0061065D"/>
    <w:rsid w:val="00610A3B"/>
    <w:rsid w:val="00610E0C"/>
    <w:rsid w:val="006132D5"/>
    <w:rsid w:val="00613998"/>
    <w:rsid w:val="00613F8D"/>
    <w:rsid w:val="00615309"/>
    <w:rsid w:val="00615A7B"/>
    <w:rsid w:val="00620215"/>
    <w:rsid w:val="00620453"/>
    <w:rsid w:val="00620540"/>
    <w:rsid w:val="00622D32"/>
    <w:rsid w:val="00623673"/>
    <w:rsid w:val="006238D5"/>
    <w:rsid w:val="00623A96"/>
    <w:rsid w:val="00623AF6"/>
    <w:rsid w:val="00623B8E"/>
    <w:rsid w:val="0062450A"/>
    <w:rsid w:val="0062475A"/>
    <w:rsid w:val="006248F8"/>
    <w:rsid w:val="00625A87"/>
    <w:rsid w:val="00625D23"/>
    <w:rsid w:val="00625FBE"/>
    <w:rsid w:val="00630B25"/>
    <w:rsid w:val="00631F8E"/>
    <w:rsid w:val="00632590"/>
    <w:rsid w:val="00634BC8"/>
    <w:rsid w:val="00635FF8"/>
    <w:rsid w:val="0063611A"/>
    <w:rsid w:val="006373E4"/>
    <w:rsid w:val="00637D8D"/>
    <w:rsid w:val="006413C1"/>
    <w:rsid w:val="006419DE"/>
    <w:rsid w:val="00641DCE"/>
    <w:rsid w:val="00643D63"/>
    <w:rsid w:val="00645433"/>
    <w:rsid w:val="00645D7B"/>
    <w:rsid w:val="006467E2"/>
    <w:rsid w:val="0064699D"/>
    <w:rsid w:val="00646BDD"/>
    <w:rsid w:val="00646C4F"/>
    <w:rsid w:val="00646E2A"/>
    <w:rsid w:val="00647FA0"/>
    <w:rsid w:val="00650B21"/>
    <w:rsid w:val="00651C30"/>
    <w:rsid w:val="00652904"/>
    <w:rsid w:val="00652906"/>
    <w:rsid w:val="006546A4"/>
    <w:rsid w:val="00655385"/>
    <w:rsid w:val="00655D2E"/>
    <w:rsid w:val="00655D9F"/>
    <w:rsid w:val="006560E0"/>
    <w:rsid w:val="00656C58"/>
    <w:rsid w:val="00657641"/>
    <w:rsid w:val="00657953"/>
    <w:rsid w:val="0066054E"/>
    <w:rsid w:val="00660849"/>
    <w:rsid w:val="00661BD9"/>
    <w:rsid w:val="006620AD"/>
    <w:rsid w:val="00662AEA"/>
    <w:rsid w:val="00663463"/>
    <w:rsid w:val="00664F15"/>
    <w:rsid w:val="006652B3"/>
    <w:rsid w:val="006657E5"/>
    <w:rsid w:val="00666941"/>
    <w:rsid w:val="00666966"/>
    <w:rsid w:val="006701A6"/>
    <w:rsid w:val="00670242"/>
    <w:rsid w:val="006706A7"/>
    <w:rsid w:val="00670A9E"/>
    <w:rsid w:val="006719AA"/>
    <w:rsid w:val="00672CE5"/>
    <w:rsid w:val="00672D04"/>
    <w:rsid w:val="00672F8E"/>
    <w:rsid w:val="00675F9D"/>
    <w:rsid w:val="0067621B"/>
    <w:rsid w:val="00676DC4"/>
    <w:rsid w:val="00676E71"/>
    <w:rsid w:val="0068025F"/>
    <w:rsid w:val="00680805"/>
    <w:rsid w:val="0068161E"/>
    <w:rsid w:val="00681638"/>
    <w:rsid w:val="006816C4"/>
    <w:rsid w:val="00681BFC"/>
    <w:rsid w:val="0068220C"/>
    <w:rsid w:val="00682D81"/>
    <w:rsid w:val="00683888"/>
    <w:rsid w:val="006841F1"/>
    <w:rsid w:val="00684521"/>
    <w:rsid w:val="00684787"/>
    <w:rsid w:val="00684C21"/>
    <w:rsid w:val="00684D14"/>
    <w:rsid w:val="00684FD5"/>
    <w:rsid w:val="00685261"/>
    <w:rsid w:val="006872B7"/>
    <w:rsid w:val="0069074A"/>
    <w:rsid w:val="006908E6"/>
    <w:rsid w:val="00690B13"/>
    <w:rsid w:val="006913C6"/>
    <w:rsid w:val="00691C19"/>
    <w:rsid w:val="00691EF5"/>
    <w:rsid w:val="006921BA"/>
    <w:rsid w:val="00693716"/>
    <w:rsid w:val="0069591A"/>
    <w:rsid w:val="00695DDE"/>
    <w:rsid w:val="00695F1C"/>
    <w:rsid w:val="0069745B"/>
    <w:rsid w:val="006976B5"/>
    <w:rsid w:val="00697BE8"/>
    <w:rsid w:val="006A0804"/>
    <w:rsid w:val="006A0DAA"/>
    <w:rsid w:val="006A2EB1"/>
    <w:rsid w:val="006A30F3"/>
    <w:rsid w:val="006A3466"/>
    <w:rsid w:val="006A3EF8"/>
    <w:rsid w:val="006A5860"/>
    <w:rsid w:val="006A6A45"/>
    <w:rsid w:val="006A7BB8"/>
    <w:rsid w:val="006B0A7B"/>
    <w:rsid w:val="006B1FAF"/>
    <w:rsid w:val="006B296C"/>
    <w:rsid w:val="006B2A73"/>
    <w:rsid w:val="006B2B98"/>
    <w:rsid w:val="006B319E"/>
    <w:rsid w:val="006B3967"/>
    <w:rsid w:val="006B3A55"/>
    <w:rsid w:val="006B42E9"/>
    <w:rsid w:val="006B430E"/>
    <w:rsid w:val="006B45D8"/>
    <w:rsid w:val="006B4968"/>
    <w:rsid w:val="006B4D89"/>
    <w:rsid w:val="006B4F83"/>
    <w:rsid w:val="006B63FC"/>
    <w:rsid w:val="006B661A"/>
    <w:rsid w:val="006C0E77"/>
    <w:rsid w:val="006C1C36"/>
    <w:rsid w:val="006C2B35"/>
    <w:rsid w:val="006C37FA"/>
    <w:rsid w:val="006C3FFD"/>
    <w:rsid w:val="006C41AE"/>
    <w:rsid w:val="006C4457"/>
    <w:rsid w:val="006C47AE"/>
    <w:rsid w:val="006C6143"/>
    <w:rsid w:val="006C659A"/>
    <w:rsid w:val="006C67AF"/>
    <w:rsid w:val="006C6B3C"/>
    <w:rsid w:val="006C714D"/>
    <w:rsid w:val="006C76E0"/>
    <w:rsid w:val="006D1E91"/>
    <w:rsid w:val="006D22AA"/>
    <w:rsid w:val="006D25C2"/>
    <w:rsid w:val="006D2996"/>
    <w:rsid w:val="006D3430"/>
    <w:rsid w:val="006D3E9A"/>
    <w:rsid w:val="006D4389"/>
    <w:rsid w:val="006D4527"/>
    <w:rsid w:val="006D48FC"/>
    <w:rsid w:val="006D4D17"/>
    <w:rsid w:val="006D5682"/>
    <w:rsid w:val="006D588F"/>
    <w:rsid w:val="006D68F2"/>
    <w:rsid w:val="006D76E4"/>
    <w:rsid w:val="006E0231"/>
    <w:rsid w:val="006E0BB1"/>
    <w:rsid w:val="006E16B2"/>
    <w:rsid w:val="006E1BD7"/>
    <w:rsid w:val="006E1D3B"/>
    <w:rsid w:val="006E2D7D"/>
    <w:rsid w:val="006E2F26"/>
    <w:rsid w:val="006E4A42"/>
    <w:rsid w:val="006E587C"/>
    <w:rsid w:val="006E6B94"/>
    <w:rsid w:val="006E71DF"/>
    <w:rsid w:val="006E75BF"/>
    <w:rsid w:val="006F0401"/>
    <w:rsid w:val="006F21FE"/>
    <w:rsid w:val="006F3B78"/>
    <w:rsid w:val="006F479E"/>
    <w:rsid w:val="006F49FD"/>
    <w:rsid w:val="006F570C"/>
    <w:rsid w:val="006F58A8"/>
    <w:rsid w:val="006F5938"/>
    <w:rsid w:val="006F5B49"/>
    <w:rsid w:val="006F60DB"/>
    <w:rsid w:val="006F64AF"/>
    <w:rsid w:val="006F6604"/>
    <w:rsid w:val="006F66F3"/>
    <w:rsid w:val="006F7CB6"/>
    <w:rsid w:val="00701048"/>
    <w:rsid w:val="00701B09"/>
    <w:rsid w:val="00702ACB"/>
    <w:rsid w:val="00702BAD"/>
    <w:rsid w:val="00703099"/>
    <w:rsid w:val="0070377E"/>
    <w:rsid w:val="00705837"/>
    <w:rsid w:val="00705AB0"/>
    <w:rsid w:val="00705ECF"/>
    <w:rsid w:val="0070655D"/>
    <w:rsid w:val="00707E10"/>
    <w:rsid w:val="00710AA2"/>
    <w:rsid w:val="00712BDF"/>
    <w:rsid w:val="00713F06"/>
    <w:rsid w:val="00714C2A"/>
    <w:rsid w:val="007155CD"/>
    <w:rsid w:val="00715CE3"/>
    <w:rsid w:val="00715DD7"/>
    <w:rsid w:val="007162EE"/>
    <w:rsid w:val="0071763B"/>
    <w:rsid w:val="00717888"/>
    <w:rsid w:val="0072042A"/>
    <w:rsid w:val="00720F89"/>
    <w:rsid w:val="00721471"/>
    <w:rsid w:val="00722966"/>
    <w:rsid w:val="0072398B"/>
    <w:rsid w:val="00723E2C"/>
    <w:rsid w:val="00724FB0"/>
    <w:rsid w:val="00725948"/>
    <w:rsid w:val="007264F8"/>
    <w:rsid w:val="007269BE"/>
    <w:rsid w:val="00726CB8"/>
    <w:rsid w:val="00726EA4"/>
    <w:rsid w:val="007277D6"/>
    <w:rsid w:val="00727F16"/>
    <w:rsid w:val="00730783"/>
    <w:rsid w:val="0073078C"/>
    <w:rsid w:val="00730F96"/>
    <w:rsid w:val="00731EFA"/>
    <w:rsid w:val="00733B01"/>
    <w:rsid w:val="00734257"/>
    <w:rsid w:val="007360E0"/>
    <w:rsid w:val="00736D95"/>
    <w:rsid w:val="00737D09"/>
    <w:rsid w:val="00737DF2"/>
    <w:rsid w:val="00737FCA"/>
    <w:rsid w:val="007403C8"/>
    <w:rsid w:val="00741F49"/>
    <w:rsid w:val="0074278C"/>
    <w:rsid w:val="007427B8"/>
    <w:rsid w:val="00742D7C"/>
    <w:rsid w:val="00743591"/>
    <w:rsid w:val="007435F1"/>
    <w:rsid w:val="00743770"/>
    <w:rsid w:val="00743F5F"/>
    <w:rsid w:val="00744BB7"/>
    <w:rsid w:val="00746714"/>
    <w:rsid w:val="00746FD7"/>
    <w:rsid w:val="00747C4A"/>
    <w:rsid w:val="00747EE4"/>
    <w:rsid w:val="0075092D"/>
    <w:rsid w:val="0075139D"/>
    <w:rsid w:val="00752946"/>
    <w:rsid w:val="00752A90"/>
    <w:rsid w:val="00752BB8"/>
    <w:rsid w:val="00752D4D"/>
    <w:rsid w:val="007537C2"/>
    <w:rsid w:val="00753CC0"/>
    <w:rsid w:val="007549E0"/>
    <w:rsid w:val="00754E33"/>
    <w:rsid w:val="00754F52"/>
    <w:rsid w:val="00755661"/>
    <w:rsid w:val="007556AF"/>
    <w:rsid w:val="00755F1A"/>
    <w:rsid w:val="00757557"/>
    <w:rsid w:val="00757A7C"/>
    <w:rsid w:val="00760449"/>
    <w:rsid w:val="007607BB"/>
    <w:rsid w:val="0076083D"/>
    <w:rsid w:val="00760D6F"/>
    <w:rsid w:val="00761A9A"/>
    <w:rsid w:val="00761BBA"/>
    <w:rsid w:val="00761FF0"/>
    <w:rsid w:val="00763B87"/>
    <w:rsid w:val="00764E5C"/>
    <w:rsid w:val="007655E1"/>
    <w:rsid w:val="007657F7"/>
    <w:rsid w:val="0076611B"/>
    <w:rsid w:val="00766C48"/>
    <w:rsid w:val="0076735E"/>
    <w:rsid w:val="007674D3"/>
    <w:rsid w:val="00767554"/>
    <w:rsid w:val="00767F71"/>
    <w:rsid w:val="00767F9E"/>
    <w:rsid w:val="00770459"/>
    <w:rsid w:val="007707C5"/>
    <w:rsid w:val="00770C92"/>
    <w:rsid w:val="00770EC4"/>
    <w:rsid w:val="00770F8D"/>
    <w:rsid w:val="00771998"/>
    <w:rsid w:val="00772388"/>
    <w:rsid w:val="0077252B"/>
    <w:rsid w:val="00772DE9"/>
    <w:rsid w:val="007736B5"/>
    <w:rsid w:val="00774EB6"/>
    <w:rsid w:val="00776A4B"/>
    <w:rsid w:val="00776DD6"/>
    <w:rsid w:val="00777125"/>
    <w:rsid w:val="00777CB5"/>
    <w:rsid w:val="007813C3"/>
    <w:rsid w:val="007815F4"/>
    <w:rsid w:val="00781842"/>
    <w:rsid w:val="007818C0"/>
    <w:rsid w:val="00782FB7"/>
    <w:rsid w:val="0078697D"/>
    <w:rsid w:val="00787672"/>
    <w:rsid w:val="007901F7"/>
    <w:rsid w:val="007913C9"/>
    <w:rsid w:val="007916AA"/>
    <w:rsid w:val="0079240B"/>
    <w:rsid w:val="0079311E"/>
    <w:rsid w:val="0079489E"/>
    <w:rsid w:val="00795773"/>
    <w:rsid w:val="00795779"/>
    <w:rsid w:val="007974E7"/>
    <w:rsid w:val="007A036E"/>
    <w:rsid w:val="007A1CB0"/>
    <w:rsid w:val="007A236D"/>
    <w:rsid w:val="007A264B"/>
    <w:rsid w:val="007A2F93"/>
    <w:rsid w:val="007A3C39"/>
    <w:rsid w:val="007A3DD1"/>
    <w:rsid w:val="007A4A72"/>
    <w:rsid w:val="007A5834"/>
    <w:rsid w:val="007A5BA9"/>
    <w:rsid w:val="007A63FD"/>
    <w:rsid w:val="007A6A88"/>
    <w:rsid w:val="007A7583"/>
    <w:rsid w:val="007A7AB2"/>
    <w:rsid w:val="007A7CEF"/>
    <w:rsid w:val="007B12CD"/>
    <w:rsid w:val="007B1400"/>
    <w:rsid w:val="007B1448"/>
    <w:rsid w:val="007B1862"/>
    <w:rsid w:val="007B1DC4"/>
    <w:rsid w:val="007B26CF"/>
    <w:rsid w:val="007B3808"/>
    <w:rsid w:val="007B3F9C"/>
    <w:rsid w:val="007B4C8A"/>
    <w:rsid w:val="007B52FB"/>
    <w:rsid w:val="007B6003"/>
    <w:rsid w:val="007B66E1"/>
    <w:rsid w:val="007B722A"/>
    <w:rsid w:val="007B7F2F"/>
    <w:rsid w:val="007B7F38"/>
    <w:rsid w:val="007C041D"/>
    <w:rsid w:val="007C071A"/>
    <w:rsid w:val="007C0E62"/>
    <w:rsid w:val="007C111E"/>
    <w:rsid w:val="007C13FE"/>
    <w:rsid w:val="007C195D"/>
    <w:rsid w:val="007C2735"/>
    <w:rsid w:val="007C2740"/>
    <w:rsid w:val="007C2D04"/>
    <w:rsid w:val="007C35FF"/>
    <w:rsid w:val="007C36DC"/>
    <w:rsid w:val="007C37AE"/>
    <w:rsid w:val="007C3F22"/>
    <w:rsid w:val="007C5460"/>
    <w:rsid w:val="007C5497"/>
    <w:rsid w:val="007C56D6"/>
    <w:rsid w:val="007C636F"/>
    <w:rsid w:val="007C755D"/>
    <w:rsid w:val="007D0417"/>
    <w:rsid w:val="007D067F"/>
    <w:rsid w:val="007D0745"/>
    <w:rsid w:val="007D0DB0"/>
    <w:rsid w:val="007D2460"/>
    <w:rsid w:val="007D3A53"/>
    <w:rsid w:val="007D4623"/>
    <w:rsid w:val="007D4BBC"/>
    <w:rsid w:val="007D5472"/>
    <w:rsid w:val="007D5DFF"/>
    <w:rsid w:val="007D5F99"/>
    <w:rsid w:val="007D78A2"/>
    <w:rsid w:val="007E0D6C"/>
    <w:rsid w:val="007E2AC9"/>
    <w:rsid w:val="007E2E13"/>
    <w:rsid w:val="007E3A1A"/>
    <w:rsid w:val="007E41C3"/>
    <w:rsid w:val="007E4856"/>
    <w:rsid w:val="007E4D01"/>
    <w:rsid w:val="007E70AF"/>
    <w:rsid w:val="007E739E"/>
    <w:rsid w:val="007E7838"/>
    <w:rsid w:val="007E79C7"/>
    <w:rsid w:val="007E7B3C"/>
    <w:rsid w:val="007F1558"/>
    <w:rsid w:val="007F15AC"/>
    <w:rsid w:val="007F1FE0"/>
    <w:rsid w:val="007F2E79"/>
    <w:rsid w:val="007F2F25"/>
    <w:rsid w:val="007F2FB3"/>
    <w:rsid w:val="007F3085"/>
    <w:rsid w:val="007F3373"/>
    <w:rsid w:val="007F5FE3"/>
    <w:rsid w:val="007F78DD"/>
    <w:rsid w:val="007F7C9A"/>
    <w:rsid w:val="0080050E"/>
    <w:rsid w:val="00801855"/>
    <w:rsid w:val="00802D3A"/>
    <w:rsid w:val="00803449"/>
    <w:rsid w:val="00803A34"/>
    <w:rsid w:val="00803A36"/>
    <w:rsid w:val="00803E87"/>
    <w:rsid w:val="008049BD"/>
    <w:rsid w:val="00804B42"/>
    <w:rsid w:val="00804DEC"/>
    <w:rsid w:val="008057B5"/>
    <w:rsid w:val="00807492"/>
    <w:rsid w:val="00810AFF"/>
    <w:rsid w:val="00811070"/>
    <w:rsid w:val="008129C9"/>
    <w:rsid w:val="00812F47"/>
    <w:rsid w:val="00812F9A"/>
    <w:rsid w:val="00813EAC"/>
    <w:rsid w:val="00814158"/>
    <w:rsid w:val="008146CA"/>
    <w:rsid w:val="008147F9"/>
    <w:rsid w:val="0081484A"/>
    <w:rsid w:val="008159AE"/>
    <w:rsid w:val="00816476"/>
    <w:rsid w:val="00817909"/>
    <w:rsid w:val="00820442"/>
    <w:rsid w:val="00820751"/>
    <w:rsid w:val="008212A3"/>
    <w:rsid w:val="008223B6"/>
    <w:rsid w:val="00822669"/>
    <w:rsid w:val="0082269C"/>
    <w:rsid w:val="00822B6C"/>
    <w:rsid w:val="00822C4D"/>
    <w:rsid w:val="00822C4E"/>
    <w:rsid w:val="00822C8D"/>
    <w:rsid w:val="00823490"/>
    <w:rsid w:val="0082400E"/>
    <w:rsid w:val="008259C6"/>
    <w:rsid w:val="00825A1E"/>
    <w:rsid w:val="008260D6"/>
    <w:rsid w:val="00827508"/>
    <w:rsid w:val="0083039A"/>
    <w:rsid w:val="008308B2"/>
    <w:rsid w:val="00830BB9"/>
    <w:rsid w:val="0083102B"/>
    <w:rsid w:val="00831B9A"/>
    <w:rsid w:val="00831BE7"/>
    <w:rsid w:val="00831F05"/>
    <w:rsid w:val="00832828"/>
    <w:rsid w:val="00832E1E"/>
    <w:rsid w:val="008330BF"/>
    <w:rsid w:val="0083390E"/>
    <w:rsid w:val="00833B25"/>
    <w:rsid w:val="008356EE"/>
    <w:rsid w:val="00835C76"/>
    <w:rsid w:val="00836875"/>
    <w:rsid w:val="00836B4E"/>
    <w:rsid w:val="00836C5F"/>
    <w:rsid w:val="00837DB8"/>
    <w:rsid w:val="008409C5"/>
    <w:rsid w:val="00840CEF"/>
    <w:rsid w:val="00841D88"/>
    <w:rsid w:val="008422C4"/>
    <w:rsid w:val="00842345"/>
    <w:rsid w:val="00842D5F"/>
    <w:rsid w:val="00843069"/>
    <w:rsid w:val="00843087"/>
    <w:rsid w:val="00843A35"/>
    <w:rsid w:val="00843A54"/>
    <w:rsid w:val="00844503"/>
    <w:rsid w:val="00844CB1"/>
    <w:rsid w:val="00844E1C"/>
    <w:rsid w:val="00844E55"/>
    <w:rsid w:val="0084554E"/>
    <w:rsid w:val="00846292"/>
    <w:rsid w:val="00846895"/>
    <w:rsid w:val="00846A5D"/>
    <w:rsid w:val="00847E85"/>
    <w:rsid w:val="008503AE"/>
    <w:rsid w:val="00850D17"/>
    <w:rsid w:val="0085138E"/>
    <w:rsid w:val="0085248C"/>
    <w:rsid w:val="00852751"/>
    <w:rsid w:val="0085281E"/>
    <w:rsid w:val="00852A08"/>
    <w:rsid w:val="00853595"/>
    <w:rsid w:val="0085446B"/>
    <w:rsid w:val="00854B03"/>
    <w:rsid w:val="00854B88"/>
    <w:rsid w:val="00856C9A"/>
    <w:rsid w:val="008572DA"/>
    <w:rsid w:val="0086099D"/>
    <w:rsid w:val="00861C8C"/>
    <w:rsid w:val="00862440"/>
    <w:rsid w:val="00862462"/>
    <w:rsid w:val="008626DC"/>
    <w:rsid w:val="00862B0A"/>
    <w:rsid w:val="008633FB"/>
    <w:rsid w:val="00863C1F"/>
    <w:rsid w:val="00865387"/>
    <w:rsid w:val="00865604"/>
    <w:rsid w:val="0086561D"/>
    <w:rsid w:val="008664C0"/>
    <w:rsid w:val="00870844"/>
    <w:rsid w:val="00871231"/>
    <w:rsid w:val="008712E9"/>
    <w:rsid w:val="00871D8E"/>
    <w:rsid w:val="008720E2"/>
    <w:rsid w:val="00873775"/>
    <w:rsid w:val="00873D31"/>
    <w:rsid w:val="00874B51"/>
    <w:rsid w:val="00874BCA"/>
    <w:rsid w:val="0087508C"/>
    <w:rsid w:val="00877B55"/>
    <w:rsid w:val="008803FC"/>
    <w:rsid w:val="00881047"/>
    <w:rsid w:val="00881070"/>
    <w:rsid w:val="00881C19"/>
    <w:rsid w:val="00882434"/>
    <w:rsid w:val="008827D4"/>
    <w:rsid w:val="00882A13"/>
    <w:rsid w:val="00883D77"/>
    <w:rsid w:val="008863B2"/>
    <w:rsid w:val="008864F6"/>
    <w:rsid w:val="00886883"/>
    <w:rsid w:val="00886F9F"/>
    <w:rsid w:val="008906CD"/>
    <w:rsid w:val="00890D4E"/>
    <w:rsid w:val="008914E5"/>
    <w:rsid w:val="00891A5F"/>
    <w:rsid w:val="0089224F"/>
    <w:rsid w:val="00892CF8"/>
    <w:rsid w:val="00893FAB"/>
    <w:rsid w:val="0089459B"/>
    <w:rsid w:val="00894DE3"/>
    <w:rsid w:val="00895B96"/>
    <w:rsid w:val="008963EE"/>
    <w:rsid w:val="00896923"/>
    <w:rsid w:val="008A00BF"/>
    <w:rsid w:val="008A1393"/>
    <w:rsid w:val="008A16C9"/>
    <w:rsid w:val="008A2A33"/>
    <w:rsid w:val="008A3699"/>
    <w:rsid w:val="008A5C44"/>
    <w:rsid w:val="008A76E6"/>
    <w:rsid w:val="008A79DA"/>
    <w:rsid w:val="008B01D5"/>
    <w:rsid w:val="008B0A3C"/>
    <w:rsid w:val="008B0CDC"/>
    <w:rsid w:val="008B1BF8"/>
    <w:rsid w:val="008B1CF4"/>
    <w:rsid w:val="008B1F06"/>
    <w:rsid w:val="008B2FD6"/>
    <w:rsid w:val="008B323C"/>
    <w:rsid w:val="008B4CB8"/>
    <w:rsid w:val="008B5C9C"/>
    <w:rsid w:val="008B70FE"/>
    <w:rsid w:val="008B7F7A"/>
    <w:rsid w:val="008C0198"/>
    <w:rsid w:val="008C0975"/>
    <w:rsid w:val="008C0FB9"/>
    <w:rsid w:val="008C1024"/>
    <w:rsid w:val="008C18F0"/>
    <w:rsid w:val="008C1C6E"/>
    <w:rsid w:val="008C201F"/>
    <w:rsid w:val="008C2B83"/>
    <w:rsid w:val="008C2DC7"/>
    <w:rsid w:val="008C300C"/>
    <w:rsid w:val="008C303C"/>
    <w:rsid w:val="008C465F"/>
    <w:rsid w:val="008C4CD0"/>
    <w:rsid w:val="008C54ED"/>
    <w:rsid w:val="008C7CC8"/>
    <w:rsid w:val="008C7D82"/>
    <w:rsid w:val="008D00E9"/>
    <w:rsid w:val="008D061F"/>
    <w:rsid w:val="008D0A44"/>
    <w:rsid w:val="008D1261"/>
    <w:rsid w:val="008D237E"/>
    <w:rsid w:val="008D34A4"/>
    <w:rsid w:val="008D3572"/>
    <w:rsid w:val="008D3B18"/>
    <w:rsid w:val="008D5405"/>
    <w:rsid w:val="008D5F63"/>
    <w:rsid w:val="008D61B4"/>
    <w:rsid w:val="008D6D35"/>
    <w:rsid w:val="008D6EF1"/>
    <w:rsid w:val="008D71AC"/>
    <w:rsid w:val="008D728A"/>
    <w:rsid w:val="008D7B29"/>
    <w:rsid w:val="008E0045"/>
    <w:rsid w:val="008E06C6"/>
    <w:rsid w:val="008E0C8A"/>
    <w:rsid w:val="008E0CC8"/>
    <w:rsid w:val="008E1710"/>
    <w:rsid w:val="008E1714"/>
    <w:rsid w:val="008E187D"/>
    <w:rsid w:val="008E1F6F"/>
    <w:rsid w:val="008E20F9"/>
    <w:rsid w:val="008E2119"/>
    <w:rsid w:val="008E2806"/>
    <w:rsid w:val="008E347E"/>
    <w:rsid w:val="008E4497"/>
    <w:rsid w:val="008E47F4"/>
    <w:rsid w:val="008E5003"/>
    <w:rsid w:val="008E561D"/>
    <w:rsid w:val="008E60B1"/>
    <w:rsid w:val="008E66BF"/>
    <w:rsid w:val="008E6720"/>
    <w:rsid w:val="008E68A4"/>
    <w:rsid w:val="008E68D1"/>
    <w:rsid w:val="008E6D61"/>
    <w:rsid w:val="008E7583"/>
    <w:rsid w:val="008F0852"/>
    <w:rsid w:val="008F16B6"/>
    <w:rsid w:val="008F1AFF"/>
    <w:rsid w:val="008F1F92"/>
    <w:rsid w:val="008F2794"/>
    <w:rsid w:val="008F27C5"/>
    <w:rsid w:val="008F3783"/>
    <w:rsid w:val="008F50EA"/>
    <w:rsid w:val="008F52B6"/>
    <w:rsid w:val="008F5D71"/>
    <w:rsid w:val="008F60B6"/>
    <w:rsid w:val="008F618D"/>
    <w:rsid w:val="008F6C40"/>
    <w:rsid w:val="008F792C"/>
    <w:rsid w:val="008F7ECB"/>
    <w:rsid w:val="0090033D"/>
    <w:rsid w:val="009004D6"/>
    <w:rsid w:val="00901502"/>
    <w:rsid w:val="00902435"/>
    <w:rsid w:val="009028BA"/>
    <w:rsid w:val="00902917"/>
    <w:rsid w:val="00903F08"/>
    <w:rsid w:val="00903FF8"/>
    <w:rsid w:val="00904299"/>
    <w:rsid w:val="00904E61"/>
    <w:rsid w:val="009063B7"/>
    <w:rsid w:val="0091107D"/>
    <w:rsid w:val="00911170"/>
    <w:rsid w:val="00911472"/>
    <w:rsid w:val="0091157C"/>
    <w:rsid w:val="00911FFC"/>
    <w:rsid w:val="0091305A"/>
    <w:rsid w:val="0091426B"/>
    <w:rsid w:val="00914807"/>
    <w:rsid w:val="009153F0"/>
    <w:rsid w:val="00916073"/>
    <w:rsid w:val="00916124"/>
    <w:rsid w:val="00916199"/>
    <w:rsid w:val="009164B9"/>
    <w:rsid w:val="009165CE"/>
    <w:rsid w:val="00916652"/>
    <w:rsid w:val="009178BF"/>
    <w:rsid w:val="00920098"/>
    <w:rsid w:val="009200A6"/>
    <w:rsid w:val="0092054A"/>
    <w:rsid w:val="00921268"/>
    <w:rsid w:val="0092236C"/>
    <w:rsid w:val="00922EDE"/>
    <w:rsid w:val="009236D6"/>
    <w:rsid w:val="009245C6"/>
    <w:rsid w:val="009246FE"/>
    <w:rsid w:val="009254C5"/>
    <w:rsid w:val="0092559E"/>
    <w:rsid w:val="0092588D"/>
    <w:rsid w:val="00926114"/>
    <w:rsid w:val="00926154"/>
    <w:rsid w:val="009261BE"/>
    <w:rsid w:val="009262C9"/>
    <w:rsid w:val="0092710B"/>
    <w:rsid w:val="00927217"/>
    <w:rsid w:val="0092736C"/>
    <w:rsid w:val="0092763C"/>
    <w:rsid w:val="00927862"/>
    <w:rsid w:val="00930C54"/>
    <w:rsid w:val="0093130C"/>
    <w:rsid w:val="00931FE5"/>
    <w:rsid w:val="00932159"/>
    <w:rsid w:val="0093250A"/>
    <w:rsid w:val="009328CC"/>
    <w:rsid w:val="00932BB5"/>
    <w:rsid w:val="009330B2"/>
    <w:rsid w:val="00934AF2"/>
    <w:rsid w:val="009355ED"/>
    <w:rsid w:val="0093569D"/>
    <w:rsid w:val="00936B8C"/>
    <w:rsid w:val="00936ED3"/>
    <w:rsid w:val="009379B2"/>
    <w:rsid w:val="00937A15"/>
    <w:rsid w:val="00937C50"/>
    <w:rsid w:val="00940A09"/>
    <w:rsid w:val="009410A0"/>
    <w:rsid w:val="009430B5"/>
    <w:rsid w:val="00943AE0"/>
    <w:rsid w:val="00943B03"/>
    <w:rsid w:val="00943CAE"/>
    <w:rsid w:val="009440D8"/>
    <w:rsid w:val="009447E1"/>
    <w:rsid w:val="00944977"/>
    <w:rsid w:val="00944C6C"/>
    <w:rsid w:val="00944F47"/>
    <w:rsid w:val="00945A52"/>
    <w:rsid w:val="00945B49"/>
    <w:rsid w:val="00946576"/>
    <w:rsid w:val="00947332"/>
    <w:rsid w:val="00947C40"/>
    <w:rsid w:val="00947C77"/>
    <w:rsid w:val="00950104"/>
    <w:rsid w:val="009506EE"/>
    <w:rsid w:val="00951030"/>
    <w:rsid w:val="00951862"/>
    <w:rsid w:val="009521FF"/>
    <w:rsid w:val="00953145"/>
    <w:rsid w:val="0095385B"/>
    <w:rsid w:val="00954520"/>
    <w:rsid w:val="00954A13"/>
    <w:rsid w:val="00955ADC"/>
    <w:rsid w:val="00955EFB"/>
    <w:rsid w:val="00956595"/>
    <w:rsid w:val="009575D6"/>
    <w:rsid w:val="00960B44"/>
    <w:rsid w:val="00961C3E"/>
    <w:rsid w:val="00962502"/>
    <w:rsid w:val="0096262F"/>
    <w:rsid w:val="00962C6F"/>
    <w:rsid w:val="0096317E"/>
    <w:rsid w:val="009637D5"/>
    <w:rsid w:val="00963AB5"/>
    <w:rsid w:val="00963BA3"/>
    <w:rsid w:val="0096438C"/>
    <w:rsid w:val="00964840"/>
    <w:rsid w:val="009648AD"/>
    <w:rsid w:val="00964E6D"/>
    <w:rsid w:val="0096579A"/>
    <w:rsid w:val="00965A9E"/>
    <w:rsid w:val="00966406"/>
    <w:rsid w:val="009664A3"/>
    <w:rsid w:val="00966693"/>
    <w:rsid w:val="00966759"/>
    <w:rsid w:val="009667CB"/>
    <w:rsid w:val="009669D1"/>
    <w:rsid w:val="00966D6D"/>
    <w:rsid w:val="009679D6"/>
    <w:rsid w:val="00970F83"/>
    <w:rsid w:val="00971603"/>
    <w:rsid w:val="0097241D"/>
    <w:rsid w:val="00972C85"/>
    <w:rsid w:val="009734DA"/>
    <w:rsid w:val="00973A38"/>
    <w:rsid w:val="0097544C"/>
    <w:rsid w:val="00975F25"/>
    <w:rsid w:val="00976688"/>
    <w:rsid w:val="009802EC"/>
    <w:rsid w:val="009803D7"/>
    <w:rsid w:val="009807E8"/>
    <w:rsid w:val="00980AF3"/>
    <w:rsid w:val="00981507"/>
    <w:rsid w:val="00982263"/>
    <w:rsid w:val="00983004"/>
    <w:rsid w:val="009830E8"/>
    <w:rsid w:val="00983A55"/>
    <w:rsid w:val="00983DBA"/>
    <w:rsid w:val="00983DCE"/>
    <w:rsid w:val="00985B52"/>
    <w:rsid w:val="0098626C"/>
    <w:rsid w:val="00986558"/>
    <w:rsid w:val="0098702D"/>
    <w:rsid w:val="00990225"/>
    <w:rsid w:val="0099067E"/>
    <w:rsid w:val="00991682"/>
    <w:rsid w:val="009916A4"/>
    <w:rsid w:val="00992D1D"/>
    <w:rsid w:val="00993BDE"/>
    <w:rsid w:val="0099469A"/>
    <w:rsid w:val="00995004"/>
    <w:rsid w:val="009A022B"/>
    <w:rsid w:val="009A07BC"/>
    <w:rsid w:val="009A098B"/>
    <w:rsid w:val="009A11E5"/>
    <w:rsid w:val="009A12C6"/>
    <w:rsid w:val="009A1668"/>
    <w:rsid w:val="009A16C2"/>
    <w:rsid w:val="009A1B64"/>
    <w:rsid w:val="009A1C8C"/>
    <w:rsid w:val="009A2055"/>
    <w:rsid w:val="009A2A35"/>
    <w:rsid w:val="009A2FFA"/>
    <w:rsid w:val="009A33D6"/>
    <w:rsid w:val="009A3DE7"/>
    <w:rsid w:val="009A3E1E"/>
    <w:rsid w:val="009A441A"/>
    <w:rsid w:val="009A498E"/>
    <w:rsid w:val="009A4B93"/>
    <w:rsid w:val="009A4BB0"/>
    <w:rsid w:val="009A5EB1"/>
    <w:rsid w:val="009A61D7"/>
    <w:rsid w:val="009A62F7"/>
    <w:rsid w:val="009A696C"/>
    <w:rsid w:val="009A6C04"/>
    <w:rsid w:val="009A6F16"/>
    <w:rsid w:val="009A729F"/>
    <w:rsid w:val="009A7B5F"/>
    <w:rsid w:val="009B05C1"/>
    <w:rsid w:val="009B0712"/>
    <w:rsid w:val="009B0FA9"/>
    <w:rsid w:val="009B1AB6"/>
    <w:rsid w:val="009B2145"/>
    <w:rsid w:val="009B25A8"/>
    <w:rsid w:val="009B30B4"/>
    <w:rsid w:val="009B472A"/>
    <w:rsid w:val="009B4DD7"/>
    <w:rsid w:val="009B5BB3"/>
    <w:rsid w:val="009B6222"/>
    <w:rsid w:val="009B650B"/>
    <w:rsid w:val="009B67A6"/>
    <w:rsid w:val="009B68DD"/>
    <w:rsid w:val="009C043A"/>
    <w:rsid w:val="009C19BE"/>
    <w:rsid w:val="009C1BB8"/>
    <w:rsid w:val="009C36D8"/>
    <w:rsid w:val="009C4E9B"/>
    <w:rsid w:val="009C50A1"/>
    <w:rsid w:val="009C51FE"/>
    <w:rsid w:val="009C5A6E"/>
    <w:rsid w:val="009C632B"/>
    <w:rsid w:val="009C654E"/>
    <w:rsid w:val="009C7365"/>
    <w:rsid w:val="009C7E5F"/>
    <w:rsid w:val="009C7F33"/>
    <w:rsid w:val="009D1515"/>
    <w:rsid w:val="009D1519"/>
    <w:rsid w:val="009D17AB"/>
    <w:rsid w:val="009D238D"/>
    <w:rsid w:val="009D2930"/>
    <w:rsid w:val="009D2B99"/>
    <w:rsid w:val="009D3CA3"/>
    <w:rsid w:val="009D5494"/>
    <w:rsid w:val="009D5590"/>
    <w:rsid w:val="009D571A"/>
    <w:rsid w:val="009D782D"/>
    <w:rsid w:val="009D7A3B"/>
    <w:rsid w:val="009D7E93"/>
    <w:rsid w:val="009E05B0"/>
    <w:rsid w:val="009E0FB3"/>
    <w:rsid w:val="009E1618"/>
    <w:rsid w:val="009E1F2D"/>
    <w:rsid w:val="009E24B9"/>
    <w:rsid w:val="009E3711"/>
    <w:rsid w:val="009E4161"/>
    <w:rsid w:val="009E4E20"/>
    <w:rsid w:val="009E5A29"/>
    <w:rsid w:val="009F107E"/>
    <w:rsid w:val="009F137A"/>
    <w:rsid w:val="009F2BEA"/>
    <w:rsid w:val="009F2CBA"/>
    <w:rsid w:val="009F3B50"/>
    <w:rsid w:val="009F3C2F"/>
    <w:rsid w:val="009F3C5C"/>
    <w:rsid w:val="009F4151"/>
    <w:rsid w:val="009F43FF"/>
    <w:rsid w:val="009F46DF"/>
    <w:rsid w:val="009F4870"/>
    <w:rsid w:val="009F4FB6"/>
    <w:rsid w:val="009F533D"/>
    <w:rsid w:val="009F5667"/>
    <w:rsid w:val="009F7C2D"/>
    <w:rsid w:val="00A008F4"/>
    <w:rsid w:val="00A02649"/>
    <w:rsid w:val="00A02D64"/>
    <w:rsid w:val="00A02F0D"/>
    <w:rsid w:val="00A031C9"/>
    <w:rsid w:val="00A035F9"/>
    <w:rsid w:val="00A037BE"/>
    <w:rsid w:val="00A03C67"/>
    <w:rsid w:val="00A04DD6"/>
    <w:rsid w:val="00A057A7"/>
    <w:rsid w:val="00A0629A"/>
    <w:rsid w:val="00A06AB6"/>
    <w:rsid w:val="00A06DD7"/>
    <w:rsid w:val="00A0737A"/>
    <w:rsid w:val="00A110F1"/>
    <w:rsid w:val="00A1121F"/>
    <w:rsid w:val="00A113D4"/>
    <w:rsid w:val="00A11B01"/>
    <w:rsid w:val="00A11E22"/>
    <w:rsid w:val="00A135E0"/>
    <w:rsid w:val="00A137CC"/>
    <w:rsid w:val="00A13CB7"/>
    <w:rsid w:val="00A13FEE"/>
    <w:rsid w:val="00A144B9"/>
    <w:rsid w:val="00A14685"/>
    <w:rsid w:val="00A14D2B"/>
    <w:rsid w:val="00A14D62"/>
    <w:rsid w:val="00A14E6E"/>
    <w:rsid w:val="00A152E2"/>
    <w:rsid w:val="00A15C73"/>
    <w:rsid w:val="00A15F1E"/>
    <w:rsid w:val="00A1671B"/>
    <w:rsid w:val="00A17998"/>
    <w:rsid w:val="00A20668"/>
    <w:rsid w:val="00A20F99"/>
    <w:rsid w:val="00A21F88"/>
    <w:rsid w:val="00A227B3"/>
    <w:rsid w:val="00A23091"/>
    <w:rsid w:val="00A237EE"/>
    <w:rsid w:val="00A237FB"/>
    <w:rsid w:val="00A243E4"/>
    <w:rsid w:val="00A24D9E"/>
    <w:rsid w:val="00A25988"/>
    <w:rsid w:val="00A25F36"/>
    <w:rsid w:val="00A26950"/>
    <w:rsid w:val="00A27933"/>
    <w:rsid w:val="00A30FDA"/>
    <w:rsid w:val="00A31847"/>
    <w:rsid w:val="00A31E6E"/>
    <w:rsid w:val="00A32540"/>
    <w:rsid w:val="00A3262E"/>
    <w:rsid w:val="00A32EBC"/>
    <w:rsid w:val="00A339E2"/>
    <w:rsid w:val="00A33ACF"/>
    <w:rsid w:val="00A33B98"/>
    <w:rsid w:val="00A33C98"/>
    <w:rsid w:val="00A35677"/>
    <w:rsid w:val="00A35D6A"/>
    <w:rsid w:val="00A36028"/>
    <w:rsid w:val="00A37455"/>
    <w:rsid w:val="00A37B58"/>
    <w:rsid w:val="00A40B61"/>
    <w:rsid w:val="00A4377E"/>
    <w:rsid w:val="00A43899"/>
    <w:rsid w:val="00A44412"/>
    <w:rsid w:val="00A4461D"/>
    <w:rsid w:val="00A4467B"/>
    <w:rsid w:val="00A4572C"/>
    <w:rsid w:val="00A45926"/>
    <w:rsid w:val="00A45EDE"/>
    <w:rsid w:val="00A462F9"/>
    <w:rsid w:val="00A463A4"/>
    <w:rsid w:val="00A47099"/>
    <w:rsid w:val="00A471C8"/>
    <w:rsid w:val="00A47230"/>
    <w:rsid w:val="00A47E9B"/>
    <w:rsid w:val="00A51462"/>
    <w:rsid w:val="00A51ED5"/>
    <w:rsid w:val="00A52BA9"/>
    <w:rsid w:val="00A5383B"/>
    <w:rsid w:val="00A543E2"/>
    <w:rsid w:val="00A54692"/>
    <w:rsid w:val="00A54B32"/>
    <w:rsid w:val="00A55A09"/>
    <w:rsid w:val="00A56208"/>
    <w:rsid w:val="00A566DE"/>
    <w:rsid w:val="00A57B3A"/>
    <w:rsid w:val="00A57E17"/>
    <w:rsid w:val="00A60033"/>
    <w:rsid w:val="00A60423"/>
    <w:rsid w:val="00A60A06"/>
    <w:rsid w:val="00A6187F"/>
    <w:rsid w:val="00A61F6B"/>
    <w:rsid w:val="00A61FD6"/>
    <w:rsid w:val="00A6312F"/>
    <w:rsid w:val="00A63BCC"/>
    <w:rsid w:val="00A64C78"/>
    <w:rsid w:val="00A64F43"/>
    <w:rsid w:val="00A65962"/>
    <w:rsid w:val="00A65BB1"/>
    <w:rsid w:val="00A65DC7"/>
    <w:rsid w:val="00A66F98"/>
    <w:rsid w:val="00A6710E"/>
    <w:rsid w:val="00A67F06"/>
    <w:rsid w:val="00A70138"/>
    <w:rsid w:val="00A703E9"/>
    <w:rsid w:val="00A70F57"/>
    <w:rsid w:val="00A71234"/>
    <w:rsid w:val="00A71CB2"/>
    <w:rsid w:val="00A71D16"/>
    <w:rsid w:val="00A71DF2"/>
    <w:rsid w:val="00A71EB9"/>
    <w:rsid w:val="00A720CE"/>
    <w:rsid w:val="00A72668"/>
    <w:rsid w:val="00A746BD"/>
    <w:rsid w:val="00A75599"/>
    <w:rsid w:val="00A75625"/>
    <w:rsid w:val="00A75722"/>
    <w:rsid w:val="00A7586E"/>
    <w:rsid w:val="00A75A1C"/>
    <w:rsid w:val="00A75A25"/>
    <w:rsid w:val="00A75D2E"/>
    <w:rsid w:val="00A76B60"/>
    <w:rsid w:val="00A773FB"/>
    <w:rsid w:val="00A80C12"/>
    <w:rsid w:val="00A81C7E"/>
    <w:rsid w:val="00A82111"/>
    <w:rsid w:val="00A82EB6"/>
    <w:rsid w:val="00A82F7F"/>
    <w:rsid w:val="00A82FAD"/>
    <w:rsid w:val="00A8351B"/>
    <w:rsid w:val="00A838E0"/>
    <w:rsid w:val="00A83DCF"/>
    <w:rsid w:val="00A842B9"/>
    <w:rsid w:val="00A848EF"/>
    <w:rsid w:val="00A85F0D"/>
    <w:rsid w:val="00A86893"/>
    <w:rsid w:val="00A872E6"/>
    <w:rsid w:val="00A91F5A"/>
    <w:rsid w:val="00A9266F"/>
    <w:rsid w:val="00A92DCB"/>
    <w:rsid w:val="00A93437"/>
    <w:rsid w:val="00A93BE0"/>
    <w:rsid w:val="00A9453B"/>
    <w:rsid w:val="00A9485D"/>
    <w:rsid w:val="00A94DC0"/>
    <w:rsid w:val="00A94E4A"/>
    <w:rsid w:val="00A95DE7"/>
    <w:rsid w:val="00A97A18"/>
    <w:rsid w:val="00AA039A"/>
    <w:rsid w:val="00AA0737"/>
    <w:rsid w:val="00AA0F91"/>
    <w:rsid w:val="00AA17C3"/>
    <w:rsid w:val="00AA1951"/>
    <w:rsid w:val="00AA227E"/>
    <w:rsid w:val="00AA2E8F"/>
    <w:rsid w:val="00AA3349"/>
    <w:rsid w:val="00AA3AD5"/>
    <w:rsid w:val="00AA3B9C"/>
    <w:rsid w:val="00AA3D9D"/>
    <w:rsid w:val="00AA4009"/>
    <w:rsid w:val="00AA4776"/>
    <w:rsid w:val="00AA4C9F"/>
    <w:rsid w:val="00AA60C6"/>
    <w:rsid w:val="00AA66FF"/>
    <w:rsid w:val="00AA69F6"/>
    <w:rsid w:val="00AA6CE1"/>
    <w:rsid w:val="00AA71CD"/>
    <w:rsid w:val="00AB0634"/>
    <w:rsid w:val="00AB12D1"/>
    <w:rsid w:val="00AB2724"/>
    <w:rsid w:val="00AB34EF"/>
    <w:rsid w:val="00AB3C09"/>
    <w:rsid w:val="00AB4969"/>
    <w:rsid w:val="00AB5DBF"/>
    <w:rsid w:val="00AB600C"/>
    <w:rsid w:val="00AB6C24"/>
    <w:rsid w:val="00AB725E"/>
    <w:rsid w:val="00AB75E2"/>
    <w:rsid w:val="00AC1AF1"/>
    <w:rsid w:val="00AC2054"/>
    <w:rsid w:val="00AC2363"/>
    <w:rsid w:val="00AC2779"/>
    <w:rsid w:val="00AC2F85"/>
    <w:rsid w:val="00AC353E"/>
    <w:rsid w:val="00AC3912"/>
    <w:rsid w:val="00AC3CED"/>
    <w:rsid w:val="00AC3E94"/>
    <w:rsid w:val="00AC4051"/>
    <w:rsid w:val="00AC4967"/>
    <w:rsid w:val="00AC5A58"/>
    <w:rsid w:val="00AC6D52"/>
    <w:rsid w:val="00AC6EB4"/>
    <w:rsid w:val="00AD0EAB"/>
    <w:rsid w:val="00AD206F"/>
    <w:rsid w:val="00AD20C9"/>
    <w:rsid w:val="00AD23A2"/>
    <w:rsid w:val="00AD3480"/>
    <w:rsid w:val="00AD3520"/>
    <w:rsid w:val="00AD3F19"/>
    <w:rsid w:val="00AD576C"/>
    <w:rsid w:val="00AD59BA"/>
    <w:rsid w:val="00AD6103"/>
    <w:rsid w:val="00AD7CEF"/>
    <w:rsid w:val="00AE005A"/>
    <w:rsid w:val="00AE0CD4"/>
    <w:rsid w:val="00AE29DE"/>
    <w:rsid w:val="00AE55D6"/>
    <w:rsid w:val="00AE5A0D"/>
    <w:rsid w:val="00AE5EB8"/>
    <w:rsid w:val="00AE61C9"/>
    <w:rsid w:val="00AE6767"/>
    <w:rsid w:val="00AE6DC9"/>
    <w:rsid w:val="00AF01B1"/>
    <w:rsid w:val="00AF1114"/>
    <w:rsid w:val="00AF12AF"/>
    <w:rsid w:val="00AF189E"/>
    <w:rsid w:val="00AF1EAF"/>
    <w:rsid w:val="00AF3D8F"/>
    <w:rsid w:val="00AF3DF1"/>
    <w:rsid w:val="00AF48A5"/>
    <w:rsid w:val="00AF5DF0"/>
    <w:rsid w:val="00AF65A3"/>
    <w:rsid w:val="00AF6AA7"/>
    <w:rsid w:val="00AF7D11"/>
    <w:rsid w:val="00AF7DA9"/>
    <w:rsid w:val="00B00079"/>
    <w:rsid w:val="00B0008C"/>
    <w:rsid w:val="00B01930"/>
    <w:rsid w:val="00B01B3D"/>
    <w:rsid w:val="00B02E45"/>
    <w:rsid w:val="00B03102"/>
    <w:rsid w:val="00B031C8"/>
    <w:rsid w:val="00B03627"/>
    <w:rsid w:val="00B0404C"/>
    <w:rsid w:val="00B0462D"/>
    <w:rsid w:val="00B04F5D"/>
    <w:rsid w:val="00B05F41"/>
    <w:rsid w:val="00B077C5"/>
    <w:rsid w:val="00B11482"/>
    <w:rsid w:val="00B11563"/>
    <w:rsid w:val="00B11761"/>
    <w:rsid w:val="00B11A29"/>
    <w:rsid w:val="00B11C62"/>
    <w:rsid w:val="00B1206D"/>
    <w:rsid w:val="00B1239A"/>
    <w:rsid w:val="00B13F1F"/>
    <w:rsid w:val="00B1433F"/>
    <w:rsid w:val="00B143F1"/>
    <w:rsid w:val="00B15F46"/>
    <w:rsid w:val="00B16508"/>
    <w:rsid w:val="00B16AAA"/>
    <w:rsid w:val="00B16D80"/>
    <w:rsid w:val="00B16E82"/>
    <w:rsid w:val="00B170E5"/>
    <w:rsid w:val="00B177E0"/>
    <w:rsid w:val="00B17885"/>
    <w:rsid w:val="00B17C88"/>
    <w:rsid w:val="00B20274"/>
    <w:rsid w:val="00B208E8"/>
    <w:rsid w:val="00B208F8"/>
    <w:rsid w:val="00B20976"/>
    <w:rsid w:val="00B2133B"/>
    <w:rsid w:val="00B22630"/>
    <w:rsid w:val="00B22C9C"/>
    <w:rsid w:val="00B239C3"/>
    <w:rsid w:val="00B25232"/>
    <w:rsid w:val="00B25404"/>
    <w:rsid w:val="00B25524"/>
    <w:rsid w:val="00B26AE7"/>
    <w:rsid w:val="00B26D6E"/>
    <w:rsid w:val="00B2738A"/>
    <w:rsid w:val="00B275A7"/>
    <w:rsid w:val="00B27AAC"/>
    <w:rsid w:val="00B30110"/>
    <w:rsid w:val="00B30465"/>
    <w:rsid w:val="00B31821"/>
    <w:rsid w:val="00B329F4"/>
    <w:rsid w:val="00B3335E"/>
    <w:rsid w:val="00B333FF"/>
    <w:rsid w:val="00B336EA"/>
    <w:rsid w:val="00B33C20"/>
    <w:rsid w:val="00B33DAB"/>
    <w:rsid w:val="00B351F7"/>
    <w:rsid w:val="00B355F8"/>
    <w:rsid w:val="00B36536"/>
    <w:rsid w:val="00B36D36"/>
    <w:rsid w:val="00B375CA"/>
    <w:rsid w:val="00B40FC1"/>
    <w:rsid w:val="00B41523"/>
    <w:rsid w:val="00B42F75"/>
    <w:rsid w:val="00B43AFC"/>
    <w:rsid w:val="00B46012"/>
    <w:rsid w:val="00B469AE"/>
    <w:rsid w:val="00B46C70"/>
    <w:rsid w:val="00B5048A"/>
    <w:rsid w:val="00B507BA"/>
    <w:rsid w:val="00B509A1"/>
    <w:rsid w:val="00B509CF"/>
    <w:rsid w:val="00B50DEE"/>
    <w:rsid w:val="00B5154D"/>
    <w:rsid w:val="00B53997"/>
    <w:rsid w:val="00B53B54"/>
    <w:rsid w:val="00B53C54"/>
    <w:rsid w:val="00B5433B"/>
    <w:rsid w:val="00B54C64"/>
    <w:rsid w:val="00B55212"/>
    <w:rsid w:val="00B5616D"/>
    <w:rsid w:val="00B56299"/>
    <w:rsid w:val="00B56884"/>
    <w:rsid w:val="00B61123"/>
    <w:rsid w:val="00B61941"/>
    <w:rsid w:val="00B61FBA"/>
    <w:rsid w:val="00B62AF5"/>
    <w:rsid w:val="00B63557"/>
    <w:rsid w:val="00B64066"/>
    <w:rsid w:val="00B64EA7"/>
    <w:rsid w:val="00B6557D"/>
    <w:rsid w:val="00B66325"/>
    <w:rsid w:val="00B669A1"/>
    <w:rsid w:val="00B66E66"/>
    <w:rsid w:val="00B6728B"/>
    <w:rsid w:val="00B700EC"/>
    <w:rsid w:val="00B703DD"/>
    <w:rsid w:val="00B70CCB"/>
    <w:rsid w:val="00B729E6"/>
    <w:rsid w:val="00B72A3B"/>
    <w:rsid w:val="00B732BB"/>
    <w:rsid w:val="00B74A30"/>
    <w:rsid w:val="00B74CE3"/>
    <w:rsid w:val="00B75482"/>
    <w:rsid w:val="00B75EED"/>
    <w:rsid w:val="00B76118"/>
    <w:rsid w:val="00B77119"/>
    <w:rsid w:val="00B773F5"/>
    <w:rsid w:val="00B801FD"/>
    <w:rsid w:val="00B818EF"/>
    <w:rsid w:val="00B82174"/>
    <w:rsid w:val="00B827BD"/>
    <w:rsid w:val="00B82C30"/>
    <w:rsid w:val="00B832D8"/>
    <w:rsid w:val="00B83E23"/>
    <w:rsid w:val="00B84292"/>
    <w:rsid w:val="00B84AEA"/>
    <w:rsid w:val="00B85E62"/>
    <w:rsid w:val="00B86A5F"/>
    <w:rsid w:val="00B878D7"/>
    <w:rsid w:val="00B903FC"/>
    <w:rsid w:val="00B907D6"/>
    <w:rsid w:val="00B91FB8"/>
    <w:rsid w:val="00B9312A"/>
    <w:rsid w:val="00B932EC"/>
    <w:rsid w:val="00B93F92"/>
    <w:rsid w:val="00B9421F"/>
    <w:rsid w:val="00B9446D"/>
    <w:rsid w:val="00B94B1C"/>
    <w:rsid w:val="00B94D42"/>
    <w:rsid w:val="00B95E15"/>
    <w:rsid w:val="00B96AF6"/>
    <w:rsid w:val="00B979F0"/>
    <w:rsid w:val="00B97F6C"/>
    <w:rsid w:val="00BA2FA3"/>
    <w:rsid w:val="00BA3907"/>
    <w:rsid w:val="00BA39D2"/>
    <w:rsid w:val="00BA4C6E"/>
    <w:rsid w:val="00BA4EA3"/>
    <w:rsid w:val="00BA58BD"/>
    <w:rsid w:val="00BA5E65"/>
    <w:rsid w:val="00BA5FD8"/>
    <w:rsid w:val="00BA6052"/>
    <w:rsid w:val="00BA6949"/>
    <w:rsid w:val="00BA6FD4"/>
    <w:rsid w:val="00BA76AC"/>
    <w:rsid w:val="00BB0A39"/>
    <w:rsid w:val="00BB0C22"/>
    <w:rsid w:val="00BB0EEC"/>
    <w:rsid w:val="00BB0FBA"/>
    <w:rsid w:val="00BB0FE8"/>
    <w:rsid w:val="00BB1359"/>
    <w:rsid w:val="00BB13FD"/>
    <w:rsid w:val="00BB14D3"/>
    <w:rsid w:val="00BB1B5C"/>
    <w:rsid w:val="00BB1D3A"/>
    <w:rsid w:val="00BB1E12"/>
    <w:rsid w:val="00BB1F25"/>
    <w:rsid w:val="00BB44EC"/>
    <w:rsid w:val="00BB4BF7"/>
    <w:rsid w:val="00BB4E0D"/>
    <w:rsid w:val="00BB5B55"/>
    <w:rsid w:val="00BB653E"/>
    <w:rsid w:val="00BB6FAA"/>
    <w:rsid w:val="00BB75D3"/>
    <w:rsid w:val="00BB7EBD"/>
    <w:rsid w:val="00BC0412"/>
    <w:rsid w:val="00BC0D84"/>
    <w:rsid w:val="00BC0EBD"/>
    <w:rsid w:val="00BC1BF4"/>
    <w:rsid w:val="00BC3455"/>
    <w:rsid w:val="00BC3A47"/>
    <w:rsid w:val="00BC3EF0"/>
    <w:rsid w:val="00BC4302"/>
    <w:rsid w:val="00BC5889"/>
    <w:rsid w:val="00BC66C3"/>
    <w:rsid w:val="00BC770E"/>
    <w:rsid w:val="00BC7B9A"/>
    <w:rsid w:val="00BD007D"/>
    <w:rsid w:val="00BD01F4"/>
    <w:rsid w:val="00BD0396"/>
    <w:rsid w:val="00BD0986"/>
    <w:rsid w:val="00BD1172"/>
    <w:rsid w:val="00BD136A"/>
    <w:rsid w:val="00BD170A"/>
    <w:rsid w:val="00BD26B0"/>
    <w:rsid w:val="00BD2C0C"/>
    <w:rsid w:val="00BD2DBC"/>
    <w:rsid w:val="00BD2FAC"/>
    <w:rsid w:val="00BD3924"/>
    <w:rsid w:val="00BD47F8"/>
    <w:rsid w:val="00BD50C6"/>
    <w:rsid w:val="00BD526B"/>
    <w:rsid w:val="00BD5E30"/>
    <w:rsid w:val="00BD67E8"/>
    <w:rsid w:val="00BD6E06"/>
    <w:rsid w:val="00BD714E"/>
    <w:rsid w:val="00BD75A9"/>
    <w:rsid w:val="00BD7901"/>
    <w:rsid w:val="00BE0007"/>
    <w:rsid w:val="00BE0113"/>
    <w:rsid w:val="00BE02D0"/>
    <w:rsid w:val="00BE1350"/>
    <w:rsid w:val="00BE291E"/>
    <w:rsid w:val="00BE30AC"/>
    <w:rsid w:val="00BE39D0"/>
    <w:rsid w:val="00BE4779"/>
    <w:rsid w:val="00BE47F6"/>
    <w:rsid w:val="00BE5563"/>
    <w:rsid w:val="00BE5564"/>
    <w:rsid w:val="00BE6432"/>
    <w:rsid w:val="00BE6E6C"/>
    <w:rsid w:val="00BE72DA"/>
    <w:rsid w:val="00BE740E"/>
    <w:rsid w:val="00BE747F"/>
    <w:rsid w:val="00BF00FB"/>
    <w:rsid w:val="00BF0267"/>
    <w:rsid w:val="00BF1D33"/>
    <w:rsid w:val="00BF2B5A"/>
    <w:rsid w:val="00BF40B5"/>
    <w:rsid w:val="00BF4A63"/>
    <w:rsid w:val="00BF59AD"/>
    <w:rsid w:val="00BF611D"/>
    <w:rsid w:val="00BF6122"/>
    <w:rsid w:val="00BF6B4E"/>
    <w:rsid w:val="00BF7A9A"/>
    <w:rsid w:val="00BF7B10"/>
    <w:rsid w:val="00BF7D11"/>
    <w:rsid w:val="00C00A63"/>
    <w:rsid w:val="00C02E42"/>
    <w:rsid w:val="00C02FD9"/>
    <w:rsid w:val="00C0345C"/>
    <w:rsid w:val="00C03AC5"/>
    <w:rsid w:val="00C03D47"/>
    <w:rsid w:val="00C05581"/>
    <w:rsid w:val="00C05AA5"/>
    <w:rsid w:val="00C066DB"/>
    <w:rsid w:val="00C101B2"/>
    <w:rsid w:val="00C10372"/>
    <w:rsid w:val="00C10CA8"/>
    <w:rsid w:val="00C10E78"/>
    <w:rsid w:val="00C116A3"/>
    <w:rsid w:val="00C119D6"/>
    <w:rsid w:val="00C11B34"/>
    <w:rsid w:val="00C1205A"/>
    <w:rsid w:val="00C12A79"/>
    <w:rsid w:val="00C136A9"/>
    <w:rsid w:val="00C14CF1"/>
    <w:rsid w:val="00C1541A"/>
    <w:rsid w:val="00C15615"/>
    <w:rsid w:val="00C16EE1"/>
    <w:rsid w:val="00C17692"/>
    <w:rsid w:val="00C17859"/>
    <w:rsid w:val="00C17FC0"/>
    <w:rsid w:val="00C221A7"/>
    <w:rsid w:val="00C222FC"/>
    <w:rsid w:val="00C22B08"/>
    <w:rsid w:val="00C23CD4"/>
    <w:rsid w:val="00C23E08"/>
    <w:rsid w:val="00C241E0"/>
    <w:rsid w:val="00C244A1"/>
    <w:rsid w:val="00C25233"/>
    <w:rsid w:val="00C260AE"/>
    <w:rsid w:val="00C271DF"/>
    <w:rsid w:val="00C27598"/>
    <w:rsid w:val="00C27E4C"/>
    <w:rsid w:val="00C306FD"/>
    <w:rsid w:val="00C311EC"/>
    <w:rsid w:val="00C311EE"/>
    <w:rsid w:val="00C313B5"/>
    <w:rsid w:val="00C313F5"/>
    <w:rsid w:val="00C319E0"/>
    <w:rsid w:val="00C31F7E"/>
    <w:rsid w:val="00C321BA"/>
    <w:rsid w:val="00C325A8"/>
    <w:rsid w:val="00C34986"/>
    <w:rsid w:val="00C354E9"/>
    <w:rsid w:val="00C3695F"/>
    <w:rsid w:val="00C372AF"/>
    <w:rsid w:val="00C375DE"/>
    <w:rsid w:val="00C37733"/>
    <w:rsid w:val="00C40022"/>
    <w:rsid w:val="00C401B9"/>
    <w:rsid w:val="00C4037C"/>
    <w:rsid w:val="00C40DB9"/>
    <w:rsid w:val="00C41D69"/>
    <w:rsid w:val="00C42159"/>
    <w:rsid w:val="00C43852"/>
    <w:rsid w:val="00C439EE"/>
    <w:rsid w:val="00C45042"/>
    <w:rsid w:val="00C455BA"/>
    <w:rsid w:val="00C47A1F"/>
    <w:rsid w:val="00C47D02"/>
    <w:rsid w:val="00C47DA5"/>
    <w:rsid w:val="00C500CC"/>
    <w:rsid w:val="00C50305"/>
    <w:rsid w:val="00C506CB"/>
    <w:rsid w:val="00C50CAA"/>
    <w:rsid w:val="00C523F7"/>
    <w:rsid w:val="00C52DF5"/>
    <w:rsid w:val="00C52FCD"/>
    <w:rsid w:val="00C53C47"/>
    <w:rsid w:val="00C549DB"/>
    <w:rsid w:val="00C55BD0"/>
    <w:rsid w:val="00C56094"/>
    <w:rsid w:val="00C5618F"/>
    <w:rsid w:val="00C56CE2"/>
    <w:rsid w:val="00C56F42"/>
    <w:rsid w:val="00C574C5"/>
    <w:rsid w:val="00C57B26"/>
    <w:rsid w:val="00C6049B"/>
    <w:rsid w:val="00C61100"/>
    <w:rsid w:val="00C61A6D"/>
    <w:rsid w:val="00C61A9F"/>
    <w:rsid w:val="00C62549"/>
    <w:rsid w:val="00C62879"/>
    <w:rsid w:val="00C63072"/>
    <w:rsid w:val="00C6442A"/>
    <w:rsid w:val="00C646DF"/>
    <w:rsid w:val="00C64B20"/>
    <w:rsid w:val="00C66D8B"/>
    <w:rsid w:val="00C67853"/>
    <w:rsid w:val="00C67E05"/>
    <w:rsid w:val="00C71250"/>
    <w:rsid w:val="00C7184E"/>
    <w:rsid w:val="00C71CBB"/>
    <w:rsid w:val="00C73477"/>
    <w:rsid w:val="00C73E31"/>
    <w:rsid w:val="00C745F5"/>
    <w:rsid w:val="00C75013"/>
    <w:rsid w:val="00C753AC"/>
    <w:rsid w:val="00C75593"/>
    <w:rsid w:val="00C75943"/>
    <w:rsid w:val="00C76FE3"/>
    <w:rsid w:val="00C77660"/>
    <w:rsid w:val="00C8028E"/>
    <w:rsid w:val="00C80732"/>
    <w:rsid w:val="00C80866"/>
    <w:rsid w:val="00C814A1"/>
    <w:rsid w:val="00C81C4D"/>
    <w:rsid w:val="00C820D6"/>
    <w:rsid w:val="00C820DE"/>
    <w:rsid w:val="00C821BA"/>
    <w:rsid w:val="00C82801"/>
    <w:rsid w:val="00C82B87"/>
    <w:rsid w:val="00C83B96"/>
    <w:rsid w:val="00C84172"/>
    <w:rsid w:val="00C849DF"/>
    <w:rsid w:val="00C85328"/>
    <w:rsid w:val="00C857F6"/>
    <w:rsid w:val="00C8588F"/>
    <w:rsid w:val="00C85C44"/>
    <w:rsid w:val="00C87308"/>
    <w:rsid w:val="00C90042"/>
    <w:rsid w:val="00C90DE7"/>
    <w:rsid w:val="00C91AC4"/>
    <w:rsid w:val="00C9216C"/>
    <w:rsid w:val="00C92790"/>
    <w:rsid w:val="00C92ADB"/>
    <w:rsid w:val="00C93383"/>
    <w:rsid w:val="00C941B3"/>
    <w:rsid w:val="00C9470C"/>
    <w:rsid w:val="00C9486C"/>
    <w:rsid w:val="00C95186"/>
    <w:rsid w:val="00C9657A"/>
    <w:rsid w:val="00C96680"/>
    <w:rsid w:val="00C96ACA"/>
    <w:rsid w:val="00CA073A"/>
    <w:rsid w:val="00CA117C"/>
    <w:rsid w:val="00CA20A9"/>
    <w:rsid w:val="00CA2BD6"/>
    <w:rsid w:val="00CA3144"/>
    <w:rsid w:val="00CA36BE"/>
    <w:rsid w:val="00CA422B"/>
    <w:rsid w:val="00CA44EA"/>
    <w:rsid w:val="00CA47E1"/>
    <w:rsid w:val="00CA4875"/>
    <w:rsid w:val="00CA4CD2"/>
    <w:rsid w:val="00CA69B3"/>
    <w:rsid w:val="00CA6FFE"/>
    <w:rsid w:val="00CA75A0"/>
    <w:rsid w:val="00CA77A5"/>
    <w:rsid w:val="00CB10D0"/>
    <w:rsid w:val="00CB189F"/>
    <w:rsid w:val="00CB1F3D"/>
    <w:rsid w:val="00CB3875"/>
    <w:rsid w:val="00CB3B9B"/>
    <w:rsid w:val="00CB4574"/>
    <w:rsid w:val="00CB4890"/>
    <w:rsid w:val="00CB6A83"/>
    <w:rsid w:val="00CB6D1F"/>
    <w:rsid w:val="00CB6EA9"/>
    <w:rsid w:val="00CC0A1B"/>
    <w:rsid w:val="00CC0F7F"/>
    <w:rsid w:val="00CC194E"/>
    <w:rsid w:val="00CC3F48"/>
    <w:rsid w:val="00CC43F8"/>
    <w:rsid w:val="00CC6516"/>
    <w:rsid w:val="00CC6AE1"/>
    <w:rsid w:val="00CC7268"/>
    <w:rsid w:val="00CD070E"/>
    <w:rsid w:val="00CD09AE"/>
    <w:rsid w:val="00CD1E88"/>
    <w:rsid w:val="00CD1EF9"/>
    <w:rsid w:val="00CD2BE8"/>
    <w:rsid w:val="00CD2CAD"/>
    <w:rsid w:val="00CD3C34"/>
    <w:rsid w:val="00CD3C80"/>
    <w:rsid w:val="00CD55B8"/>
    <w:rsid w:val="00CD578B"/>
    <w:rsid w:val="00CD68B8"/>
    <w:rsid w:val="00CD6C17"/>
    <w:rsid w:val="00CD72D8"/>
    <w:rsid w:val="00CD7410"/>
    <w:rsid w:val="00CD7C11"/>
    <w:rsid w:val="00CE06CD"/>
    <w:rsid w:val="00CE0764"/>
    <w:rsid w:val="00CE11B0"/>
    <w:rsid w:val="00CE142D"/>
    <w:rsid w:val="00CE149E"/>
    <w:rsid w:val="00CE1958"/>
    <w:rsid w:val="00CE1A48"/>
    <w:rsid w:val="00CE208E"/>
    <w:rsid w:val="00CE33CA"/>
    <w:rsid w:val="00CE40F6"/>
    <w:rsid w:val="00CE4552"/>
    <w:rsid w:val="00CE4B29"/>
    <w:rsid w:val="00CE5CF7"/>
    <w:rsid w:val="00CE6C68"/>
    <w:rsid w:val="00CE7049"/>
    <w:rsid w:val="00CF0D8C"/>
    <w:rsid w:val="00CF0E87"/>
    <w:rsid w:val="00CF0F0E"/>
    <w:rsid w:val="00CF1769"/>
    <w:rsid w:val="00CF2027"/>
    <w:rsid w:val="00CF2C58"/>
    <w:rsid w:val="00CF4E59"/>
    <w:rsid w:val="00CF54C2"/>
    <w:rsid w:val="00CF5B88"/>
    <w:rsid w:val="00CF5D16"/>
    <w:rsid w:val="00CF62AC"/>
    <w:rsid w:val="00CF6529"/>
    <w:rsid w:val="00CF7082"/>
    <w:rsid w:val="00CF74F0"/>
    <w:rsid w:val="00D00DF4"/>
    <w:rsid w:val="00D0237F"/>
    <w:rsid w:val="00D026EC"/>
    <w:rsid w:val="00D02CFD"/>
    <w:rsid w:val="00D03314"/>
    <w:rsid w:val="00D03729"/>
    <w:rsid w:val="00D0451D"/>
    <w:rsid w:val="00D04B89"/>
    <w:rsid w:val="00D04DD3"/>
    <w:rsid w:val="00D061C0"/>
    <w:rsid w:val="00D071B3"/>
    <w:rsid w:val="00D101FB"/>
    <w:rsid w:val="00D10398"/>
    <w:rsid w:val="00D13DCA"/>
    <w:rsid w:val="00D13ECA"/>
    <w:rsid w:val="00D1419E"/>
    <w:rsid w:val="00D15E04"/>
    <w:rsid w:val="00D16FB2"/>
    <w:rsid w:val="00D17CDF"/>
    <w:rsid w:val="00D207D9"/>
    <w:rsid w:val="00D20A46"/>
    <w:rsid w:val="00D21A2D"/>
    <w:rsid w:val="00D22BDE"/>
    <w:rsid w:val="00D259EA"/>
    <w:rsid w:val="00D25DB2"/>
    <w:rsid w:val="00D26362"/>
    <w:rsid w:val="00D26FF9"/>
    <w:rsid w:val="00D270CA"/>
    <w:rsid w:val="00D273D2"/>
    <w:rsid w:val="00D27D2C"/>
    <w:rsid w:val="00D305FD"/>
    <w:rsid w:val="00D30708"/>
    <w:rsid w:val="00D30CBE"/>
    <w:rsid w:val="00D31BF4"/>
    <w:rsid w:val="00D31D57"/>
    <w:rsid w:val="00D31DA7"/>
    <w:rsid w:val="00D31ED6"/>
    <w:rsid w:val="00D3234F"/>
    <w:rsid w:val="00D325C7"/>
    <w:rsid w:val="00D32C95"/>
    <w:rsid w:val="00D33CDB"/>
    <w:rsid w:val="00D33EAC"/>
    <w:rsid w:val="00D34559"/>
    <w:rsid w:val="00D34F6D"/>
    <w:rsid w:val="00D36E89"/>
    <w:rsid w:val="00D424FF"/>
    <w:rsid w:val="00D42580"/>
    <w:rsid w:val="00D44607"/>
    <w:rsid w:val="00D44F41"/>
    <w:rsid w:val="00D45926"/>
    <w:rsid w:val="00D45B18"/>
    <w:rsid w:val="00D46AF4"/>
    <w:rsid w:val="00D507A1"/>
    <w:rsid w:val="00D5131B"/>
    <w:rsid w:val="00D5148D"/>
    <w:rsid w:val="00D5211E"/>
    <w:rsid w:val="00D539D9"/>
    <w:rsid w:val="00D53A33"/>
    <w:rsid w:val="00D5446C"/>
    <w:rsid w:val="00D54638"/>
    <w:rsid w:val="00D54D9F"/>
    <w:rsid w:val="00D55A1E"/>
    <w:rsid w:val="00D55A92"/>
    <w:rsid w:val="00D55B7E"/>
    <w:rsid w:val="00D55D3B"/>
    <w:rsid w:val="00D56855"/>
    <w:rsid w:val="00D573B8"/>
    <w:rsid w:val="00D57EEB"/>
    <w:rsid w:val="00D60007"/>
    <w:rsid w:val="00D601A1"/>
    <w:rsid w:val="00D60684"/>
    <w:rsid w:val="00D60E79"/>
    <w:rsid w:val="00D61084"/>
    <w:rsid w:val="00D611E6"/>
    <w:rsid w:val="00D61943"/>
    <w:rsid w:val="00D64747"/>
    <w:rsid w:val="00D64D52"/>
    <w:rsid w:val="00D65058"/>
    <w:rsid w:val="00D668B1"/>
    <w:rsid w:val="00D66BA4"/>
    <w:rsid w:val="00D66CD1"/>
    <w:rsid w:val="00D70413"/>
    <w:rsid w:val="00D70510"/>
    <w:rsid w:val="00D7135F"/>
    <w:rsid w:val="00D71EA9"/>
    <w:rsid w:val="00D72D30"/>
    <w:rsid w:val="00D74285"/>
    <w:rsid w:val="00D74E73"/>
    <w:rsid w:val="00D756FD"/>
    <w:rsid w:val="00D75D70"/>
    <w:rsid w:val="00D75EBF"/>
    <w:rsid w:val="00D760B8"/>
    <w:rsid w:val="00D76601"/>
    <w:rsid w:val="00D76D52"/>
    <w:rsid w:val="00D76D77"/>
    <w:rsid w:val="00D77D84"/>
    <w:rsid w:val="00D77FE8"/>
    <w:rsid w:val="00D8058C"/>
    <w:rsid w:val="00D807F3"/>
    <w:rsid w:val="00D808A9"/>
    <w:rsid w:val="00D81137"/>
    <w:rsid w:val="00D81AD6"/>
    <w:rsid w:val="00D81B98"/>
    <w:rsid w:val="00D82122"/>
    <w:rsid w:val="00D825BE"/>
    <w:rsid w:val="00D83356"/>
    <w:rsid w:val="00D844C0"/>
    <w:rsid w:val="00D848D9"/>
    <w:rsid w:val="00D84B8A"/>
    <w:rsid w:val="00D85B48"/>
    <w:rsid w:val="00D866A4"/>
    <w:rsid w:val="00D8733A"/>
    <w:rsid w:val="00D8756E"/>
    <w:rsid w:val="00D87932"/>
    <w:rsid w:val="00D87F1B"/>
    <w:rsid w:val="00D87F65"/>
    <w:rsid w:val="00D90761"/>
    <w:rsid w:val="00D90875"/>
    <w:rsid w:val="00D91940"/>
    <w:rsid w:val="00D91AB7"/>
    <w:rsid w:val="00D91E2A"/>
    <w:rsid w:val="00D92646"/>
    <w:rsid w:val="00D9307F"/>
    <w:rsid w:val="00D93726"/>
    <w:rsid w:val="00D938A2"/>
    <w:rsid w:val="00D95BFE"/>
    <w:rsid w:val="00D95ECC"/>
    <w:rsid w:val="00D96AA6"/>
    <w:rsid w:val="00DA0668"/>
    <w:rsid w:val="00DA0AB9"/>
    <w:rsid w:val="00DA19C4"/>
    <w:rsid w:val="00DA3718"/>
    <w:rsid w:val="00DA3890"/>
    <w:rsid w:val="00DA3CB5"/>
    <w:rsid w:val="00DA4C1A"/>
    <w:rsid w:val="00DA56F3"/>
    <w:rsid w:val="00DA5842"/>
    <w:rsid w:val="00DA5E3D"/>
    <w:rsid w:val="00DA72D7"/>
    <w:rsid w:val="00DA77AE"/>
    <w:rsid w:val="00DB0697"/>
    <w:rsid w:val="00DB091B"/>
    <w:rsid w:val="00DB20DA"/>
    <w:rsid w:val="00DB217D"/>
    <w:rsid w:val="00DB2253"/>
    <w:rsid w:val="00DB2B4F"/>
    <w:rsid w:val="00DB3C9E"/>
    <w:rsid w:val="00DB43EB"/>
    <w:rsid w:val="00DB455B"/>
    <w:rsid w:val="00DB4C16"/>
    <w:rsid w:val="00DB4EE3"/>
    <w:rsid w:val="00DB537B"/>
    <w:rsid w:val="00DB581E"/>
    <w:rsid w:val="00DB6432"/>
    <w:rsid w:val="00DB6A2A"/>
    <w:rsid w:val="00DB6C9E"/>
    <w:rsid w:val="00DB7D7C"/>
    <w:rsid w:val="00DC086A"/>
    <w:rsid w:val="00DC13C1"/>
    <w:rsid w:val="00DC1870"/>
    <w:rsid w:val="00DC1E66"/>
    <w:rsid w:val="00DC258F"/>
    <w:rsid w:val="00DC30DD"/>
    <w:rsid w:val="00DC333C"/>
    <w:rsid w:val="00DC4597"/>
    <w:rsid w:val="00DC49DD"/>
    <w:rsid w:val="00DC4B75"/>
    <w:rsid w:val="00DC4CB7"/>
    <w:rsid w:val="00DC5DC4"/>
    <w:rsid w:val="00DC5FA3"/>
    <w:rsid w:val="00DC6832"/>
    <w:rsid w:val="00DC6AF5"/>
    <w:rsid w:val="00DC7EEB"/>
    <w:rsid w:val="00DD0888"/>
    <w:rsid w:val="00DD092B"/>
    <w:rsid w:val="00DD368E"/>
    <w:rsid w:val="00DD5AF0"/>
    <w:rsid w:val="00DD5C30"/>
    <w:rsid w:val="00DD60B3"/>
    <w:rsid w:val="00DD6E84"/>
    <w:rsid w:val="00DD7844"/>
    <w:rsid w:val="00DE0305"/>
    <w:rsid w:val="00DE0B7E"/>
    <w:rsid w:val="00DE0CCB"/>
    <w:rsid w:val="00DE0CEA"/>
    <w:rsid w:val="00DE19EB"/>
    <w:rsid w:val="00DE244D"/>
    <w:rsid w:val="00DE2A44"/>
    <w:rsid w:val="00DE2E11"/>
    <w:rsid w:val="00DE3438"/>
    <w:rsid w:val="00DE375C"/>
    <w:rsid w:val="00DE3B62"/>
    <w:rsid w:val="00DE473B"/>
    <w:rsid w:val="00DE523D"/>
    <w:rsid w:val="00DE561E"/>
    <w:rsid w:val="00DE5778"/>
    <w:rsid w:val="00DE5822"/>
    <w:rsid w:val="00DF0062"/>
    <w:rsid w:val="00DF0776"/>
    <w:rsid w:val="00DF0E87"/>
    <w:rsid w:val="00DF128F"/>
    <w:rsid w:val="00DF1D2B"/>
    <w:rsid w:val="00DF2325"/>
    <w:rsid w:val="00DF26E5"/>
    <w:rsid w:val="00DF312C"/>
    <w:rsid w:val="00DF34A4"/>
    <w:rsid w:val="00DF44B0"/>
    <w:rsid w:val="00DF460E"/>
    <w:rsid w:val="00DF56E2"/>
    <w:rsid w:val="00DF5EFA"/>
    <w:rsid w:val="00DF611E"/>
    <w:rsid w:val="00DF768C"/>
    <w:rsid w:val="00DF7FA5"/>
    <w:rsid w:val="00E0253D"/>
    <w:rsid w:val="00E03833"/>
    <w:rsid w:val="00E04791"/>
    <w:rsid w:val="00E0544C"/>
    <w:rsid w:val="00E05C92"/>
    <w:rsid w:val="00E0621C"/>
    <w:rsid w:val="00E06828"/>
    <w:rsid w:val="00E0730B"/>
    <w:rsid w:val="00E074B9"/>
    <w:rsid w:val="00E07507"/>
    <w:rsid w:val="00E07E7C"/>
    <w:rsid w:val="00E103BB"/>
    <w:rsid w:val="00E107EF"/>
    <w:rsid w:val="00E10DBC"/>
    <w:rsid w:val="00E12C07"/>
    <w:rsid w:val="00E14204"/>
    <w:rsid w:val="00E14340"/>
    <w:rsid w:val="00E16C27"/>
    <w:rsid w:val="00E16F5A"/>
    <w:rsid w:val="00E175C6"/>
    <w:rsid w:val="00E208A4"/>
    <w:rsid w:val="00E210C3"/>
    <w:rsid w:val="00E213C5"/>
    <w:rsid w:val="00E21453"/>
    <w:rsid w:val="00E21910"/>
    <w:rsid w:val="00E23740"/>
    <w:rsid w:val="00E25763"/>
    <w:rsid w:val="00E26194"/>
    <w:rsid w:val="00E264F1"/>
    <w:rsid w:val="00E265C3"/>
    <w:rsid w:val="00E26624"/>
    <w:rsid w:val="00E270CC"/>
    <w:rsid w:val="00E271A5"/>
    <w:rsid w:val="00E27D51"/>
    <w:rsid w:val="00E30375"/>
    <w:rsid w:val="00E308A5"/>
    <w:rsid w:val="00E30B67"/>
    <w:rsid w:val="00E31020"/>
    <w:rsid w:val="00E31BBC"/>
    <w:rsid w:val="00E31E42"/>
    <w:rsid w:val="00E32394"/>
    <w:rsid w:val="00E32BAF"/>
    <w:rsid w:val="00E32FFF"/>
    <w:rsid w:val="00E331D3"/>
    <w:rsid w:val="00E332AC"/>
    <w:rsid w:val="00E339F2"/>
    <w:rsid w:val="00E34864"/>
    <w:rsid w:val="00E34902"/>
    <w:rsid w:val="00E34996"/>
    <w:rsid w:val="00E351DD"/>
    <w:rsid w:val="00E3543F"/>
    <w:rsid w:val="00E3592E"/>
    <w:rsid w:val="00E3668D"/>
    <w:rsid w:val="00E36C0C"/>
    <w:rsid w:val="00E376BD"/>
    <w:rsid w:val="00E40BE1"/>
    <w:rsid w:val="00E41329"/>
    <w:rsid w:val="00E414B8"/>
    <w:rsid w:val="00E41B3C"/>
    <w:rsid w:val="00E41DA4"/>
    <w:rsid w:val="00E42581"/>
    <w:rsid w:val="00E42E26"/>
    <w:rsid w:val="00E42EC1"/>
    <w:rsid w:val="00E43B11"/>
    <w:rsid w:val="00E43EBA"/>
    <w:rsid w:val="00E4423A"/>
    <w:rsid w:val="00E4466F"/>
    <w:rsid w:val="00E44B98"/>
    <w:rsid w:val="00E45973"/>
    <w:rsid w:val="00E45EDF"/>
    <w:rsid w:val="00E46C59"/>
    <w:rsid w:val="00E46EA4"/>
    <w:rsid w:val="00E47279"/>
    <w:rsid w:val="00E47871"/>
    <w:rsid w:val="00E47A90"/>
    <w:rsid w:val="00E47F94"/>
    <w:rsid w:val="00E509EF"/>
    <w:rsid w:val="00E5136E"/>
    <w:rsid w:val="00E5275A"/>
    <w:rsid w:val="00E53707"/>
    <w:rsid w:val="00E53F34"/>
    <w:rsid w:val="00E54105"/>
    <w:rsid w:val="00E55044"/>
    <w:rsid w:val="00E55359"/>
    <w:rsid w:val="00E55BA2"/>
    <w:rsid w:val="00E56A69"/>
    <w:rsid w:val="00E57495"/>
    <w:rsid w:val="00E57E8D"/>
    <w:rsid w:val="00E6007D"/>
    <w:rsid w:val="00E60917"/>
    <w:rsid w:val="00E61BE4"/>
    <w:rsid w:val="00E6216A"/>
    <w:rsid w:val="00E62722"/>
    <w:rsid w:val="00E648F6"/>
    <w:rsid w:val="00E651D2"/>
    <w:rsid w:val="00E65342"/>
    <w:rsid w:val="00E657A6"/>
    <w:rsid w:val="00E66572"/>
    <w:rsid w:val="00E6700D"/>
    <w:rsid w:val="00E67417"/>
    <w:rsid w:val="00E675EC"/>
    <w:rsid w:val="00E70041"/>
    <w:rsid w:val="00E70729"/>
    <w:rsid w:val="00E709E9"/>
    <w:rsid w:val="00E7296C"/>
    <w:rsid w:val="00E729D9"/>
    <w:rsid w:val="00E737C7"/>
    <w:rsid w:val="00E741FA"/>
    <w:rsid w:val="00E74288"/>
    <w:rsid w:val="00E745F3"/>
    <w:rsid w:val="00E75598"/>
    <w:rsid w:val="00E75E9A"/>
    <w:rsid w:val="00E75F6A"/>
    <w:rsid w:val="00E75FD6"/>
    <w:rsid w:val="00E7637F"/>
    <w:rsid w:val="00E76A61"/>
    <w:rsid w:val="00E76DCA"/>
    <w:rsid w:val="00E77E82"/>
    <w:rsid w:val="00E814B9"/>
    <w:rsid w:val="00E81C37"/>
    <w:rsid w:val="00E82DEF"/>
    <w:rsid w:val="00E82E58"/>
    <w:rsid w:val="00E832B2"/>
    <w:rsid w:val="00E834C8"/>
    <w:rsid w:val="00E83C46"/>
    <w:rsid w:val="00E83DD5"/>
    <w:rsid w:val="00E85114"/>
    <w:rsid w:val="00E85C13"/>
    <w:rsid w:val="00E867D7"/>
    <w:rsid w:val="00E8737B"/>
    <w:rsid w:val="00E900F1"/>
    <w:rsid w:val="00E90E32"/>
    <w:rsid w:val="00E90EB9"/>
    <w:rsid w:val="00E960A3"/>
    <w:rsid w:val="00E96727"/>
    <w:rsid w:val="00E96749"/>
    <w:rsid w:val="00E96BCE"/>
    <w:rsid w:val="00E96C7B"/>
    <w:rsid w:val="00E97CC3"/>
    <w:rsid w:val="00EA0A03"/>
    <w:rsid w:val="00EA0A3C"/>
    <w:rsid w:val="00EA123D"/>
    <w:rsid w:val="00EA1D2B"/>
    <w:rsid w:val="00EA40C6"/>
    <w:rsid w:val="00EA420F"/>
    <w:rsid w:val="00EA47E3"/>
    <w:rsid w:val="00EA55EA"/>
    <w:rsid w:val="00EA589B"/>
    <w:rsid w:val="00EA5AFA"/>
    <w:rsid w:val="00EA612B"/>
    <w:rsid w:val="00EA62EA"/>
    <w:rsid w:val="00EA75EE"/>
    <w:rsid w:val="00EB129B"/>
    <w:rsid w:val="00EB2271"/>
    <w:rsid w:val="00EB2FD4"/>
    <w:rsid w:val="00EB31DB"/>
    <w:rsid w:val="00EB3539"/>
    <w:rsid w:val="00EB4440"/>
    <w:rsid w:val="00EB470E"/>
    <w:rsid w:val="00EB47A7"/>
    <w:rsid w:val="00EB4A29"/>
    <w:rsid w:val="00EB4C4D"/>
    <w:rsid w:val="00EB5980"/>
    <w:rsid w:val="00EB68FA"/>
    <w:rsid w:val="00EB6D88"/>
    <w:rsid w:val="00EB7398"/>
    <w:rsid w:val="00EB7AE4"/>
    <w:rsid w:val="00EB7E48"/>
    <w:rsid w:val="00EC0452"/>
    <w:rsid w:val="00EC111B"/>
    <w:rsid w:val="00EC210B"/>
    <w:rsid w:val="00EC3998"/>
    <w:rsid w:val="00EC42FA"/>
    <w:rsid w:val="00EC468B"/>
    <w:rsid w:val="00EC4C11"/>
    <w:rsid w:val="00EC59C0"/>
    <w:rsid w:val="00EC5D33"/>
    <w:rsid w:val="00EC64AE"/>
    <w:rsid w:val="00EC6A63"/>
    <w:rsid w:val="00ED01CD"/>
    <w:rsid w:val="00ED0802"/>
    <w:rsid w:val="00ED1B7A"/>
    <w:rsid w:val="00ED2749"/>
    <w:rsid w:val="00ED301C"/>
    <w:rsid w:val="00ED34BF"/>
    <w:rsid w:val="00ED3A25"/>
    <w:rsid w:val="00ED44AD"/>
    <w:rsid w:val="00ED4578"/>
    <w:rsid w:val="00ED6B58"/>
    <w:rsid w:val="00ED6B6B"/>
    <w:rsid w:val="00ED7FD8"/>
    <w:rsid w:val="00EE0170"/>
    <w:rsid w:val="00EE0FAB"/>
    <w:rsid w:val="00EE1667"/>
    <w:rsid w:val="00EE1DB8"/>
    <w:rsid w:val="00EE2833"/>
    <w:rsid w:val="00EE30F5"/>
    <w:rsid w:val="00EE4440"/>
    <w:rsid w:val="00EE52BD"/>
    <w:rsid w:val="00EE5312"/>
    <w:rsid w:val="00EE58AE"/>
    <w:rsid w:val="00EF0B1C"/>
    <w:rsid w:val="00EF12D9"/>
    <w:rsid w:val="00EF15F7"/>
    <w:rsid w:val="00EF19F4"/>
    <w:rsid w:val="00EF2FA3"/>
    <w:rsid w:val="00EF3920"/>
    <w:rsid w:val="00EF3AF5"/>
    <w:rsid w:val="00EF6093"/>
    <w:rsid w:val="00EF614E"/>
    <w:rsid w:val="00EF6236"/>
    <w:rsid w:val="00EF63F5"/>
    <w:rsid w:val="00EF744E"/>
    <w:rsid w:val="00EF783C"/>
    <w:rsid w:val="00F008B0"/>
    <w:rsid w:val="00F01535"/>
    <w:rsid w:val="00F0154A"/>
    <w:rsid w:val="00F017C0"/>
    <w:rsid w:val="00F01C1D"/>
    <w:rsid w:val="00F01D96"/>
    <w:rsid w:val="00F01F5A"/>
    <w:rsid w:val="00F030D3"/>
    <w:rsid w:val="00F038BD"/>
    <w:rsid w:val="00F042E9"/>
    <w:rsid w:val="00F049CC"/>
    <w:rsid w:val="00F04B3F"/>
    <w:rsid w:val="00F04D90"/>
    <w:rsid w:val="00F04F23"/>
    <w:rsid w:val="00F05202"/>
    <w:rsid w:val="00F057E9"/>
    <w:rsid w:val="00F07FCE"/>
    <w:rsid w:val="00F10209"/>
    <w:rsid w:val="00F11C8D"/>
    <w:rsid w:val="00F121DD"/>
    <w:rsid w:val="00F13076"/>
    <w:rsid w:val="00F143B2"/>
    <w:rsid w:val="00F15078"/>
    <w:rsid w:val="00F150C1"/>
    <w:rsid w:val="00F163E5"/>
    <w:rsid w:val="00F16CAE"/>
    <w:rsid w:val="00F17078"/>
    <w:rsid w:val="00F20572"/>
    <w:rsid w:val="00F2175A"/>
    <w:rsid w:val="00F218A1"/>
    <w:rsid w:val="00F21FE3"/>
    <w:rsid w:val="00F234AF"/>
    <w:rsid w:val="00F237B8"/>
    <w:rsid w:val="00F23A79"/>
    <w:rsid w:val="00F24255"/>
    <w:rsid w:val="00F25274"/>
    <w:rsid w:val="00F25BAD"/>
    <w:rsid w:val="00F25C01"/>
    <w:rsid w:val="00F2627B"/>
    <w:rsid w:val="00F264F0"/>
    <w:rsid w:val="00F266D7"/>
    <w:rsid w:val="00F2681D"/>
    <w:rsid w:val="00F26DCB"/>
    <w:rsid w:val="00F26E42"/>
    <w:rsid w:val="00F27172"/>
    <w:rsid w:val="00F300F6"/>
    <w:rsid w:val="00F30811"/>
    <w:rsid w:val="00F30C41"/>
    <w:rsid w:val="00F3280B"/>
    <w:rsid w:val="00F32DEF"/>
    <w:rsid w:val="00F32F60"/>
    <w:rsid w:val="00F34B59"/>
    <w:rsid w:val="00F35538"/>
    <w:rsid w:val="00F35712"/>
    <w:rsid w:val="00F36AF7"/>
    <w:rsid w:val="00F370D1"/>
    <w:rsid w:val="00F3720F"/>
    <w:rsid w:val="00F41423"/>
    <w:rsid w:val="00F416D1"/>
    <w:rsid w:val="00F41E6A"/>
    <w:rsid w:val="00F428F7"/>
    <w:rsid w:val="00F42B9B"/>
    <w:rsid w:val="00F437A0"/>
    <w:rsid w:val="00F44143"/>
    <w:rsid w:val="00F4417C"/>
    <w:rsid w:val="00F44CCA"/>
    <w:rsid w:val="00F45833"/>
    <w:rsid w:val="00F461CA"/>
    <w:rsid w:val="00F461F2"/>
    <w:rsid w:val="00F4647D"/>
    <w:rsid w:val="00F46A65"/>
    <w:rsid w:val="00F46B07"/>
    <w:rsid w:val="00F472D2"/>
    <w:rsid w:val="00F50137"/>
    <w:rsid w:val="00F51D62"/>
    <w:rsid w:val="00F51D7B"/>
    <w:rsid w:val="00F5240F"/>
    <w:rsid w:val="00F5258F"/>
    <w:rsid w:val="00F52ADB"/>
    <w:rsid w:val="00F5321E"/>
    <w:rsid w:val="00F532E0"/>
    <w:rsid w:val="00F54483"/>
    <w:rsid w:val="00F54A19"/>
    <w:rsid w:val="00F558B5"/>
    <w:rsid w:val="00F55D97"/>
    <w:rsid w:val="00F56091"/>
    <w:rsid w:val="00F56563"/>
    <w:rsid w:val="00F57298"/>
    <w:rsid w:val="00F57E38"/>
    <w:rsid w:val="00F57FA6"/>
    <w:rsid w:val="00F60D41"/>
    <w:rsid w:val="00F6156F"/>
    <w:rsid w:val="00F62F38"/>
    <w:rsid w:val="00F639E2"/>
    <w:rsid w:val="00F63F64"/>
    <w:rsid w:val="00F643FA"/>
    <w:rsid w:val="00F64F99"/>
    <w:rsid w:val="00F65D2E"/>
    <w:rsid w:val="00F66581"/>
    <w:rsid w:val="00F670D9"/>
    <w:rsid w:val="00F671F9"/>
    <w:rsid w:val="00F67A76"/>
    <w:rsid w:val="00F70B66"/>
    <w:rsid w:val="00F72775"/>
    <w:rsid w:val="00F72BE6"/>
    <w:rsid w:val="00F736E0"/>
    <w:rsid w:val="00F74E49"/>
    <w:rsid w:val="00F76515"/>
    <w:rsid w:val="00F77071"/>
    <w:rsid w:val="00F80292"/>
    <w:rsid w:val="00F80E9C"/>
    <w:rsid w:val="00F8279D"/>
    <w:rsid w:val="00F82C26"/>
    <w:rsid w:val="00F841F0"/>
    <w:rsid w:val="00F8429A"/>
    <w:rsid w:val="00F84667"/>
    <w:rsid w:val="00F854F2"/>
    <w:rsid w:val="00F858F2"/>
    <w:rsid w:val="00F864D6"/>
    <w:rsid w:val="00F86BFC"/>
    <w:rsid w:val="00F90A52"/>
    <w:rsid w:val="00F90E4D"/>
    <w:rsid w:val="00F922D5"/>
    <w:rsid w:val="00F922F0"/>
    <w:rsid w:val="00F92FA0"/>
    <w:rsid w:val="00F934E7"/>
    <w:rsid w:val="00F93DB7"/>
    <w:rsid w:val="00F95AC8"/>
    <w:rsid w:val="00F9651F"/>
    <w:rsid w:val="00F97E53"/>
    <w:rsid w:val="00FA10DB"/>
    <w:rsid w:val="00FA2BAA"/>
    <w:rsid w:val="00FA31E9"/>
    <w:rsid w:val="00FA3CDC"/>
    <w:rsid w:val="00FA4293"/>
    <w:rsid w:val="00FA4F4C"/>
    <w:rsid w:val="00FA5BE2"/>
    <w:rsid w:val="00FA5C2D"/>
    <w:rsid w:val="00FA717E"/>
    <w:rsid w:val="00FA7E13"/>
    <w:rsid w:val="00FB12E6"/>
    <w:rsid w:val="00FB1F38"/>
    <w:rsid w:val="00FB218D"/>
    <w:rsid w:val="00FB294A"/>
    <w:rsid w:val="00FB2D4D"/>
    <w:rsid w:val="00FB5A42"/>
    <w:rsid w:val="00FB5F86"/>
    <w:rsid w:val="00FB65D9"/>
    <w:rsid w:val="00FB6DFE"/>
    <w:rsid w:val="00FB73F9"/>
    <w:rsid w:val="00FC0C85"/>
    <w:rsid w:val="00FC0D8E"/>
    <w:rsid w:val="00FC0F4D"/>
    <w:rsid w:val="00FC1877"/>
    <w:rsid w:val="00FC1E96"/>
    <w:rsid w:val="00FC2105"/>
    <w:rsid w:val="00FC3098"/>
    <w:rsid w:val="00FC3948"/>
    <w:rsid w:val="00FC5EEE"/>
    <w:rsid w:val="00FC6330"/>
    <w:rsid w:val="00FC65B1"/>
    <w:rsid w:val="00FD0191"/>
    <w:rsid w:val="00FD0845"/>
    <w:rsid w:val="00FD0C6A"/>
    <w:rsid w:val="00FD0FEB"/>
    <w:rsid w:val="00FD10EE"/>
    <w:rsid w:val="00FD16D5"/>
    <w:rsid w:val="00FD231E"/>
    <w:rsid w:val="00FD26C9"/>
    <w:rsid w:val="00FD3489"/>
    <w:rsid w:val="00FD3783"/>
    <w:rsid w:val="00FD3EDB"/>
    <w:rsid w:val="00FD4920"/>
    <w:rsid w:val="00FD4B21"/>
    <w:rsid w:val="00FD5468"/>
    <w:rsid w:val="00FD5B72"/>
    <w:rsid w:val="00FD5FD4"/>
    <w:rsid w:val="00FD6330"/>
    <w:rsid w:val="00FD6737"/>
    <w:rsid w:val="00FD69DC"/>
    <w:rsid w:val="00FD6AB4"/>
    <w:rsid w:val="00FD6CFD"/>
    <w:rsid w:val="00FD78A9"/>
    <w:rsid w:val="00FD7FBB"/>
    <w:rsid w:val="00FE0D1B"/>
    <w:rsid w:val="00FE2C44"/>
    <w:rsid w:val="00FE3CE8"/>
    <w:rsid w:val="00FE3F29"/>
    <w:rsid w:val="00FE629E"/>
    <w:rsid w:val="00FE6CEB"/>
    <w:rsid w:val="00FE6EF2"/>
    <w:rsid w:val="00FE76E7"/>
    <w:rsid w:val="00FE7754"/>
    <w:rsid w:val="00FF058B"/>
    <w:rsid w:val="00FF06BC"/>
    <w:rsid w:val="00FF1EE1"/>
    <w:rsid w:val="00FF296C"/>
    <w:rsid w:val="00FF299D"/>
    <w:rsid w:val="00FF2DD6"/>
    <w:rsid w:val="00FF3D31"/>
    <w:rsid w:val="00FF3D84"/>
    <w:rsid w:val="00FF4439"/>
    <w:rsid w:val="00FF4B97"/>
    <w:rsid w:val="00FF4EFE"/>
    <w:rsid w:val="00FF5F5A"/>
    <w:rsid w:val="00FF6073"/>
    <w:rsid w:val="00FF6496"/>
    <w:rsid w:val="00FF6EB8"/>
    <w:rsid w:val="00FF72B7"/>
    <w:rsid w:val="00FF72F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8765B1"/>
  <w15:docId w15:val="{2930DA6E-777E-43BD-BEB6-4FA07C8B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C90"/>
    <w:pPr>
      <w:spacing w:line="288" w:lineRule="auto"/>
      <w:ind w:firstLine="567"/>
      <w:jc w:val="both"/>
    </w:pPr>
    <w:rPr>
      <w:rFonts w:asciiTheme="majorBidi" w:hAnsiTheme="majorBidi"/>
      <w:sz w:val="24"/>
    </w:rPr>
  </w:style>
  <w:style w:type="paragraph" w:styleId="Heading1">
    <w:name w:val="heading 1"/>
    <w:basedOn w:val="Normal"/>
    <w:next w:val="Normal"/>
    <w:link w:val="Heading1Char"/>
    <w:uiPriority w:val="9"/>
    <w:qFormat/>
    <w:rsid w:val="00186C52"/>
    <w:pPr>
      <w:keepNext/>
      <w:keepLines/>
      <w:ind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D7619"/>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F66F3"/>
    <w:pPr>
      <w:keepNext/>
      <w:keepLines/>
      <w:ind w:firstLine="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9A7B5F"/>
    <w:pPr>
      <w:keepNext/>
      <w:keepLines/>
      <w:spacing w:before="40" w:after="0" w:line="360" w:lineRule="auto"/>
      <w:ind w:firstLine="0"/>
      <w:outlineLvl w:val="3"/>
    </w:pPr>
    <w:rPr>
      <w:rFonts w:asciiTheme="majorHAnsi" w:eastAsiaTheme="majorEastAsia" w:hAnsiTheme="majorHAnsi" w:cstheme="majorBidi"/>
      <w:i/>
      <w:iCs/>
      <w:color w:val="2E74B5" w:themeColor="accent1" w:themeShade="BF"/>
      <w:lang w:eastAsia="en-US"/>
    </w:rPr>
  </w:style>
  <w:style w:type="paragraph" w:styleId="Heading5">
    <w:name w:val="heading 5"/>
    <w:basedOn w:val="Normal"/>
    <w:next w:val="Normal"/>
    <w:link w:val="Heading5Char"/>
    <w:uiPriority w:val="9"/>
    <w:semiHidden/>
    <w:unhideWhenUsed/>
    <w:qFormat/>
    <w:rsid w:val="009A7B5F"/>
    <w:pPr>
      <w:keepNext/>
      <w:keepLines/>
      <w:spacing w:before="40" w:after="0" w:line="360" w:lineRule="auto"/>
      <w:ind w:firstLine="0"/>
      <w:outlineLvl w:val="4"/>
    </w:pPr>
    <w:rPr>
      <w:rFonts w:asciiTheme="majorHAnsi" w:eastAsiaTheme="majorEastAsia" w:hAnsiTheme="majorHAnsi" w:cstheme="majorBidi"/>
      <w:color w:val="2E74B5" w:themeColor="accent1" w:themeShade="BF"/>
      <w:lang w:eastAsia="en-US"/>
    </w:rPr>
  </w:style>
  <w:style w:type="paragraph" w:styleId="Heading6">
    <w:name w:val="heading 6"/>
    <w:basedOn w:val="Normal"/>
    <w:next w:val="Normal"/>
    <w:link w:val="Heading6Char"/>
    <w:uiPriority w:val="9"/>
    <w:semiHidden/>
    <w:unhideWhenUsed/>
    <w:qFormat/>
    <w:rsid w:val="009A7B5F"/>
    <w:pPr>
      <w:keepNext/>
      <w:keepLines/>
      <w:spacing w:before="40" w:after="0" w:line="360" w:lineRule="auto"/>
      <w:ind w:firstLine="0"/>
      <w:outlineLvl w:val="5"/>
    </w:pPr>
    <w:rPr>
      <w:rFonts w:asciiTheme="majorHAnsi" w:eastAsiaTheme="majorEastAsia" w:hAnsiTheme="majorHAnsi" w:cstheme="majorBidi"/>
      <w:color w:val="1F4D78" w:themeColor="accent1" w:themeShade="7F"/>
      <w:lang w:eastAsia="en-US"/>
    </w:rPr>
  </w:style>
  <w:style w:type="paragraph" w:styleId="Heading7">
    <w:name w:val="heading 7"/>
    <w:basedOn w:val="Normal"/>
    <w:next w:val="Normal"/>
    <w:link w:val="Heading7Char"/>
    <w:uiPriority w:val="9"/>
    <w:semiHidden/>
    <w:unhideWhenUsed/>
    <w:qFormat/>
    <w:rsid w:val="009A7B5F"/>
    <w:pPr>
      <w:keepNext/>
      <w:keepLines/>
      <w:spacing w:before="40" w:after="0" w:line="360" w:lineRule="auto"/>
      <w:ind w:firstLine="0"/>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Heading8Char"/>
    <w:uiPriority w:val="9"/>
    <w:semiHidden/>
    <w:unhideWhenUsed/>
    <w:qFormat/>
    <w:rsid w:val="009A7B5F"/>
    <w:pPr>
      <w:keepNext/>
      <w:keepLines/>
      <w:spacing w:before="40" w:after="0" w:line="360" w:lineRule="auto"/>
      <w:ind w:firstLine="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9A7B5F"/>
    <w:pPr>
      <w:keepNext/>
      <w:keepLines/>
      <w:spacing w:before="40" w:after="0" w:line="360" w:lineRule="auto"/>
      <w:ind w:firstLine="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C52"/>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2D7619"/>
    <w:rPr>
      <w:rFonts w:asciiTheme="majorBidi" w:eastAsiaTheme="majorEastAsia" w:hAnsiTheme="majorBidi" w:cstheme="majorBidi"/>
      <w:b/>
      <w:sz w:val="24"/>
      <w:szCs w:val="26"/>
    </w:rPr>
  </w:style>
  <w:style w:type="paragraph" w:customStyle="1" w:styleId="EndNoteBibliographyTitle">
    <w:name w:val="EndNote Bibliography Title"/>
    <w:basedOn w:val="Normal"/>
    <w:link w:val="EndNoteBibliographyTitleChar"/>
    <w:rsid w:val="00F8279D"/>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F8279D"/>
    <w:rPr>
      <w:rFonts w:ascii="Calibri" w:hAnsi="Calibri" w:cs="Calibri"/>
      <w:noProof/>
    </w:rPr>
  </w:style>
  <w:style w:type="paragraph" w:customStyle="1" w:styleId="EndNoteBibliography">
    <w:name w:val="EndNote Bibliography"/>
    <w:basedOn w:val="Normal"/>
    <w:link w:val="EndNoteBibliographyChar"/>
    <w:rsid w:val="00F8279D"/>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F8279D"/>
    <w:rPr>
      <w:rFonts w:ascii="Calibri" w:hAnsi="Calibri" w:cs="Calibri"/>
      <w:noProof/>
    </w:rPr>
  </w:style>
  <w:style w:type="character" w:styleId="Hyperlink">
    <w:name w:val="Hyperlink"/>
    <w:basedOn w:val="DefaultParagraphFont"/>
    <w:uiPriority w:val="99"/>
    <w:unhideWhenUsed/>
    <w:rsid w:val="00F8279D"/>
    <w:rPr>
      <w:color w:val="0563C1" w:themeColor="hyperlink"/>
      <w:u w:val="single"/>
    </w:rPr>
  </w:style>
  <w:style w:type="paragraph" w:styleId="Header">
    <w:name w:val="header"/>
    <w:basedOn w:val="Normal"/>
    <w:link w:val="HeaderChar"/>
    <w:uiPriority w:val="99"/>
    <w:unhideWhenUsed/>
    <w:rsid w:val="009166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652"/>
  </w:style>
  <w:style w:type="paragraph" w:styleId="Footer">
    <w:name w:val="footer"/>
    <w:basedOn w:val="Normal"/>
    <w:link w:val="FooterChar"/>
    <w:uiPriority w:val="99"/>
    <w:unhideWhenUsed/>
    <w:rsid w:val="00916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652"/>
  </w:style>
  <w:style w:type="paragraph" w:styleId="BalloonText">
    <w:name w:val="Balloon Text"/>
    <w:basedOn w:val="Normal"/>
    <w:link w:val="BalloonTextChar"/>
    <w:uiPriority w:val="99"/>
    <w:semiHidden/>
    <w:unhideWhenUsed/>
    <w:rsid w:val="005D4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E5C"/>
    <w:rPr>
      <w:rFonts w:ascii="Segoe UI" w:hAnsi="Segoe UI" w:cs="Segoe UI"/>
      <w:sz w:val="18"/>
      <w:szCs w:val="18"/>
    </w:rPr>
  </w:style>
  <w:style w:type="paragraph" w:styleId="NoSpacing">
    <w:name w:val="No Spacing"/>
    <w:uiPriority w:val="1"/>
    <w:qFormat/>
    <w:rsid w:val="00DD6E84"/>
    <w:pPr>
      <w:spacing w:after="0" w:line="240" w:lineRule="auto"/>
    </w:pPr>
  </w:style>
  <w:style w:type="paragraph" w:styleId="FootnoteText">
    <w:name w:val="footnote text"/>
    <w:basedOn w:val="Normal"/>
    <w:link w:val="FootnoteTextChar"/>
    <w:uiPriority w:val="99"/>
    <w:unhideWhenUsed/>
    <w:rsid w:val="00A71EB9"/>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A71EB9"/>
    <w:rPr>
      <w:rFonts w:eastAsiaTheme="minorHAnsi"/>
      <w:sz w:val="20"/>
      <w:szCs w:val="20"/>
      <w:lang w:eastAsia="en-US"/>
    </w:rPr>
  </w:style>
  <w:style w:type="paragraph" w:styleId="Title">
    <w:name w:val="Title"/>
    <w:basedOn w:val="Normal"/>
    <w:next w:val="Normal"/>
    <w:link w:val="TitleChar"/>
    <w:qFormat/>
    <w:rsid w:val="00157C90"/>
    <w:pPr>
      <w:pBdr>
        <w:bottom w:val="single" w:sz="4" w:space="1" w:color="auto"/>
      </w:pBdr>
      <w:spacing w:after="0" w:line="240" w:lineRule="auto"/>
      <w:contextualSpacing/>
    </w:pPr>
    <w:rPr>
      <w:rFonts w:eastAsiaTheme="majorEastAsia" w:cstheme="majorBidi"/>
      <w:b/>
      <w:spacing w:val="5"/>
      <w:szCs w:val="52"/>
      <w:lang w:val="en-US" w:eastAsia="ko-KR"/>
    </w:rPr>
  </w:style>
  <w:style w:type="character" w:customStyle="1" w:styleId="TitleChar">
    <w:name w:val="Title Char"/>
    <w:basedOn w:val="DefaultParagraphFont"/>
    <w:link w:val="Title"/>
    <w:rsid w:val="00157C90"/>
    <w:rPr>
      <w:rFonts w:asciiTheme="majorBidi" w:eastAsiaTheme="majorEastAsia" w:hAnsiTheme="majorBidi" w:cstheme="majorBidi"/>
      <w:b/>
      <w:spacing w:val="5"/>
      <w:sz w:val="24"/>
      <w:szCs w:val="52"/>
      <w:lang w:val="en-US" w:eastAsia="ko-KR"/>
    </w:rPr>
  </w:style>
  <w:style w:type="paragraph" w:customStyle="1" w:styleId="Default">
    <w:name w:val="Default"/>
    <w:rsid w:val="00A71EB9"/>
    <w:pPr>
      <w:autoSpaceDE w:val="0"/>
      <w:autoSpaceDN w:val="0"/>
      <w:adjustRightInd w:val="0"/>
      <w:spacing w:after="0" w:line="240" w:lineRule="auto"/>
    </w:pPr>
    <w:rPr>
      <w:rFonts w:ascii="Times New Roman" w:eastAsia="Times New Roman" w:hAnsi="Times New Roman" w:cs="Times New Roman"/>
      <w:color w:val="000000"/>
      <w:sz w:val="24"/>
      <w:szCs w:val="24"/>
      <w:lang w:eastAsia="en-NZ"/>
    </w:rPr>
  </w:style>
  <w:style w:type="paragraph" w:customStyle="1" w:styleId="CM1">
    <w:name w:val="CM1"/>
    <w:basedOn w:val="Default"/>
    <w:next w:val="Default"/>
    <w:rsid w:val="00A71EB9"/>
    <w:pPr>
      <w:widowControl w:val="0"/>
      <w:spacing w:line="323" w:lineRule="atLeast"/>
    </w:pPr>
    <w:rPr>
      <w:color w:val="auto"/>
      <w:lang w:val="en-US" w:eastAsia="en-US"/>
    </w:rPr>
  </w:style>
  <w:style w:type="paragraph" w:customStyle="1" w:styleId="CM3">
    <w:name w:val="CM3"/>
    <w:basedOn w:val="Default"/>
    <w:next w:val="Default"/>
    <w:rsid w:val="00A71EB9"/>
    <w:pPr>
      <w:widowControl w:val="0"/>
    </w:pPr>
    <w:rPr>
      <w:color w:val="auto"/>
      <w:lang w:val="en-US" w:eastAsia="en-US"/>
    </w:rPr>
  </w:style>
  <w:style w:type="paragraph" w:customStyle="1" w:styleId="CM22">
    <w:name w:val="CM22"/>
    <w:basedOn w:val="Default"/>
    <w:next w:val="Default"/>
    <w:rsid w:val="00A71EB9"/>
    <w:pPr>
      <w:widowControl w:val="0"/>
      <w:spacing w:after="65"/>
    </w:pPr>
    <w:rPr>
      <w:color w:val="auto"/>
      <w:lang w:val="en-US" w:eastAsia="en-US"/>
    </w:rPr>
  </w:style>
  <w:style w:type="paragraph" w:customStyle="1" w:styleId="CM4">
    <w:name w:val="CM4"/>
    <w:basedOn w:val="Default"/>
    <w:next w:val="Default"/>
    <w:rsid w:val="00A71EB9"/>
    <w:pPr>
      <w:widowControl w:val="0"/>
      <w:spacing w:line="253" w:lineRule="atLeast"/>
    </w:pPr>
    <w:rPr>
      <w:color w:val="auto"/>
      <w:lang w:val="en-US" w:eastAsia="en-US"/>
    </w:rPr>
  </w:style>
  <w:style w:type="paragraph" w:customStyle="1" w:styleId="CM23">
    <w:name w:val="CM23"/>
    <w:basedOn w:val="Default"/>
    <w:next w:val="Default"/>
    <w:rsid w:val="00A71EB9"/>
    <w:pPr>
      <w:widowControl w:val="0"/>
      <w:spacing w:after="233"/>
    </w:pPr>
    <w:rPr>
      <w:color w:val="auto"/>
      <w:lang w:val="en-US" w:eastAsia="en-US"/>
    </w:rPr>
  </w:style>
  <w:style w:type="paragraph" w:styleId="ListParagraph">
    <w:name w:val="List Paragraph"/>
    <w:basedOn w:val="Normal"/>
    <w:uiPriority w:val="34"/>
    <w:qFormat/>
    <w:rsid w:val="005350B7"/>
    <w:pPr>
      <w:ind w:left="720"/>
      <w:contextualSpacing/>
    </w:pPr>
  </w:style>
  <w:style w:type="character" w:styleId="CommentReference">
    <w:name w:val="annotation reference"/>
    <w:basedOn w:val="DefaultParagraphFont"/>
    <w:uiPriority w:val="99"/>
    <w:semiHidden/>
    <w:unhideWhenUsed/>
    <w:rsid w:val="00CA422B"/>
    <w:rPr>
      <w:sz w:val="16"/>
      <w:szCs w:val="16"/>
    </w:rPr>
  </w:style>
  <w:style w:type="paragraph" w:styleId="CommentText">
    <w:name w:val="annotation text"/>
    <w:basedOn w:val="Normal"/>
    <w:link w:val="CommentTextChar"/>
    <w:uiPriority w:val="99"/>
    <w:unhideWhenUsed/>
    <w:rsid w:val="00CA422B"/>
    <w:pPr>
      <w:spacing w:line="240" w:lineRule="auto"/>
    </w:pPr>
    <w:rPr>
      <w:sz w:val="20"/>
      <w:szCs w:val="20"/>
    </w:rPr>
  </w:style>
  <w:style w:type="character" w:customStyle="1" w:styleId="CommentTextChar">
    <w:name w:val="Comment Text Char"/>
    <w:basedOn w:val="DefaultParagraphFont"/>
    <w:link w:val="CommentText"/>
    <w:uiPriority w:val="99"/>
    <w:rsid w:val="00CA422B"/>
    <w:rPr>
      <w:sz w:val="20"/>
      <w:szCs w:val="20"/>
    </w:rPr>
  </w:style>
  <w:style w:type="paragraph" w:styleId="CommentSubject">
    <w:name w:val="annotation subject"/>
    <w:basedOn w:val="CommentText"/>
    <w:next w:val="CommentText"/>
    <w:link w:val="CommentSubjectChar"/>
    <w:uiPriority w:val="99"/>
    <w:semiHidden/>
    <w:unhideWhenUsed/>
    <w:rsid w:val="00CA422B"/>
    <w:rPr>
      <w:b/>
      <w:bCs/>
    </w:rPr>
  </w:style>
  <w:style w:type="character" w:customStyle="1" w:styleId="CommentSubjectChar">
    <w:name w:val="Comment Subject Char"/>
    <w:basedOn w:val="CommentTextChar"/>
    <w:link w:val="CommentSubject"/>
    <w:uiPriority w:val="99"/>
    <w:semiHidden/>
    <w:rsid w:val="00CA422B"/>
    <w:rPr>
      <w:b/>
      <w:bCs/>
      <w:sz w:val="20"/>
      <w:szCs w:val="20"/>
    </w:rPr>
  </w:style>
  <w:style w:type="character" w:styleId="UnresolvedMention">
    <w:name w:val="Unresolved Mention"/>
    <w:basedOn w:val="DefaultParagraphFont"/>
    <w:uiPriority w:val="99"/>
    <w:semiHidden/>
    <w:unhideWhenUsed/>
    <w:rsid w:val="00186C52"/>
    <w:rPr>
      <w:color w:val="605E5C"/>
      <w:shd w:val="clear" w:color="auto" w:fill="E1DFDD"/>
    </w:rPr>
  </w:style>
  <w:style w:type="character" w:styleId="FootnoteReference">
    <w:name w:val="footnote reference"/>
    <w:basedOn w:val="DefaultParagraphFont"/>
    <w:uiPriority w:val="99"/>
    <w:semiHidden/>
    <w:unhideWhenUsed/>
    <w:rsid w:val="00186C52"/>
    <w:rPr>
      <w:vertAlign w:val="superscript"/>
    </w:rPr>
  </w:style>
  <w:style w:type="character" w:customStyle="1" w:styleId="Heading3Char">
    <w:name w:val="Heading 3 Char"/>
    <w:basedOn w:val="DefaultParagraphFont"/>
    <w:link w:val="Heading3"/>
    <w:uiPriority w:val="9"/>
    <w:rsid w:val="006F66F3"/>
    <w:rPr>
      <w:rFonts w:asciiTheme="majorBidi" w:eastAsiaTheme="majorEastAsia" w:hAnsiTheme="majorBidi" w:cstheme="majorBidi"/>
      <w:b/>
      <w:color w:val="000000" w:themeColor="text1"/>
      <w:sz w:val="24"/>
      <w:szCs w:val="24"/>
    </w:rPr>
  </w:style>
  <w:style w:type="paragraph" w:styleId="Caption">
    <w:name w:val="caption"/>
    <w:basedOn w:val="Normal"/>
    <w:next w:val="Normal"/>
    <w:uiPriority w:val="35"/>
    <w:unhideWhenUsed/>
    <w:qFormat/>
    <w:rsid w:val="009A7B5F"/>
    <w:pPr>
      <w:spacing w:before="120" w:after="200" w:line="360" w:lineRule="auto"/>
      <w:ind w:firstLine="284"/>
    </w:pPr>
    <w:rPr>
      <w:rFonts w:eastAsiaTheme="minorHAnsi"/>
      <w:i/>
      <w:iCs/>
      <w:color w:val="44546A" w:themeColor="text2"/>
      <w:sz w:val="18"/>
      <w:szCs w:val="18"/>
      <w:lang w:eastAsia="en-US"/>
    </w:rPr>
  </w:style>
  <w:style w:type="table" w:customStyle="1" w:styleId="TableGrid1">
    <w:name w:val="Table Grid1"/>
    <w:basedOn w:val="TableNormal"/>
    <w:next w:val="TableGrid"/>
    <w:uiPriority w:val="39"/>
    <w:rsid w:val="009A7B5F"/>
    <w:pPr>
      <w:spacing w:after="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A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A7B5F"/>
    <w:rPr>
      <w:rFonts w:asciiTheme="majorHAnsi" w:eastAsiaTheme="majorEastAsia" w:hAnsiTheme="majorHAnsi" w:cstheme="majorBidi"/>
      <w:i/>
      <w:iCs/>
      <w:color w:val="2E74B5" w:themeColor="accent1" w:themeShade="BF"/>
      <w:sz w:val="24"/>
      <w:lang w:eastAsia="en-US"/>
    </w:rPr>
  </w:style>
  <w:style w:type="character" w:customStyle="1" w:styleId="Heading5Char">
    <w:name w:val="Heading 5 Char"/>
    <w:basedOn w:val="DefaultParagraphFont"/>
    <w:link w:val="Heading5"/>
    <w:uiPriority w:val="9"/>
    <w:semiHidden/>
    <w:rsid w:val="009A7B5F"/>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uiPriority w:val="9"/>
    <w:semiHidden/>
    <w:rsid w:val="009A7B5F"/>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uiPriority w:val="9"/>
    <w:semiHidden/>
    <w:rsid w:val="009A7B5F"/>
    <w:rPr>
      <w:rFonts w:asciiTheme="majorHAnsi" w:eastAsiaTheme="majorEastAsia" w:hAnsiTheme="majorHAnsi" w:cstheme="majorBidi"/>
      <w:i/>
      <w:iCs/>
      <w:color w:val="1F4D78" w:themeColor="accent1" w:themeShade="7F"/>
      <w:sz w:val="24"/>
      <w:lang w:eastAsia="en-US"/>
    </w:rPr>
  </w:style>
  <w:style w:type="character" w:customStyle="1" w:styleId="Heading8Char">
    <w:name w:val="Heading 8 Char"/>
    <w:basedOn w:val="DefaultParagraphFont"/>
    <w:link w:val="Heading8"/>
    <w:uiPriority w:val="9"/>
    <w:semiHidden/>
    <w:rsid w:val="009A7B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A7B5F"/>
    <w:rPr>
      <w:rFonts w:asciiTheme="majorHAnsi" w:eastAsiaTheme="majorEastAsia" w:hAnsiTheme="majorHAnsi" w:cstheme="majorBidi"/>
      <w:i/>
      <w:iCs/>
      <w:color w:val="272727" w:themeColor="text1" w:themeTint="D8"/>
      <w:sz w:val="21"/>
      <w:szCs w:val="21"/>
      <w:lang w:eastAsia="en-US"/>
    </w:rPr>
  </w:style>
  <w:style w:type="character" w:customStyle="1" w:styleId="UnresolvedMention1">
    <w:name w:val="Unresolved Mention1"/>
    <w:basedOn w:val="DefaultParagraphFont"/>
    <w:uiPriority w:val="99"/>
    <w:semiHidden/>
    <w:unhideWhenUsed/>
    <w:rsid w:val="009A7B5F"/>
    <w:rPr>
      <w:color w:val="605E5C"/>
      <w:shd w:val="clear" w:color="auto" w:fill="E1DFDD"/>
    </w:rPr>
  </w:style>
  <w:style w:type="table" w:customStyle="1" w:styleId="PlainTable21">
    <w:name w:val="Plain Table 21"/>
    <w:basedOn w:val="TableNormal"/>
    <w:uiPriority w:val="42"/>
    <w:rsid w:val="009A7B5F"/>
    <w:pPr>
      <w:spacing w:after="0" w:line="240" w:lineRule="auto"/>
    </w:pPr>
    <w:rPr>
      <w:rFonts w:eastAsiaTheme="minorHAnsi"/>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9A7B5F"/>
    <w:pPr>
      <w:spacing w:before="100" w:beforeAutospacing="1" w:after="100" w:afterAutospacing="1" w:line="360" w:lineRule="auto"/>
      <w:ind w:firstLine="0"/>
      <w:jc w:val="left"/>
    </w:pPr>
    <w:rPr>
      <w:rFonts w:ascii="Times New Roman" w:hAnsi="Times New Roman" w:cs="Times New Roman"/>
      <w:szCs w:val="24"/>
    </w:rPr>
  </w:style>
  <w:style w:type="paragraph" w:customStyle="1" w:styleId="Normal0">
    <w:name w:val="[Normal]"/>
    <w:rsid w:val="009A7B5F"/>
    <w:pPr>
      <w:widowControl w:val="0"/>
      <w:autoSpaceDE w:val="0"/>
      <w:autoSpaceDN w:val="0"/>
      <w:adjustRightInd w:val="0"/>
      <w:spacing w:after="0" w:line="240" w:lineRule="auto"/>
    </w:pPr>
    <w:rPr>
      <w:rFonts w:ascii="Arial" w:hAnsi="Arial" w:cs="Arial"/>
      <w:sz w:val="24"/>
      <w:szCs w:val="24"/>
      <w:lang w:val="en-US"/>
    </w:rPr>
  </w:style>
  <w:style w:type="paragraph" w:styleId="TOCHeading">
    <w:name w:val="TOC Heading"/>
    <w:basedOn w:val="Heading1"/>
    <w:next w:val="Normal"/>
    <w:uiPriority w:val="39"/>
    <w:unhideWhenUsed/>
    <w:qFormat/>
    <w:rsid w:val="009A7B5F"/>
    <w:pPr>
      <w:spacing w:before="240" w:after="0" w:line="259" w:lineRule="auto"/>
      <w:jc w:val="left"/>
      <w:outlineLvl w:val="9"/>
    </w:pPr>
    <w:rPr>
      <w:rFonts w:asciiTheme="majorHAnsi" w:hAnsiTheme="majorHAnsi"/>
      <w:b w:val="0"/>
      <w:color w:val="000000" w:themeColor="text1"/>
      <w:sz w:val="32"/>
      <w:lang w:eastAsia="en-US"/>
    </w:rPr>
  </w:style>
  <w:style w:type="paragraph" w:styleId="TOC1">
    <w:name w:val="toc 1"/>
    <w:basedOn w:val="Normal"/>
    <w:next w:val="Normal"/>
    <w:autoRedefine/>
    <w:uiPriority w:val="39"/>
    <w:unhideWhenUsed/>
    <w:rsid w:val="009A7B5F"/>
    <w:pPr>
      <w:tabs>
        <w:tab w:val="left" w:pos="142"/>
        <w:tab w:val="right" w:leader="dot" w:pos="9350"/>
      </w:tabs>
      <w:spacing w:before="120" w:after="100" w:line="360" w:lineRule="auto"/>
      <w:ind w:hanging="142"/>
    </w:pPr>
    <w:rPr>
      <w:rFonts w:eastAsiaTheme="minorHAnsi"/>
      <w:lang w:eastAsia="en-US"/>
    </w:rPr>
  </w:style>
  <w:style w:type="paragraph" w:styleId="TOC2">
    <w:name w:val="toc 2"/>
    <w:basedOn w:val="Normal"/>
    <w:next w:val="Normal"/>
    <w:autoRedefine/>
    <w:uiPriority w:val="39"/>
    <w:unhideWhenUsed/>
    <w:rsid w:val="009A7B5F"/>
    <w:pPr>
      <w:tabs>
        <w:tab w:val="left" w:pos="142"/>
        <w:tab w:val="left" w:pos="426"/>
        <w:tab w:val="right" w:leader="dot" w:pos="9350"/>
      </w:tabs>
      <w:spacing w:before="120" w:after="100" w:line="360" w:lineRule="auto"/>
      <w:ind w:left="180" w:hanging="142"/>
    </w:pPr>
    <w:rPr>
      <w:rFonts w:eastAsiaTheme="minorHAnsi"/>
      <w:lang w:eastAsia="en-US"/>
    </w:rPr>
  </w:style>
  <w:style w:type="paragraph" w:styleId="TOC3">
    <w:name w:val="toc 3"/>
    <w:basedOn w:val="Normal"/>
    <w:next w:val="Normal"/>
    <w:autoRedefine/>
    <w:uiPriority w:val="39"/>
    <w:unhideWhenUsed/>
    <w:rsid w:val="009A7B5F"/>
    <w:pPr>
      <w:tabs>
        <w:tab w:val="left" w:pos="142"/>
        <w:tab w:val="left" w:pos="540"/>
        <w:tab w:val="left" w:pos="993"/>
        <w:tab w:val="right" w:leader="dot" w:pos="9350"/>
      </w:tabs>
      <w:spacing w:before="120" w:after="100" w:line="360" w:lineRule="auto"/>
      <w:ind w:left="540" w:hanging="142"/>
    </w:pPr>
    <w:rPr>
      <w:rFonts w:eastAsiaTheme="minorHAnsi"/>
      <w:lang w:eastAsia="en-US"/>
    </w:rPr>
  </w:style>
  <w:style w:type="table" w:customStyle="1" w:styleId="GridTable1Light1">
    <w:name w:val="Grid Table 1 Light1"/>
    <w:basedOn w:val="TableNormal"/>
    <w:uiPriority w:val="46"/>
    <w:rsid w:val="009A7B5F"/>
    <w:pPr>
      <w:spacing w:after="0" w:line="240" w:lineRule="auto"/>
    </w:pPr>
    <w:rPr>
      <w:rFonts w:eastAsiaTheme="minorHAnsi"/>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9A7B5F"/>
    <w:pPr>
      <w:spacing w:before="120" w:after="0" w:line="360" w:lineRule="auto"/>
      <w:ind w:firstLine="284"/>
    </w:pPr>
    <w:rPr>
      <w:rFonts w:eastAsiaTheme="minorHAnsi"/>
      <w:lang w:eastAsia="en-US"/>
    </w:rPr>
  </w:style>
  <w:style w:type="table" w:customStyle="1" w:styleId="PlainTable51">
    <w:name w:val="Plain Table 51"/>
    <w:basedOn w:val="TableNormal"/>
    <w:uiPriority w:val="45"/>
    <w:rsid w:val="009A7B5F"/>
    <w:pPr>
      <w:spacing w:after="0" w:line="240" w:lineRule="auto"/>
    </w:pPr>
    <w:rPr>
      <w:rFonts w:eastAsiaTheme="minorHAnsi"/>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31">
    <w:name w:val="Grid Table 4 - Accent 31"/>
    <w:basedOn w:val="TableNormal"/>
    <w:uiPriority w:val="49"/>
    <w:rsid w:val="009A7B5F"/>
    <w:pPr>
      <w:spacing w:after="0" w:line="240" w:lineRule="auto"/>
    </w:pPr>
    <w:rPr>
      <w:rFonts w:eastAsiaTheme="minorHAnsi"/>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9A7B5F"/>
    <w:rPr>
      <w:color w:val="954F72" w:themeColor="followedHyperlink"/>
      <w:u w:val="single"/>
    </w:rPr>
  </w:style>
  <w:style w:type="paragraph" w:styleId="EndnoteText">
    <w:name w:val="endnote text"/>
    <w:basedOn w:val="Normal"/>
    <w:link w:val="EndnoteTextChar"/>
    <w:uiPriority w:val="99"/>
    <w:semiHidden/>
    <w:unhideWhenUsed/>
    <w:rsid w:val="009A7B5F"/>
    <w:pPr>
      <w:spacing w:after="0" w:line="360" w:lineRule="auto"/>
      <w:ind w:firstLine="284"/>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9A7B5F"/>
    <w:rPr>
      <w:rFonts w:asciiTheme="majorBidi" w:eastAsiaTheme="minorHAnsi" w:hAnsiTheme="majorBidi"/>
      <w:sz w:val="20"/>
      <w:szCs w:val="20"/>
      <w:lang w:eastAsia="en-US"/>
    </w:rPr>
  </w:style>
  <w:style w:type="character" w:styleId="EndnoteReference">
    <w:name w:val="endnote reference"/>
    <w:basedOn w:val="DefaultParagraphFont"/>
    <w:uiPriority w:val="99"/>
    <w:semiHidden/>
    <w:unhideWhenUsed/>
    <w:rsid w:val="009A7B5F"/>
    <w:rPr>
      <w:vertAlign w:val="superscript"/>
    </w:rPr>
  </w:style>
  <w:style w:type="character" w:styleId="PlaceholderText">
    <w:name w:val="Placeholder Text"/>
    <w:basedOn w:val="DefaultParagraphFont"/>
    <w:uiPriority w:val="99"/>
    <w:semiHidden/>
    <w:rsid w:val="009A7B5F"/>
    <w:rPr>
      <w:color w:val="808080"/>
    </w:rPr>
  </w:style>
  <w:style w:type="character" w:customStyle="1" w:styleId="a">
    <w:name w:val="_"/>
    <w:basedOn w:val="DefaultParagraphFont"/>
    <w:rsid w:val="009A7B5F"/>
  </w:style>
  <w:style w:type="character" w:customStyle="1" w:styleId="ff3">
    <w:name w:val="ff3"/>
    <w:basedOn w:val="DefaultParagraphFont"/>
    <w:rsid w:val="009A7B5F"/>
  </w:style>
  <w:style w:type="character" w:customStyle="1" w:styleId="ff2">
    <w:name w:val="ff2"/>
    <w:basedOn w:val="DefaultParagraphFont"/>
    <w:rsid w:val="009A7B5F"/>
  </w:style>
  <w:style w:type="character" w:customStyle="1" w:styleId="UnresolvedMention2">
    <w:name w:val="Unresolved Mention2"/>
    <w:basedOn w:val="DefaultParagraphFont"/>
    <w:uiPriority w:val="99"/>
    <w:semiHidden/>
    <w:unhideWhenUsed/>
    <w:rsid w:val="009A7B5F"/>
    <w:rPr>
      <w:color w:val="605E5C"/>
      <w:shd w:val="clear" w:color="auto" w:fill="E1DFDD"/>
    </w:rPr>
  </w:style>
  <w:style w:type="paragraph" w:styleId="Revision">
    <w:name w:val="Revision"/>
    <w:hidden/>
    <w:uiPriority w:val="99"/>
    <w:semiHidden/>
    <w:rsid w:val="009A7B5F"/>
    <w:pPr>
      <w:spacing w:after="0" w:line="240" w:lineRule="auto"/>
    </w:pPr>
    <w:rPr>
      <w:rFonts w:asciiTheme="majorBidi" w:eastAsiaTheme="minorHAnsi" w:hAnsiTheme="majorBidi"/>
      <w:sz w:val="24"/>
      <w:lang w:eastAsia="en-US"/>
    </w:rPr>
  </w:style>
  <w:style w:type="numbering" w:customStyle="1" w:styleId="styleWP">
    <w:name w:val="styleWP"/>
    <w:uiPriority w:val="99"/>
    <w:rsid w:val="00B355F8"/>
    <w:pPr>
      <w:numPr>
        <w:numId w:val="10"/>
      </w:numPr>
    </w:pPr>
  </w:style>
  <w:style w:type="paragraph" w:customStyle="1" w:styleId="Footnoot">
    <w:name w:val="Footnoot"/>
    <w:basedOn w:val="FootnoteText"/>
    <w:link w:val="FootnootChar"/>
    <w:qFormat/>
    <w:rsid w:val="006419DE"/>
    <w:pPr>
      <w:ind w:firstLine="0"/>
    </w:pPr>
    <w:rPr>
      <w:rFonts w:ascii="Times New Roman" w:eastAsia="Calibri" w:hAnsi="Times New Roman" w:cs="Arial"/>
      <w:color w:val="000000"/>
    </w:rPr>
  </w:style>
  <w:style w:type="character" w:customStyle="1" w:styleId="FootnootChar">
    <w:name w:val="Footnoot Char"/>
    <w:link w:val="Footnoot"/>
    <w:rsid w:val="006419DE"/>
    <w:rPr>
      <w:rFonts w:ascii="Times New Roman" w:eastAsia="Calibri" w:hAnsi="Times New Roman" w:cs="Arial"/>
      <w:color w:val="000000"/>
      <w:sz w:val="20"/>
      <w:szCs w:val="20"/>
      <w:lang w:eastAsia="en-US"/>
    </w:rPr>
  </w:style>
  <w:style w:type="paragraph" w:customStyle="1" w:styleId="Footnote">
    <w:name w:val="Footnote"/>
    <w:basedOn w:val="FootnoteText"/>
    <w:link w:val="FootnoteChar"/>
    <w:qFormat/>
    <w:rsid w:val="0012305F"/>
    <w:pPr>
      <w:ind w:firstLine="0"/>
    </w:pPr>
  </w:style>
  <w:style w:type="character" w:customStyle="1" w:styleId="FootnoteChar">
    <w:name w:val="Footnote Char"/>
    <w:basedOn w:val="FootnoteTextChar"/>
    <w:link w:val="Footnote"/>
    <w:rsid w:val="0012305F"/>
    <w:rPr>
      <w:rFonts w:asciiTheme="majorBidi" w:eastAsiaTheme="minorHAnsi" w:hAnsiTheme="maj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8540">
      <w:bodyDiv w:val="1"/>
      <w:marLeft w:val="0"/>
      <w:marRight w:val="0"/>
      <w:marTop w:val="0"/>
      <w:marBottom w:val="0"/>
      <w:divBdr>
        <w:top w:val="none" w:sz="0" w:space="0" w:color="auto"/>
        <w:left w:val="none" w:sz="0" w:space="0" w:color="auto"/>
        <w:bottom w:val="none" w:sz="0" w:space="0" w:color="auto"/>
        <w:right w:val="none" w:sz="0" w:space="0" w:color="auto"/>
      </w:divBdr>
    </w:div>
    <w:div w:id="21632375">
      <w:bodyDiv w:val="1"/>
      <w:marLeft w:val="0"/>
      <w:marRight w:val="0"/>
      <w:marTop w:val="0"/>
      <w:marBottom w:val="0"/>
      <w:divBdr>
        <w:top w:val="none" w:sz="0" w:space="0" w:color="auto"/>
        <w:left w:val="none" w:sz="0" w:space="0" w:color="auto"/>
        <w:bottom w:val="none" w:sz="0" w:space="0" w:color="auto"/>
        <w:right w:val="none" w:sz="0" w:space="0" w:color="auto"/>
      </w:divBdr>
    </w:div>
    <w:div w:id="27460730">
      <w:bodyDiv w:val="1"/>
      <w:marLeft w:val="0"/>
      <w:marRight w:val="0"/>
      <w:marTop w:val="0"/>
      <w:marBottom w:val="0"/>
      <w:divBdr>
        <w:top w:val="none" w:sz="0" w:space="0" w:color="auto"/>
        <w:left w:val="none" w:sz="0" w:space="0" w:color="auto"/>
        <w:bottom w:val="none" w:sz="0" w:space="0" w:color="auto"/>
        <w:right w:val="none" w:sz="0" w:space="0" w:color="auto"/>
      </w:divBdr>
    </w:div>
    <w:div w:id="47845270">
      <w:bodyDiv w:val="1"/>
      <w:marLeft w:val="0"/>
      <w:marRight w:val="0"/>
      <w:marTop w:val="0"/>
      <w:marBottom w:val="0"/>
      <w:divBdr>
        <w:top w:val="none" w:sz="0" w:space="0" w:color="auto"/>
        <w:left w:val="none" w:sz="0" w:space="0" w:color="auto"/>
        <w:bottom w:val="none" w:sz="0" w:space="0" w:color="auto"/>
        <w:right w:val="none" w:sz="0" w:space="0" w:color="auto"/>
      </w:divBdr>
    </w:div>
    <w:div w:id="48844538">
      <w:bodyDiv w:val="1"/>
      <w:marLeft w:val="0"/>
      <w:marRight w:val="0"/>
      <w:marTop w:val="0"/>
      <w:marBottom w:val="0"/>
      <w:divBdr>
        <w:top w:val="none" w:sz="0" w:space="0" w:color="auto"/>
        <w:left w:val="none" w:sz="0" w:space="0" w:color="auto"/>
        <w:bottom w:val="none" w:sz="0" w:space="0" w:color="auto"/>
        <w:right w:val="none" w:sz="0" w:space="0" w:color="auto"/>
      </w:divBdr>
    </w:div>
    <w:div w:id="79984881">
      <w:bodyDiv w:val="1"/>
      <w:marLeft w:val="0"/>
      <w:marRight w:val="0"/>
      <w:marTop w:val="0"/>
      <w:marBottom w:val="0"/>
      <w:divBdr>
        <w:top w:val="none" w:sz="0" w:space="0" w:color="auto"/>
        <w:left w:val="none" w:sz="0" w:space="0" w:color="auto"/>
        <w:bottom w:val="none" w:sz="0" w:space="0" w:color="auto"/>
        <w:right w:val="none" w:sz="0" w:space="0" w:color="auto"/>
      </w:divBdr>
    </w:div>
    <w:div w:id="82068667">
      <w:bodyDiv w:val="1"/>
      <w:marLeft w:val="0"/>
      <w:marRight w:val="0"/>
      <w:marTop w:val="0"/>
      <w:marBottom w:val="0"/>
      <w:divBdr>
        <w:top w:val="none" w:sz="0" w:space="0" w:color="auto"/>
        <w:left w:val="none" w:sz="0" w:space="0" w:color="auto"/>
        <w:bottom w:val="none" w:sz="0" w:space="0" w:color="auto"/>
        <w:right w:val="none" w:sz="0" w:space="0" w:color="auto"/>
      </w:divBdr>
    </w:div>
    <w:div w:id="119299842">
      <w:bodyDiv w:val="1"/>
      <w:marLeft w:val="0"/>
      <w:marRight w:val="0"/>
      <w:marTop w:val="0"/>
      <w:marBottom w:val="0"/>
      <w:divBdr>
        <w:top w:val="none" w:sz="0" w:space="0" w:color="auto"/>
        <w:left w:val="none" w:sz="0" w:space="0" w:color="auto"/>
        <w:bottom w:val="none" w:sz="0" w:space="0" w:color="auto"/>
        <w:right w:val="none" w:sz="0" w:space="0" w:color="auto"/>
      </w:divBdr>
    </w:div>
    <w:div w:id="125246361">
      <w:bodyDiv w:val="1"/>
      <w:marLeft w:val="0"/>
      <w:marRight w:val="0"/>
      <w:marTop w:val="0"/>
      <w:marBottom w:val="0"/>
      <w:divBdr>
        <w:top w:val="none" w:sz="0" w:space="0" w:color="auto"/>
        <w:left w:val="none" w:sz="0" w:space="0" w:color="auto"/>
        <w:bottom w:val="none" w:sz="0" w:space="0" w:color="auto"/>
        <w:right w:val="none" w:sz="0" w:space="0" w:color="auto"/>
      </w:divBdr>
    </w:div>
    <w:div w:id="153231182">
      <w:bodyDiv w:val="1"/>
      <w:marLeft w:val="0"/>
      <w:marRight w:val="0"/>
      <w:marTop w:val="0"/>
      <w:marBottom w:val="0"/>
      <w:divBdr>
        <w:top w:val="none" w:sz="0" w:space="0" w:color="auto"/>
        <w:left w:val="none" w:sz="0" w:space="0" w:color="auto"/>
        <w:bottom w:val="none" w:sz="0" w:space="0" w:color="auto"/>
        <w:right w:val="none" w:sz="0" w:space="0" w:color="auto"/>
      </w:divBdr>
    </w:div>
    <w:div w:id="157696357">
      <w:bodyDiv w:val="1"/>
      <w:marLeft w:val="0"/>
      <w:marRight w:val="0"/>
      <w:marTop w:val="0"/>
      <w:marBottom w:val="0"/>
      <w:divBdr>
        <w:top w:val="none" w:sz="0" w:space="0" w:color="auto"/>
        <w:left w:val="none" w:sz="0" w:space="0" w:color="auto"/>
        <w:bottom w:val="none" w:sz="0" w:space="0" w:color="auto"/>
        <w:right w:val="none" w:sz="0" w:space="0" w:color="auto"/>
      </w:divBdr>
    </w:div>
    <w:div w:id="166602938">
      <w:bodyDiv w:val="1"/>
      <w:marLeft w:val="0"/>
      <w:marRight w:val="0"/>
      <w:marTop w:val="0"/>
      <w:marBottom w:val="0"/>
      <w:divBdr>
        <w:top w:val="none" w:sz="0" w:space="0" w:color="auto"/>
        <w:left w:val="none" w:sz="0" w:space="0" w:color="auto"/>
        <w:bottom w:val="none" w:sz="0" w:space="0" w:color="auto"/>
        <w:right w:val="none" w:sz="0" w:space="0" w:color="auto"/>
      </w:divBdr>
    </w:div>
    <w:div w:id="170461952">
      <w:bodyDiv w:val="1"/>
      <w:marLeft w:val="0"/>
      <w:marRight w:val="0"/>
      <w:marTop w:val="0"/>
      <w:marBottom w:val="0"/>
      <w:divBdr>
        <w:top w:val="none" w:sz="0" w:space="0" w:color="auto"/>
        <w:left w:val="none" w:sz="0" w:space="0" w:color="auto"/>
        <w:bottom w:val="none" w:sz="0" w:space="0" w:color="auto"/>
        <w:right w:val="none" w:sz="0" w:space="0" w:color="auto"/>
      </w:divBdr>
    </w:div>
    <w:div w:id="176384581">
      <w:bodyDiv w:val="1"/>
      <w:marLeft w:val="0"/>
      <w:marRight w:val="0"/>
      <w:marTop w:val="0"/>
      <w:marBottom w:val="0"/>
      <w:divBdr>
        <w:top w:val="none" w:sz="0" w:space="0" w:color="auto"/>
        <w:left w:val="none" w:sz="0" w:space="0" w:color="auto"/>
        <w:bottom w:val="none" w:sz="0" w:space="0" w:color="auto"/>
        <w:right w:val="none" w:sz="0" w:space="0" w:color="auto"/>
      </w:divBdr>
    </w:div>
    <w:div w:id="193427396">
      <w:bodyDiv w:val="1"/>
      <w:marLeft w:val="0"/>
      <w:marRight w:val="0"/>
      <w:marTop w:val="0"/>
      <w:marBottom w:val="0"/>
      <w:divBdr>
        <w:top w:val="none" w:sz="0" w:space="0" w:color="auto"/>
        <w:left w:val="none" w:sz="0" w:space="0" w:color="auto"/>
        <w:bottom w:val="none" w:sz="0" w:space="0" w:color="auto"/>
        <w:right w:val="none" w:sz="0" w:space="0" w:color="auto"/>
      </w:divBdr>
    </w:div>
    <w:div w:id="213124902">
      <w:bodyDiv w:val="1"/>
      <w:marLeft w:val="0"/>
      <w:marRight w:val="0"/>
      <w:marTop w:val="0"/>
      <w:marBottom w:val="0"/>
      <w:divBdr>
        <w:top w:val="none" w:sz="0" w:space="0" w:color="auto"/>
        <w:left w:val="none" w:sz="0" w:space="0" w:color="auto"/>
        <w:bottom w:val="none" w:sz="0" w:space="0" w:color="auto"/>
        <w:right w:val="none" w:sz="0" w:space="0" w:color="auto"/>
      </w:divBdr>
    </w:div>
    <w:div w:id="228687311">
      <w:bodyDiv w:val="1"/>
      <w:marLeft w:val="0"/>
      <w:marRight w:val="0"/>
      <w:marTop w:val="0"/>
      <w:marBottom w:val="0"/>
      <w:divBdr>
        <w:top w:val="none" w:sz="0" w:space="0" w:color="auto"/>
        <w:left w:val="none" w:sz="0" w:space="0" w:color="auto"/>
        <w:bottom w:val="none" w:sz="0" w:space="0" w:color="auto"/>
        <w:right w:val="none" w:sz="0" w:space="0" w:color="auto"/>
      </w:divBdr>
    </w:div>
    <w:div w:id="229924192">
      <w:bodyDiv w:val="1"/>
      <w:marLeft w:val="0"/>
      <w:marRight w:val="0"/>
      <w:marTop w:val="0"/>
      <w:marBottom w:val="0"/>
      <w:divBdr>
        <w:top w:val="none" w:sz="0" w:space="0" w:color="auto"/>
        <w:left w:val="none" w:sz="0" w:space="0" w:color="auto"/>
        <w:bottom w:val="none" w:sz="0" w:space="0" w:color="auto"/>
        <w:right w:val="none" w:sz="0" w:space="0" w:color="auto"/>
      </w:divBdr>
    </w:div>
    <w:div w:id="243957657">
      <w:bodyDiv w:val="1"/>
      <w:marLeft w:val="0"/>
      <w:marRight w:val="0"/>
      <w:marTop w:val="0"/>
      <w:marBottom w:val="0"/>
      <w:divBdr>
        <w:top w:val="none" w:sz="0" w:space="0" w:color="auto"/>
        <w:left w:val="none" w:sz="0" w:space="0" w:color="auto"/>
        <w:bottom w:val="none" w:sz="0" w:space="0" w:color="auto"/>
        <w:right w:val="none" w:sz="0" w:space="0" w:color="auto"/>
      </w:divBdr>
    </w:div>
    <w:div w:id="266472985">
      <w:bodyDiv w:val="1"/>
      <w:marLeft w:val="0"/>
      <w:marRight w:val="0"/>
      <w:marTop w:val="0"/>
      <w:marBottom w:val="0"/>
      <w:divBdr>
        <w:top w:val="none" w:sz="0" w:space="0" w:color="auto"/>
        <w:left w:val="none" w:sz="0" w:space="0" w:color="auto"/>
        <w:bottom w:val="none" w:sz="0" w:space="0" w:color="auto"/>
        <w:right w:val="none" w:sz="0" w:space="0" w:color="auto"/>
      </w:divBdr>
    </w:div>
    <w:div w:id="278145498">
      <w:bodyDiv w:val="1"/>
      <w:marLeft w:val="0"/>
      <w:marRight w:val="0"/>
      <w:marTop w:val="0"/>
      <w:marBottom w:val="0"/>
      <w:divBdr>
        <w:top w:val="none" w:sz="0" w:space="0" w:color="auto"/>
        <w:left w:val="none" w:sz="0" w:space="0" w:color="auto"/>
        <w:bottom w:val="none" w:sz="0" w:space="0" w:color="auto"/>
        <w:right w:val="none" w:sz="0" w:space="0" w:color="auto"/>
      </w:divBdr>
    </w:div>
    <w:div w:id="297804106">
      <w:bodyDiv w:val="1"/>
      <w:marLeft w:val="0"/>
      <w:marRight w:val="0"/>
      <w:marTop w:val="0"/>
      <w:marBottom w:val="0"/>
      <w:divBdr>
        <w:top w:val="none" w:sz="0" w:space="0" w:color="auto"/>
        <w:left w:val="none" w:sz="0" w:space="0" w:color="auto"/>
        <w:bottom w:val="none" w:sz="0" w:space="0" w:color="auto"/>
        <w:right w:val="none" w:sz="0" w:space="0" w:color="auto"/>
      </w:divBdr>
    </w:div>
    <w:div w:id="348024153">
      <w:bodyDiv w:val="1"/>
      <w:marLeft w:val="0"/>
      <w:marRight w:val="0"/>
      <w:marTop w:val="0"/>
      <w:marBottom w:val="0"/>
      <w:divBdr>
        <w:top w:val="none" w:sz="0" w:space="0" w:color="auto"/>
        <w:left w:val="none" w:sz="0" w:space="0" w:color="auto"/>
        <w:bottom w:val="none" w:sz="0" w:space="0" w:color="auto"/>
        <w:right w:val="none" w:sz="0" w:space="0" w:color="auto"/>
      </w:divBdr>
    </w:div>
    <w:div w:id="349725953">
      <w:bodyDiv w:val="1"/>
      <w:marLeft w:val="0"/>
      <w:marRight w:val="0"/>
      <w:marTop w:val="0"/>
      <w:marBottom w:val="0"/>
      <w:divBdr>
        <w:top w:val="none" w:sz="0" w:space="0" w:color="auto"/>
        <w:left w:val="none" w:sz="0" w:space="0" w:color="auto"/>
        <w:bottom w:val="none" w:sz="0" w:space="0" w:color="auto"/>
        <w:right w:val="none" w:sz="0" w:space="0" w:color="auto"/>
      </w:divBdr>
    </w:div>
    <w:div w:id="371076617">
      <w:bodyDiv w:val="1"/>
      <w:marLeft w:val="0"/>
      <w:marRight w:val="0"/>
      <w:marTop w:val="0"/>
      <w:marBottom w:val="0"/>
      <w:divBdr>
        <w:top w:val="none" w:sz="0" w:space="0" w:color="auto"/>
        <w:left w:val="none" w:sz="0" w:space="0" w:color="auto"/>
        <w:bottom w:val="none" w:sz="0" w:space="0" w:color="auto"/>
        <w:right w:val="none" w:sz="0" w:space="0" w:color="auto"/>
      </w:divBdr>
    </w:div>
    <w:div w:id="379089737">
      <w:bodyDiv w:val="1"/>
      <w:marLeft w:val="0"/>
      <w:marRight w:val="0"/>
      <w:marTop w:val="0"/>
      <w:marBottom w:val="0"/>
      <w:divBdr>
        <w:top w:val="none" w:sz="0" w:space="0" w:color="auto"/>
        <w:left w:val="none" w:sz="0" w:space="0" w:color="auto"/>
        <w:bottom w:val="none" w:sz="0" w:space="0" w:color="auto"/>
        <w:right w:val="none" w:sz="0" w:space="0" w:color="auto"/>
      </w:divBdr>
    </w:div>
    <w:div w:id="403456504">
      <w:bodyDiv w:val="1"/>
      <w:marLeft w:val="0"/>
      <w:marRight w:val="0"/>
      <w:marTop w:val="0"/>
      <w:marBottom w:val="0"/>
      <w:divBdr>
        <w:top w:val="none" w:sz="0" w:space="0" w:color="auto"/>
        <w:left w:val="none" w:sz="0" w:space="0" w:color="auto"/>
        <w:bottom w:val="none" w:sz="0" w:space="0" w:color="auto"/>
        <w:right w:val="none" w:sz="0" w:space="0" w:color="auto"/>
      </w:divBdr>
    </w:div>
    <w:div w:id="415833753">
      <w:bodyDiv w:val="1"/>
      <w:marLeft w:val="0"/>
      <w:marRight w:val="0"/>
      <w:marTop w:val="0"/>
      <w:marBottom w:val="0"/>
      <w:divBdr>
        <w:top w:val="none" w:sz="0" w:space="0" w:color="auto"/>
        <w:left w:val="none" w:sz="0" w:space="0" w:color="auto"/>
        <w:bottom w:val="none" w:sz="0" w:space="0" w:color="auto"/>
        <w:right w:val="none" w:sz="0" w:space="0" w:color="auto"/>
      </w:divBdr>
    </w:div>
    <w:div w:id="426460011">
      <w:bodyDiv w:val="1"/>
      <w:marLeft w:val="0"/>
      <w:marRight w:val="0"/>
      <w:marTop w:val="0"/>
      <w:marBottom w:val="0"/>
      <w:divBdr>
        <w:top w:val="none" w:sz="0" w:space="0" w:color="auto"/>
        <w:left w:val="none" w:sz="0" w:space="0" w:color="auto"/>
        <w:bottom w:val="none" w:sz="0" w:space="0" w:color="auto"/>
        <w:right w:val="none" w:sz="0" w:space="0" w:color="auto"/>
      </w:divBdr>
    </w:div>
    <w:div w:id="450176517">
      <w:bodyDiv w:val="1"/>
      <w:marLeft w:val="0"/>
      <w:marRight w:val="0"/>
      <w:marTop w:val="0"/>
      <w:marBottom w:val="0"/>
      <w:divBdr>
        <w:top w:val="none" w:sz="0" w:space="0" w:color="auto"/>
        <w:left w:val="none" w:sz="0" w:space="0" w:color="auto"/>
        <w:bottom w:val="none" w:sz="0" w:space="0" w:color="auto"/>
        <w:right w:val="none" w:sz="0" w:space="0" w:color="auto"/>
      </w:divBdr>
    </w:div>
    <w:div w:id="463625578">
      <w:bodyDiv w:val="1"/>
      <w:marLeft w:val="0"/>
      <w:marRight w:val="0"/>
      <w:marTop w:val="0"/>
      <w:marBottom w:val="0"/>
      <w:divBdr>
        <w:top w:val="none" w:sz="0" w:space="0" w:color="auto"/>
        <w:left w:val="none" w:sz="0" w:space="0" w:color="auto"/>
        <w:bottom w:val="none" w:sz="0" w:space="0" w:color="auto"/>
        <w:right w:val="none" w:sz="0" w:space="0" w:color="auto"/>
      </w:divBdr>
    </w:div>
    <w:div w:id="464547251">
      <w:bodyDiv w:val="1"/>
      <w:marLeft w:val="0"/>
      <w:marRight w:val="0"/>
      <w:marTop w:val="0"/>
      <w:marBottom w:val="0"/>
      <w:divBdr>
        <w:top w:val="none" w:sz="0" w:space="0" w:color="auto"/>
        <w:left w:val="none" w:sz="0" w:space="0" w:color="auto"/>
        <w:bottom w:val="none" w:sz="0" w:space="0" w:color="auto"/>
        <w:right w:val="none" w:sz="0" w:space="0" w:color="auto"/>
      </w:divBdr>
    </w:div>
    <w:div w:id="494613378">
      <w:bodyDiv w:val="1"/>
      <w:marLeft w:val="0"/>
      <w:marRight w:val="0"/>
      <w:marTop w:val="0"/>
      <w:marBottom w:val="0"/>
      <w:divBdr>
        <w:top w:val="none" w:sz="0" w:space="0" w:color="auto"/>
        <w:left w:val="none" w:sz="0" w:space="0" w:color="auto"/>
        <w:bottom w:val="none" w:sz="0" w:space="0" w:color="auto"/>
        <w:right w:val="none" w:sz="0" w:space="0" w:color="auto"/>
      </w:divBdr>
    </w:div>
    <w:div w:id="528185160">
      <w:bodyDiv w:val="1"/>
      <w:marLeft w:val="0"/>
      <w:marRight w:val="0"/>
      <w:marTop w:val="0"/>
      <w:marBottom w:val="0"/>
      <w:divBdr>
        <w:top w:val="none" w:sz="0" w:space="0" w:color="auto"/>
        <w:left w:val="none" w:sz="0" w:space="0" w:color="auto"/>
        <w:bottom w:val="none" w:sz="0" w:space="0" w:color="auto"/>
        <w:right w:val="none" w:sz="0" w:space="0" w:color="auto"/>
      </w:divBdr>
    </w:div>
    <w:div w:id="542903902">
      <w:bodyDiv w:val="1"/>
      <w:marLeft w:val="0"/>
      <w:marRight w:val="0"/>
      <w:marTop w:val="0"/>
      <w:marBottom w:val="0"/>
      <w:divBdr>
        <w:top w:val="none" w:sz="0" w:space="0" w:color="auto"/>
        <w:left w:val="none" w:sz="0" w:space="0" w:color="auto"/>
        <w:bottom w:val="none" w:sz="0" w:space="0" w:color="auto"/>
        <w:right w:val="none" w:sz="0" w:space="0" w:color="auto"/>
      </w:divBdr>
    </w:div>
    <w:div w:id="543257380">
      <w:bodyDiv w:val="1"/>
      <w:marLeft w:val="0"/>
      <w:marRight w:val="0"/>
      <w:marTop w:val="0"/>
      <w:marBottom w:val="0"/>
      <w:divBdr>
        <w:top w:val="none" w:sz="0" w:space="0" w:color="auto"/>
        <w:left w:val="none" w:sz="0" w:space="0" w:color="auto"/>
        <w:bottom w:val="none" w:sz="0" w:space="0" w:color="auto"/>
        <w:right w:val="none" w:sz="0" w:space="0" w:color="auto"/>
      </w:divBdr>
    </w:div>
    <w:div w:id="551699735">
      <w:bodyDiv w:val="1"/>
      <w:marLeft w:val="0"/>
      <w:marRight w:val="0"/>
      <w:marTop w:val="0"/>
      <w:marBottom w:val="0"/>
      <w:divBdr>
        <w:top w:val="none" w:sz="0" w:space="0" w:color="auto"/>
        <w:left w:val="none" w:sz="0" w:space="0" w:color="auto"/>
        <w:bottom w:val="none" w:sz="0" w:space="0" w:color="auto"/>
        <w:right w:val="none" w:sz="0" w:space="0" w:color="auto"/>
      </w:divBdr>
    </w:div>
    <w:div w:id="553392687">
      <w:bodyDiv w:val="1"/>
      <w:marLeft w:val="0"/>
      <w:marRight w:val="0"/>
      <w:marTop w:val="0"/>
      <w:marBottom w:val="0"/>
      <w:divBdr>
        <w:top w:val="none" w:sz="0" w:space="0" w:color="auto"/>
        <w:left w:val="none" w:sz="0" w:space="0" w:color="auto"/>
        <w:bottom w:val="none" w:sz="0" w:space="0" w:color="auto"/>
        <w:right w:val="none" w:sz="0" w:space="0" w:color="auto"/>
      </w:divBdr>
    </w:div>
    <w:div w:id="606695022">
      <w:bodyDiv w:val="1"/>
      <w:marLeft w:val="0"/>
      <w:marRight w:val="0"/>
      <w:marTop w:val="0"/>
      <w:marBottom w:val="0"/>
      <w:divBdr>
        <w:top w:val="none" w:sz="0" w:space="0" w:color="auto"/>
        <w:left w:val="none" w:sz="0" w:space="0" w:color="auto"/>
        <w:bottom w:val="none" w:sz="0" w:space="0" w:color="auto"/>
        <w:right w:val="none" w:sz="0" w:space="0" w:color="auto"/>
      </w:divBdr>
    </w:div>
    <w:div w:id="615796891">
      <w:bodyDiv w:val="1"/>
      <w:marLeft w:val="0"/>
      <w:marRight w:val="0"/>
      <w:marTop w:val="0"/>
      <w:marBottom w:val="0"/>
      <w:divBdr>
        <w:top w:val="none" w:sz="0" w:space="0" w:color="auto"/>
        <w:left w:val="none" w:sz="0" w:space="0" w:color="auto"/>
        <w:bottom w:val="none" w:sz="0" w:space="0" w:color="auto"/>
        <w:right w:val="none" w:sz="0" w:space="0" w:color="auto"/>
      </w:divBdr>
    </w:div>
    <w:div w:id="625506426">
      <w:bodyDiv w:val="1"/>
      <w:marLeft w:val="0"/>
      <w:marRight w:val="0"/>
      <w:marTop w:val="0"/>
      <w:marBottom w:val="0"/>
      <w:divBdr>
        <w:top w:val="none" w:sz="0" w:space="0" w:color="auto"/>
        <w:left w:val="none" w:sz="0" w:space="0" w:color="auto"/>
        <w:bottom w:val="none" w:sz="0" w:space="0" w:color="auto"/>
        <w:right w:val="none" w:sz="0" w:space="0" w:color="auto"/>
      </w:divBdr>
    </w:div>
    <w:div w:id="627974168">
      <w:bodyDiv w:val="1"/>
      <w:marLeft w:val="0"/>
      <w:marRight w:val="0"/>
      <w:marTop w:val="0"/>
      <w:marBottom w:val="0"/>
      <w:divBdr>
        <w:top w:val="none" w:sz="0" w:space="0" w:color="auto"/>
        <w:left w:val="none" w:sz="0" w:space="0" w:color="auto"/>
        <w:bottom w:val="none" w:sz="0" w:space="0" w:color="auto"/>
        <w:right w:val="none" w:sz="0" w:space="0" w:color="auto"/>
      </w:divBdr>
    </w:div>
    <w:div w:id="639501231">
      <w:bodyDiv w:val="1"/>
      <w:marLeft w:val="0"/>
      <w:marRight w:val="0"/>
      <w:marTop w:val="0"/>
      <w:marBottom w:val="0"/>
      <w:divBdr>
        <w:top w:val="none" w:sz="0" w:space="0" w:color="auto"/>
        <w:left w:val="none" w:sz="0" w:space="0" w:color="auto"/>
        <w:bottom w:val="none" w:sz="0" w:space="0" w:color="auto"/>
        <w:right w:val="none" w:sz="0" w:space="0" w:color="auto"/>
      </w:divBdr>
    </w:div>
    <w:div w:id="671034868">
      <w:bodyDiv w:val="1"/>
      <w:marLeft w:val="0"/>
      <w:marRight w:val="0"/>
      <w:marTop w:val="0"/>
      <w:marBottom w:val="0"/>
      <w:divBdr>
        <w:top w:val="none" w:sz="0" w:space="0" w:color="auto"/>
        <w:left w:val="none" w:sz="0" w:space="0" w:color="auto"/>
        <w:bottom w:val="none" w:sz="0" w:space="0" w:color="auto"/>
        <w:right w:val="none" w:sz="0" w:space="0" w:color="auto"/>
      </w:divBdr>
    </w:div>
    <w:div w:id="678967479">
      <w:bodyDiv w:val="1"/>
      <w:marLeft w:val="0"/>
      <w:marRight w:val="0"/>
      <w:marTop w:val="0"/>
      <w:marBottom w:val="0"/>
      <w:divBdr>
        <w:top w:val="none" w:sz="0" w:space="0" w:color="auto"/>
        <w:left w:val="none" w:sz="0" w:space="0" w:color="auto"/>
        <w:bottom w:val="none" w:sz="0" w:space="0" w:color="auto"/>
        <w:right w:val="none" w:sz="0" w:space="0" w:color="auto"/>
      </w:divBdr>
    </w:div>
    <w:div w:id="691539224">
      <w:bodyDiv w:val="1"/>
      <w:marLeft w:val="0"/>
      <w:marRight w:val="0"/>
      <w:marTop w:val="0"/>
      <w:marBottom w:val="0"/>
      <w:divBdr>
        <w:top w:val="none" w:sz="0" w:space="0" w:color="auto"/>
        <w:left w:val="none" w:sz="0" w:space="0" w:color="auto"/>
        <w:bottom w:val="none" w:sz="0" w:space="0" w:color="auto"/>
        <w:right w:val="none" w:sz="0" w:space="0" w:color="auto"/>
      </w:divBdr>
    </w:div>
    <w:div w:id="698817717">
      <w:bodyDiv w:val="1"/>
      <w:marLeft w:val="0"/>
      <w:marRight w:val="0"/>
      <w:marTop w:val="0"/>
      <w:marBottom w:val="0"/>
      <w:divBdr>
        <w:top w:val="none" w:sz="0" w:space="0" w:color="auto"/>
        <w:left w:val="none" w:sz="0" w:space="0" w:color="auto"/>
        <w:bottom w:val="none" w:sz="0" w:space="0" w:color="auto"/>
        <w:right w:val="none" w:sz="0" w:space="0" w:color="auto"/>
      </w:divBdr>
    </w:div>
    <w:div w:id="701243761">
      <w:bodyDiv w:val="1"/>
      <w:marLeft w:val="0"/>
      <w:marRight w:val="0"/>
      <w:marTop w:val="0"/>
      <w:marBottom w:val="0"/>
      <w:divBdr>
        <w:top w:val="none" w:sz="0" w:space="0" w:color="auto"/>
        <w:left w:val="none" w:sz="0" w:space="0" w:color="auto"/>
        <w:bottom w:val="none" w:sz="0" w:space="0" w:color="auto"/>
        <w:right w:val="none" w:sz="0" w:space="0" w:color="auto"/>
      </w:divBdr>
    </w:div>
    <w:div w:id="707417384">
      <w:bodyDiv w:val="1"/>
      <w:marLeft w:val="0"/>
      <w:marRight w:val="0"/>
      <w:marTop w:val="0"/>
      <w:marBottom w:val="0"/>
      <w:divBdr>
        <w:top w:val="none" w:sz="0" w:space="0" w:color="auto"/>
        <w:left w:val="none" w:sz="0" w:space="0" w:color="auto"/>
        <w:bottom w:val="none" w:sz="0" w:space="0" w:color="auto"/>
        <w:right w:val="none" w:sz="0" w:space="0" w:color="auto"/>
      </w:divBdr>
    </w:div>
    <w:div w:id="761991969">
      <w:bodyDiv w:val="1"/>
      <w:marLeft w:val="0"/>
      <w:marRight w:val="0"/>
      <w:marTop w:val="0"/>
      <w:marBottom w:val="0"/>
      <w:divBdr>
        <w:top w:val="none" w:sz="0" w:space="0" w:color="auto"/>
        <w:left w:val="none" w:sz="0" w:space="0" w:color="auto"/>
        <w:bottom w:val="none" w:sz="0" w:space="0" w:color="auto"/>
        <w:right w:val="none" w:sz="0" w:space="0" w:color="auto"/>
      </w:divBdr>
    </w:div>
    <w:div w:id="788813869">
      <w:bodyDiv w:val="1"/>
      <w:marLeft w:val="0"/>
      <w:marRight w:val="0"/>
      <w:marTop w:val="0"/>
      <w:marBottom w:val="0"/>
      <w:divBdr>
        <w:top w:val="none" w:sz="0" w:space="0" w:color="auto"/>
        <w:left w:val="none" w:sz="0" w:space="0" w:color="auto"/>
        <w:bottom w:val="none" w:sz="0" w:space="0" w:color="auto"/>
        <w:right w:val="none" w:sz="0" w:space="0" w:color="auto"/>
      </w:divBdr>
    </w:div>
    <w:div w:id="827359154">
      <w:bodyDiv w:val="1"/>
      <w:marLeft w:val="0"/>
      <w:marRight w:val="0"/>
      <w:marTop w:val="0"/>
      <w:marBottom w:val="0"/>
      <w:divBdr>
        <w:top w:val="none" w:sz="0" w:space="0" w:color="auto"/>
        <w:left w:val="none" w:sz="0" w:space="0" w:color="auto"/>
        <w:bottom w:val="none" w:sz="0" w:space="0" w:color="auto"/>
        <w:right w:val="none" w:sz="0" w:space="0" w:color="auto"/>
      </w:divBdr>
    </w:div>
    <w:div w:id="835926753">
      <w:bodyDiv w:val="1"/>
      <w:marLeft w:val="0"/>
      <w:marRight w:val="0"/>
      <w:marTop w:val="0"/>
      <w:marBottom w:val="0"/>
      <w:divBdr>
        <w:top w:val="none" w:sz="0" w:space="0" w:color="auto"/>
        <w:left w:val="none" w:sz="0" w:space="0" w:color="auto"/>
        <w:bottom w:val="none" w:sz="0" w:space="0" w:color="auto"/>
        <w:right w:val="none" w:sz="0" w:space="0" w:color="auto"/>
      </w:divBdr>
    </w:div>
    <w:div w:id="858935238">
      <w:bodyDiv w:val="1"/>
      <w:marLeft w:val="0"/>
      <w:marRight w:val="0"/>
      <w:marTop w:val="0"/>
      <w:marBottom w:val="0"/>
      <w:divBdr>
        <w:top w:val="none" w:sz="0" w:space="0" w:color="auto"/>
        <w:left w:val="none" w:sz="0" w:space="0" w:color="auto"/>
        <w:bottom w:val="none" w:sz="0" w:space="0" w:color="auto"/>
        <w:right w:val="none" w:sz="0" w:space="0" w:color="auto"/>
      </w:divBdr>
    </w:div>
    <w:div w:id="861741446">
      <w:bodyDiv w:val="1"/>
      <w:marLeft w:val="0"/>
      <w:marRight w:val="0"/>
      <w:marTop w:val="0"/>
      <w:marBottom w:val="0"/>
      <w:divBdr>
        <w:top w:val="none" w:sz="0" w:space="0" w:color="auto"/>
        <w:left w:val="none" w:sz="0" w:space="0" w:color="auto"/>
        <w:bottom w:val="none" w:sz="0" w:space="0" w:color="auto"/>
        <w:right w:val="none" w:sz="0" w:space="0" w:color="auto"/>
      </w:divBdr>
    </w:div>
    <w:div w:id="931160688">
      <w:bodyDiv w:val="1"/>
      <w:marLeft w:val="0"/>
      <w:marRight w:val="0"/>
      <w:marTop w:val="0"/>
      <w:marBottom w:val="0"/>
      <w:divBdr>
        <w:top w:val="none" w:sz="0" w:space="0" w:color="auto"/>
        <w:left w:val="none" w:sz="0" w:space="0" w:color="auto"/>
        <w:bottom w:val="none" w:sz="0" w:space="0" w:color="auto"/>
        <w:right w:val="none" w:sz="0" w:space="0" w:color="auto"/>
      </w:divBdr>
    </w:div>
    <w:div w:id="941844184">
      <w:bodyDiv w:val="1"/>
      <w:marLeft w:val="0"/>
      <w:marRight w:val="0"/>
      <w:marTop w:val="0"/>
      <w:marBottom w:val="0"/>
      <w:divBdr>
        <w:top w:val="none" w:sz="0" w:space="0" w:color="auto"/>
        <w:left w:val="none" w:sz="0" w:space="0" w:color="auto"/>
        <w:bottom w:val="none" w:sz="0" w:space="0" w:color="auto"/>
        <w:right w:val="none" w:sz="0" w:space="0" w:color="auto"/>
      </w:divBdr>
    </w:div>
    <w:div w:id="948466049">
      <w:bodyDiv w:val="1"/>
      <w:marLeft w:val="0"/>
      <w:marRight w:val="0"/>
      <w:marTop w:val="0"/>
      <w:marBottom w:val="0"/>
      <w:divBdr>
        <w:top w:val="none" w:sz="0" w:space="0" w:color="auto"/>
        <w:left w:val="none" w:sz="0" w:space="0" w:color="auto"/>
        <w:bottom w:val="none" w:sz="0" w:space="0" w:color="auto"/>
        <w:right w:val="none" w:sz="0" w:space="0" w:color="auto"/>
      </w:divBdr>
    </w:div>
    <w:div w:id="963772951">
      <w:bodyDiv w:val="1"/>
      <w:marLeft w:val="0"/>
      <w:marRight w:val="0"/>
      <w:marTop w:val="0"/>
      <w:marBottom w:val="0"/>
      <w:divBdr>
        <w:top w:val="none" w:sz="0" w:space="0" w:color="auto"/>
        <w:left w:val="none" w:sz="0" w:space="0" w:color="auto"/>
        <w:bottom w:val="none" w:sz="0" w:space="0" w:color="auto"/>
        <w:right w:val="none" w:sz="0" w:space="0" w:color="auto"/>
      </w:divBdr>
    </w:div>
    <w:div w:id="963804570">
      <w:bodyDiv w:val="1"/>
      <w:marLeft w:val="0"/>
      <w:marRight w:val="0"/>
      <w:marTop w:val="0"/>
      <w:marBottom w:val="0"/>
      <w:divBdr>
        <w:top w:val="none" w:sz="0" w:space="0" w:color="auto"/>
        <w:left w:val="none" w:sz="0" w:space="0" w:color="auto"/>
        <w:bottom w:val="none" w:sz="0" w:space="0" w:color="auto"/>
        <w:right w:val="none" w:sz="0" w:space="0" w:color="auto"/>
      </w:divBdr>
    </w:div>
    <w:div w:id="991568309">
      <w:bodyDiv w:val="1"/>
      <w:marLeft w:val="0"/>
      <w:marRight w:val="0"/>
      <w:marTop w:val="0"/>
      <w:marBottom w:val="0"/>
      <w:divBdr>
        <w:top w:val="none" w:sz="0" w:space="0" w:color="auto"/>
        <w:left w:val="none" w:sz="0" w:space="0" w:color="auto"/>
        <w:bottom w:val="none" w:sz="0" w:space="0" w:color="auto"/>
        <w:right w:val="none" w:sz="0" w:space="0" w:color="auto"/>
      </w:divBdr>
    </w:div>
    <w:div w:id="1021250181">
      <w:bodyDiv w:val="1"/>
      <w:marLeft w:val="0"/>
      <w:marRight w:val="0"/>
      <w:marTop w:val="0"/>
      <w:marBottom w:val="0"/>
      <w:divBdr>
        <w:top w:val="none" w:sz="0" w:space="0" w:color="auto"/>
        <w:left w:val="none" w:sz="0" w:space="0" w:color="auto"/>
        <w:bottom w:val="none" w:sz="0" w:space="0" w:color="auto"/>
        <w:right w:val="none" w:sz="0" w:space="0" w:color="auto"/>
      </w:divBdr>
    </w:div>
    <w:div w:id="1024407619">
      <w:bodyDiv w:val="1"/>
      <w:marLeft w:val="0"/>
      <w:marRight w:val="0"/>
      <w:marTop w:val="0"/>
      <w:marBottom w:val="0"/>
      <w:divBdr>
        <w:top w:val="none" w:sz="0" w:space="0" w:color="auto"/>
        <w:left w:val="none" w:sz="0" w:space="0" w:color="auto"/>
        <w:bottom w:val="none" w:sz="0" w:space="0" w:color="auto"/>
        <w:right w:val="none" w:sz="0" w:space="0" w:color="auto"/>
      </w:divBdr>
    </w:div>
    <w:div w:id="1051924806">
      <w:bodyDiv w:val="1"/>
      <w:marLeft w:val="0"/>
      <w:marRight w:val="0"/>
      <w:marTop w:val="0"/>
      <w:marBottom w:val="0"/>
      <w:divBdr>
        <w:top w:val="none" w:sz="0" w:space="0" w:color="auto"/>
        <w:left w:val="none" w:sz="0" w:space="0" w:color="auto"/>
        <w:bottom w:val="none" w:sz="0" w:space="0" w:color="auto"/>
        <w:right w:val="none" w:sz="0" w:space="0" w:color="auto"/>
      </w:divBdr>
    </w:div>
    <w:div w:id="1062941940">
      <w:bodyDiv w:val="1"/>
      <w:marLeft w:val="0"/>
      <w:marRight w:val="0"/>
      <w:marTop w:val="0"/>
      <w:marBottom w:val="0"/>
      <w:divBdr>
        <w:top w:val="none" w:sz="0" w:space="0" w:color="auto"/>
        <w:left w:val="none" w:sz="0" w:space="0" w:color="auto"/>
        <w:bottom w:val="none" w:sz="0" w:space="0" w:color="auto"/>
        <w:right w:val="none" w:sz="0" w:space="0" w:color="auto"/>
      </w:divBdr>
    </w:div>
    <w:div w:id="1079979691">
      <w:bodyDiv w:val="1"/>
      <w:marLeft w:val="0"/>
      <w:marRight w:val="0"/>
      <w:marTop w:val="0"/>
      <w:marBottom w:val="0"/>
      <w:divBdr>
        <w:top w:val="none" w:sz="0" w:space="0" w:color="auto"/>
        <w:left w:val="none" w:sz="0" w:space="0" w:color="auto"/>
        <w:bottom w:val="none" w:sz="0" w:space="0" w:color="auto"/>
        <w:right w:val="none" w:sz="0" w:space="0" w:color="auto"/>
      </w:divBdr>
    </w:div>
    <w:div w:id="1102797658">
      <w:bodyDiv w:val="1"/>
      <w:marLeft w:val="0"/>
      <w:marRight w:val="0"/>
      <w:marTop w:val="0"/>
      <w:marBottom w:val="0"/>
      <w:divBdr>
        <w:top w:val="none" w:sz="0" w:space="0" w:color="auto"/>
        <w:left w:val="none" w:sz="0" w:space="0" w:color="auto"/>
        <w:bottom w:val="none" w:sz="0" w:space="0" w:color="auto"/>
        <w:right w:val="none" w:sz="0" w:space="0" w:color="auto"/>
      </w:divBdr>
    </w:div>
    <w:div w:id="1180044302">
      <w:bodyDiv w:val="1"/>
      <w:marLeft w:val="0"/>
      <w:marRight w:val="0"/>
      <w:marTop w:val="0"/>
      <w:marBottom w:val="0"/>
      <w:divBdr>
        <w:top w:val="none" w:sz="0" w:space="0" w:color="auto"/>
        <w:left w:val="none" w:sz="0" w:space="0" w:color="auto"/>
        <w:bottom w:val="none" w:sz="0" w:space="0" w:color="auto"/>
        <w:right w:val="none" w:sz="0" w:space="0" w:color="auto"/>
      </w:divBdr>
    </w:div>
    <w:div w:id="1203320716">
      <w:bodyDiv w:val="1"/>
      <w:marLeft w:val="0"/>
      <w:marRight w:val="0"/>
      <w:marTop w:val="0"/>
      <w:marBottom w:val="0"/>
      <w:divBdr>
        <w:top w:val="none" w:sz="0" w:space="0" w:color="auto"/>
        <w:left w:val="none" w:sz="0" w:space="0" w:color="auto"/>
        <w:bottom w:val="none" w:sz="0" w:space="0" w:color="auto"/>
        <w:right w:val="none" w:sz="0" w:space="0" w:color="auto"/>
      </w:divBdr>
    </w:div>
    <w:div w:id="1225798152">
      <w:bodyDiv w:val="1"/>
      <w:marLeft w:val="0"/>
      <w:marRight w:val="0"/>
      <w:marTop w:val="0"/>
      <w:marBottom w:val="0"/>
      <w:divBdr>
        <w:top w:val="none" w:sz="0" w:space="0" w:color="auto"/>
        <w:left w:val="none" w:sz="0" w:space="0" w:color="auto"/>
        <w:bottom w:val="none" w:sz="0" w:space="0" w:color="auto"/>
        <w:right w:val="none" w:sz="0" w:space="0" w:color="auto"/>
      </w:divBdr>
    </w:div>
    <w:div w:id="1236479579">
      <w:bodyDiv w:val="1"/>
      <w:marLeft w:val="0"/>
      <w:marRight w:val="0"/>
      <w:marTop w:val="0"/>
      <w:marBottom w:val="0"/>
      <w:divBdr>
        <w:top w:val="none" w:sz="0" w:space="0" w:color="auto"/>
        <w:left w:val="none" w:sz="0" w:space="0" w:color="auto"/>
        <w:bottom w:val="none" w:sz="0" w:space="0" w:color="auto"/>
        <w:right w:val="none" w:sz="0" w:space="0" w:color="auto"/>
      </w:divBdr>
    </w:div>
    <w:div w:id="1260989128">
      <w:bodyDiv w:val="1"/>
      <w:marLeft w:val="0"/>
      <w:marRight w:val="0"/>
      <w:marTop w:val="0"/>
      <w:marBottom w:val="0"/>
      <w:divBdr>
        <w:top w:val="none" w:sz="0" w:space="0" w:color="auto"/>
        <w:left w:val="none" w:sz="0" w:space="0" w:color="auto"/>
        <w:bottom w:val="none" w:sz="0" w:space="0" w:color="auto"/>
        <w:right w:val="none" w:sz="0" w:space="0" w:color="auto"/>
      </w:divBdr>
    </w:div>
    <w:div w:id="1306426993">
      <w:bodyDiv w:val="1"/>
      <w:marLeft w:val="0"/>
      <w:marRight w:val="0"/>
      <w:marTop w:val="0"/>
      <w:marBottom w:val="0"/>
      <w:divBdr>
        <w:top w:val="none" w:sz="0" w:space="0" w:color="auto"/>
        <w:left w:val="none" w:sz="0" w:space="0" w:color="auto"/>
        <w:bottom w:val="none" w:sz="0" w:space="0" w:color="auto"/>
        <w:right w:val="none" w:sz="0" w:space="0" w:color="auto"/>
      </w:divBdr>
    </w:div>
    <w:div w:id="1318655290">
      <w:bodyDiv w:val="1"/>
      <w:marLeft w:val="0"/>
      <w:marRight w:val="0"/>
      <w:marTop w:val="0"/>
      <w:marBottom w:val="0"/>
      <w:divBdr>
        <w:top w:val="none" w:sz="0" w:space="0" w:color="auto"/>
        <w:left w:val="none" w:sz="0" w:space="0" w:color="auto"/>
        <w:bottom w:val="none" w:sz="0" w:space="0" w:color="auto"/>
        <w:right w:val="none" w:sz="0" w:space="0" w:color="auto"/>
      </w:divBdr>
    </w:div>
    <w:div w:id="1321687908">
      <w:bodyDiv w:val="1"/>
      <w:marLeft w:val="0"/>
      <w:marRight w:val="0"/>
      <w:marTop w:val="0"/>
      <w:marBottom w:val="0"/>
      <w:divBdr>
        <w:top w:val="none" w:sz="0" w:space="0" w:color="auto"/>
        <w:left w:val="none" w:sz="0" w:space="0" w:color="auto"/>
        <w:bottom w:val="none" w:sz="0" w:space="0" w:color="auto"/>
        <w:right w:val="none" w:sz="0" w:space="0" w:color="auto"/>
      </w:divBdr>
    </w:div>
    <w:div w:id="1322853051">
      <w:bodyDiv w:val="1"/>
      <w:marLeft w:val="0"/>
      <w:marRight w:val="0"/>
      <w:marTop w:val="0"/>
      <w:marBottom w:val="0"/>
      <w:divBdr>
        <w:top w:val="none" w:sz="0" w:space="0" w:color="auto"/>
        <w:left w:val="none" w:sz="0" w:space="0" w:color="auto"/>
        <w:bottom w:val="none" w:sz="0" w:space="0" w:color="auto"/>
        <w:right w:val="none" w:sz="0" w:space="0" w:color="auto"/>
      </w:divBdr>
    </w:div>
    <w:div w:id="1330256167">
      <w:bodyDiv w:val="1"/>
      <w:marLeft w:val="0"/>
      <w:marRight w:val="0"/>
      <w:marTop w:val="0"/>
      <w:marBottom w:val="0"/>
      <w:divBdr>
        <w:top w:val="none" w:sz="0" w:space="0" w:color="auto"/>
        <w:left w:val="none" w:sz="0" w:space="0" w:color="auto"/>
        <w:bottom w:val="none" w:sz="0" w:space="0" w:color="auto"/>
        <w:right w:val="none" w:sz="0" w:space="0" w:color="auto"/>
      </w:divBdr>
    </w:div>
    <w:div w:id="1354918599">
      <w:bodyDiv w:val="1"/>
      <w:marLeft w:val="0"/>
      <w:marRight w:val="0"/>
      <w:marTop w:val="0"/>
      <w:marBottom w:val="0"/>
      <w:divBdr>
        <w:top w:val="none" w:sz="0" w:space="0" w:color="auto"/>
        <w:left w:val="none" w:sz="0" w:space="0" w:color="auto"/>
        <w:bottom w:val="none" w:sz="0" w:space="0" w:color="auto"/>
        <w:right w:val="none" w:sz="0" w:space="0" w:color="auto"/>
      </w:divBdr>
    </w:div>
    <w:div w:id="1359237718">
      <w:bodyDiv w:val="1"/>
      <w:marLeft w:val="0"/>
      <w:marRight w:val="0"/>
      <w:marTop w:val="0"/>
      <w:marBottom w:val="0"/>
      <w:divBdr>
        <w:top w:val="none" w:sz="0" w:space="0" w:color="auto"/>
        <w:left w:val="none" w:sz="0" w:space="0" w:color="auto"/>
        <w:bottom w:val="none" w:sz="0" w:space="0" w:color="auto"/>
        <w:right w:val="none" w:sz="0" w:space="0" w:color="auto"/>
      </w:divBdr>
    </w:div>
    <w:div w:id="1377774050">
      <w:bodyDiv w:val="1"/>
      <w:marLeft w:val="0"/>
      <w:marRight w:val="0"/>
      <w:marTop w:val="0"/>
      <w:marBottom w:val="0"/>
      <w:divBdr>
        <w:top w:val="none" w:sz="0" w:space="0" w:color="auto"/>
        <w:left w:val="none" w:sz="0" w:space="0" w:color="auto"/>
        <w:bottom w:val="none" w:sz="0" w:space="0" w:color="auto"/>
        <w:right w:val="none" w:sz="0" w:space="0" w:color="auto"/>
      </w:divBdr>
    </w:div>
    <w:div w:id="1391805389">
      <w:bodyDiv w:val="1"/>
      <w:marLeft w:val="0"/>
      <w:marRight w:val="0"/>
      <w:marTop w:val="0"/>
      <w:marBottom w:val="0"/>
      <w:divBdr>
        <w:top w:val="none" w:sz="0" w:space="0" w:color="auto"/>
        <w:left w:val="none" w:sz="0" w:space="0" w:color="auto"/>
        <w:bottom w:val="none" w:sz="0" w:space="0" w:color="auto"/>
        <w:right w:val="none" w:sz="0" w:space="0" w:color="auto"/>
      </w:divBdr>
    </w:div>
    <w:div w:id="1524324881">
      <w:bodyDiv w:val="1"/>
      <w:marLeft w:val="0"/>
      <w:marRight w:val="0"/>
      <w:marTop w:val="0"/>
      <w:marBottom w:val="0"/>
      <w:divBdr>
        <w:top w:val="none" w:sz="0" w:space="0" w:color="auto"/>
        <w:left w:val="none" w:sz="0" w:space="0" w:color="auto"/>
        <w:bottom w:val="none" w:sz="0" w:space="0" w:color="auto"/>
        <w:right w:val="none" w:sz="0" w:space="0" w:color="auto"/>
      </w:divBdr>
    </w:div>
    <w:div w:id="1558013803">
      <w:bodyDiv w:val="1"/>
      <w:marLeft w:val="0"/>
      <w:marRight w:val="0"/>
      <w:marTop w:val="0"/>
      <w:marBottom w:val="0"/>
      <w:divBdr>
        <w:top w:val="none" w:sz="0" w:space="0" w:color="auto"/>
        <w:left w:val="none" w:sz="0" w:space="0" w:color="auto"/>
        <w:bottom w:val="none" w:sz="0" w:space="0" w:color="auto"/>
        <w:right w:val="none" w:sz="0" w:space="0" w:color="auto"/>
      </w:divBdr>
    </w:div>
    <w:div w:id="1558586965">
      <w:bodyDiv w:val="1"/>
      <w:marLeft w:val="0"/>
      <w:marRight w:val="0"/>
      <w:marTop w:val="0"/>
      <w:marBottom w:val="0"/>
      <w:divBdr>
        <w:top w:val="none" w:sz="0" w:space="0" w:color="auto"/>
        <w:left w:val="none" w:sz="0" w:space="0" w:color="auto"/>
        <w:bottom w:val="none" w:sz="0" w:space="0" w:color="auto"/>
        <w:right w:val="none" w:sz="0" w:space="0" w:color="auto"/>
      </w:divBdr>
    </w:div>
    <w:div w:id="1597012244">
      <w:bodyDiv w:val="1"/>
      <w:marLeft w:val="0"/>
      <w:marRight w:val="0"/>
      <w:marTop w:val="0"/>
      <w:marBottom w:val="0"/>
      <w:divBdr>
        <w:top w:val="none" w:sz="0" w:space="0" w:color="auto"/>
        <w:left w:val="none" w:sz="0" w:space="0" w:color="auto"/>
        <w:bottom w:val="none" w:sz="0" w:space="0" w:color="auto"/>
        <w:right w:val="none" w:sz="0" w:space="0" w:color="auto"/>
      </w:divBdr>
    </w:div>
    <w:div w:id="1597977450">
      <w:bodyDiv w:val="1"/>
      <w:marLeft w:val="0"/>
      <w:marRight w:val="0"/>
      <w:marTop w:val="0"/>
      <w:marBottom w:val="0"/>
      <w:divBdr>
        <w:top w:val="none" w:sz="0" w:space="0" w:color="auto"/>
        <w:left w:val="none" w:sz="0" w:space="0" w:color="auto"/>
        <w:bottom w:val="none" w:sz="0" w:space="0" w:color="auto"/>
        <w:right w:val="none" w:sz="0" w:space="0" w:color="auto"/>
      </w:divBdr>
    </w:div>
    <w:div w:id="1600989229">
      <w:bodyDiv w:val="1"/>
      <w:marLeft w:val="0"/>
      <w:marRight w:val="0"/>
      <w:marTop w:val="0"/>
      <w:marBottom w:val="0"/>
      <w:divBdr>
        <w:top w:val="none" w:sz="0" w:space="0" w:color="auto"/>
        <w:left w:val="none" w:sz="0" w:space="0" w:color="auto"/>
        <w:bottom w:val="none" w:sz="0" w:space="0" w:color="auto"/>
        <w:right w:val="none" w:sz="0" w:space="0" w:color="auto"/>
      </w:divBdr>
    </w:div>
    <w:div w:id="1604410591">
      <w:bodyDiv w:val="1"/>
      <w:marLeft w:val="0"/>
      <w:marRight w:val="0"/>
      <w:marTop w:val="0"/>
      <w:marBottom w:val="0"/>
      <w:divBdr>
        <w:top w:val="none" w:sz="0" w:space="0" w:color="auto"/>
        <w:left w:val="none" w:sz="0" w:space="0" w:color="auto"/>
        <w:bottom w:val="none" w:sz="0" w:space="0" w:color="auto"/>
        <w:right w:val="none" w:sz="0" w:space="0" w:color="auto"/>
      </w:divBdr>
    </w:div>
    <w:div w:id="1647277039">
      <w:bodyDiv w:val="1"/>
      <w:marLeft w:val="0"/>
      <w:marRight w:val="0"/>
      <w:marTop w:val="0"/>
      <w:marBottom w:val="0"/>
      <w:divBdr>
        <w:top w:val="none" w:sz="0" w:space="0" w:color="auto"/>
        <w:left w:val="none" w:sz="0" w:space="0" w:color="auto"/>
        <w:bottom w:val="none" w:sz="0" w:space="0" w:color="auto"/>
        <w:right w:val="none" w:sz="0" w:space="0" w:color="auto"/>
      </w:divBdr>
    </w:div>
    <w:div w:id="1648239698">
      <w:bodyDiv w:val="1"/>
      <w:marLeft w:val="0"/>
      <w:marRight w:val="0"/>
      <w:marTop w:val="0"/>
      <w:marBottom w:val="0"/>
      <w:divBdr>
        <w:top w:val="none" w:sz="0" w:space="0" w:color="auto"/>
        <w:left w:val="none" w:sz="0" w:space="0" w:color="auto"/>
        <w:bottom w:val="none" w:sz="0" w:space="0" w:color="auto"/>
        <w:right w:val="none" w:sz="0" w:space="0" w:color="auto"/>
      </w:divBdr>
    </w:div>
    <w:div w:id="1697850950">
      <w:bodyDiv w:val="1"/>
      <w:marLeft w:val="0"/>
      <w:marRight w:val="0"/>
      <w:marTop w:val="0"/>
      <w:marBottom w:val="0"/>
      <w:divBdr>
        <w:top w:val="none" w:sz="0" w:space="0" w:color="auto"/>
        <w:left w:val="none" w:sz="0" w:space="0" w:color="auto"/>
        <w:bottom w:val="none" w:sz="0" w:space="0" w:color="auto"/>
        <w:right w:val="none" w:sz="0" w:space="0" w:color="auto"/>
      </w:divBdr>
    </w:div>
    <w:div w:id="1722047849">
      <w:bodyDiv w:val="1"/>
      <w:marLeft w:val="0"/>
      <w:marRight w:val="0"/>
      <w:marTop w:val="0"/>
      <w:marBottom w:val="0"/>
      <w:divBdr>
        <w:top w:val="none" w:sz="0" w:space="0" w:color="auto"/>
        <w:left w:val="none" w:sz="0" w:space="0" w:color="auto"/>
        <w:bottom w:val="none" w:sz="0" w:space="0" w:color="auto"/>
        <w:right w:val="none" w:sz="0" w:space="0" w:color="auto"/>
      </w:divBdr>
    </w:div>
    <w:div w:id="1744176643">
      <w:bodyDiv w:val="1"/>
      <w:marLeft w:val="0"/>
      <w:marRight w:val="0"/>
      <w:marTop w:val="0"/>
      <w:marBottom w:val="0"/>
      <w:divBdr>
        <w:top w:val="none" w:sz="0" w:space="0" w:color="auto"/>
        <w:left w:val="none" w:sz="0" w:space="0" w:color="auto"/>
        <w:bottom w:val="none" w:sz="0" w:space="0" w:color="auto"/>
        <w:right w:val="none" w:sz="0" w:space="0" w:color="auto"/>
      </w:divBdr>
    </w:div>
    <w:div w:id="1770159984">
      <w:bodyDiv w:val="1"/>
      <w:marLeft w:val="0"/>
      <w:marRight w:val="0"/>
      <w:marTop w:val="0"/>
      <w:marBottom w:val="0"/>
      <w:divBdr>
        <w:top w:val="none" w:sz="0" w:space="0" w:color="auto"/>
        <w:left w:val="none" w:sz="0" w:space="0" w:color="auto"/>
        <w:bottom w:val="none" w:sz="0" w:space="0" w:color="auto"/>
        <w:right w:val="none" w:sz="0" w:space="0" w:color="auto"/>
      </w:divBdr>
    </w:div>
    <w:div w:id="1779786496">
      <w:bodyDiv w:val="1"/>
      <w:marLeft w:val="0"/>
      <w:marRight w:val="0"/>
      <w:marTop w:val="0"/>
      <w:marBottom w:val="0"/>
      <w:divBdr>
        <w:top w:val="none" w:sz="0" w:space="0" w:color="auto"/>
        <w:left w:val="none" w:sz="0" w:space="0" w:color="auto"/>
        <w:bottom w:val="none" w:sz="0" w:space="0" w:color="auto"/>
        <w:right w:val="none" w:sz="0" w:space="0" w:color="auto"/>
      </w:divBdr>
    </w:div>
    <w:div w:id="1789399141">
      <w:bodyDiv w:val="1"/>
      <w:marLeft w:val="0"/>
      <w:marRight w:val="0"/>
      <w:marTop w:val="0"/>
      <w:marBottom w:val="0"/>
      <w:divBdr>
        <w:top w:val="none" w:sz="0" w:space="0" w:color="auto"/>
        <w:left w:val="none" w:sz="0" w:space="0" w:color="auto"/>
        <w:bottom w:val="none" w:sz="0" w:space="0" w:color="auto"/>
        <w:right w:val="none" w:sz="0" w:space="0" w:color="auto"/>
      </w:divBdr>
    </w:div>
    <w:div w:id="1791515613">
      <w:bodyDiv w:val="1"/>
      <w:marLeft w:val="0"/>
      <w:marRight w:val="0"/>
      <w:marTop w:val="0"/>
      <w:marBottom w:val="0"/>
      <w:divBdr>
        <w:top w:val="none" w:sz="0" w:space="0" w:color="auto"/>
        <w:left w:val="none" w:sz="0" w:space="0" w:color="auto"/>
        <w:bottom w:val="none" w:sz="0" w:space="0" w:color="auto"/>
        <w:right w:val="none" w:sz="0" w:space="0" w:color="auto"/>
      </w:divBdr>
    </w:div>
    <w:div w:id="1791588937">
      <w:bodyDiv w:val="1"/>
      <w:marLeft w:val="0"/>
      <w:marRight w:val="0"/>
      <w:marTop w:val="0"/>
      <w:marBottom w:val="0"/>
      <w:divBdr>
        <w:top w:val="none" w:sz="0" w:space="0" w:color="auto"/>
        <w:left w:val="none" w:sz="0" w:space="0" w:color="auto"/>
        <w:bottom w:val="none" w:sz="0" w:space="0" w:color="auto"/>
        <w:right w:val="none" w:sz="0" w:space="0" w:color="auto"/>
      </w:divBdr>
    </w:div>
    <w:div w:id="1904755418">
      <w:bodyDiv w:val="1"/>
      <w:marLeft w:val="0"/>
      <w:marRight w:val="0"/>
      <w:marTop w:val="0"/>
      <w:marBottom w:val="0"/>
      <w:divBdr>
        <w:top w:val="none" w:sz="0" w:space="0" w:color="auto"/>
        <w:left w:val="none" w:sz="0" w:space="0" w:color="auto"/>
        <w:bottom w:val="none" w:sz="0" w:space="0" w:color="auto"/>
        <w:right w:val="none" w:sz="0" w:space="0" w:color="auto"/>
      </w:divBdr>
    </w:div>
    <w:div w:id="1921212977">
      <w:bodyDiv w:val="1"/>
      <w:marLeft w:val="0"/>
      <w:marRight w:val="0"/>
      <w:marTop w:val="0"/>
      <w:marBottom w:val="0"/>
      <w:divBdr>
        <w:top w:val="none" w:sz="0" w:space="0" w:color="auto"/>
        <w:left w:val="none" w:sz="0" w:space="0" w:color="auto"/>
        <w:bottom w:val="none" w:sz="0" w:space="0" w:color="auto"/>
        <w:right w:val="none" w:sz="0" w:space="0" w:color="auto"/>
      </w:divBdr>
    </w:div>
    <w:div w:id="1932591623">
      <w:bodyDiv w:val="1"/>
      <w:marLeft w:val="0"/>
      <w:marRight w:val="0"/>
      <w:marTop w:val="0"/>
      <w:marBottom w:val="0"/>
      <w:divBdr>
        <w:top w:val="none" w:sz="0" w:space="0" w:color="auto"/>
        <w:left w:val="none" w:sz="0" w:space="0" w:color="auto"/>
        <w:bottom w:val="none" w:sz="0" w:space="0" w:color="auto"/>
        <w:right w:val="none" w:sz="0" w:space="0" w:color="auto"/>
      </w:divBdr>
    </w:div>
    <w:div w:id="1932885704">
      <w:bodyDiv w:val="1"/>
      <w:marLeft w:val="0"/>
      <w:marRight w:val="0"/>
      <w:marTop w:val="0"/>
      <w:marBottom w:val="0"/>
      <w:divBdr>
        <w:top w:val="none" w:sz="0" w:space="0" w:color="auto"/>
        <w:left w:val="none" w:sz="0" w:space="0" w:color="auto"/>
        <w:bottom w:val="none" w:sz="0" w:space="0" w:color="auto"/>
        <w:right w:val="none" w:sz="0" w:space="0" w:color="auto"/>
      </w:divBdr>
    </w:div>
    <w:div w:id="1937057201">
      <w:bodyDiv w:val="1"/>
      <w:marLeft w:val="0"/>
      <w:marRight w:val="0"/>
      <w:marTop w:val="0"/>
      <w:marBottom w:val="0"/>
      <w:divBdr>
        <w:top w:val="none" w:sz="0" w:space="0" w:color="auto"/>
        <w:left w:val="none" w:sz="0" w:space="0" w:color="auto"/>
        <w:bottom w:val="none" w:sz="0" w:space="0" w:color="auto"/>
        <w:right w:val="none" w:sz="0" w:space="0" w:color="auto"/>
      </w:divBdr>
    </w:div>
    <w:div w:id="1945071557">
      <w:bodyDiv w:val="1"/>
      <w:marLeft w:val="0"/>
      <w:marRight w:val="0"/>
      <w:marTop w:val="0"/>
      <w:marBottom w:val="0"/>
      <w:divBdr>
        <w:top w:val="none" w:sz="0" w:space="0" w:color="auto"/>
        <w:left w:val="none" w:sz="0" w:space="0" w:color="auto"/>
        <w:bottom w:val="none" w:sz="0" w:space="0" w:color="auto"/>
        <w:right w:val="none" w:sz="0" w:space="0" w:color="auto"/>
      </w:divBdr>
    </w:div>
    <w:div w:id="1969317889">
      <w:bodyDiv w:val="1"/>
      <w:marLeft w:val="0"/>
      <w:marRight w:val="0"/>
      <w:marTop w:val="0"/>
      <w:marBottom w:val="0"/>
      <w:divBdr>
        <w:top w:val="none" w:sz="0" w:space="0" w:color="auto"/>
        <w:left w:val="none" w:sz="0" w:space="0" w:color="auto"/>
        <w:bottom w:val="none" w:sz="0" w:space="0" w:color="auto"/>
        <w:right w:val="none" w:sz="0" w:space="0" w:color="auto"/>
      </w:divBdr>
    </w:div>
    <w:div w:id="1992903898">
      <w:bodyDiv w:val="1"/>
      <w:marLeft w:val="0"/>
      <w:marRight w:val="0"/>
      <w:marTop w:val="0"/>
      <w:marBottom w:val="0"/>
      <w:divBdr>
        <w:top w:val="none" w:sz="0" w:space="0" w:color="auto"/>
        <w:left w:val="none" w:sz="0" w:space="0" w:color="auto"/>
        <w:bottom w:val="none" w:sz="0" w:space="0" w:color="auto"/>
        <w:right w:val="none" w:sz="0" w:space="0" w:color="auto"/>
      </w:divBdr>
    </w:div>
    <w:div w:id="1994525276">
      <w:bodyDiv w:val="1"/>
      <w:marLeft w:val="0"/>
      <w:marRight w:val="0"/>
      <w:marTop w:val="0"/>
      <w:marBottom w:val="0"/>
      <w:divBdr>
        <w:top w:val="none" w:sz="0" w:space="0" w:color="auto"/>
        <w:left w:val="none" w:sz="0" w:space="0" w:color="auto"/>
        <w:bottom w:val="none" w:sz="0" w:space="0" w:color="auto"/>
        <w:right w:val="none" w:sz="0" w:space="0" w:color="auto"/>
      </w:divBdr>
    </w:div>
    <w:div w:id="2021198485">
      <w:bodyDiv w:val="1"/>
      <w:marLeft w:val="0"/>
      <w:marRight w:val="0"/>
      <w:marTop w:val="0"/>
      <w:marBottom w:val="0"/>
      <w:divBdr>
        <w:top w:val="none" w:sz="0" w:space="0" w:color="auto"/>
        <w:left w:val="none" w:sz="0" w:space="0" w:color="auto"/>
        <w:bottom w:val="none" w:sz="0" w:space="0" w:color="auto"/>
        <w:right w:val="none" w:sz="0" w:space="0" w:color="auto"/>
      </w:divBdr>
    </w:div>
    <w:div w:id="2038389620">
      <w:bodyDiv w:val="1"/>
      <w:marLeft w:val="0"/>
      <w:marRight w:val="0"/>
      <w:marTop w:val="0"/>
      <w:marBottom w:val="0"/>
      <w:divBdr>
        <w:top w:val="none" w:sz="0" w:space="0" w:color="auto"/>
        <w:left w:val="none" w:sz="0" w:space="0" w:color="auto"/>
        <w:bottom w:val="none" w:sz="0" w:space="0" w:color="auto"/>
        <w:right w:val="none" w:sz="0" w:space="0" w:color="auto"/>
      </w:divBdr>
    </w:div>
    <w:div w:id="2132630522">
      <w:bodyDiv w:val="1"/>
      <w:marLeft w:val="0"/>
      <w:marRight w:val="0"/>
      <w:marTop w:val="0"/>
      <w:marBottom w:val="0"/>
      <w:divBdr>
        <w:top w:val="none" w:sz="0" w:space="0" w:color="auto"/>
        <w:left w:val="none" w:sz="0" w:space="0" w:color="auto"/>
        <w:bottom w:val="none" w:sz="0" w:space="0" w:color="auto"/>
        <w:right w:val="none" w:sz="0" w:space="0" w:color="auto"/>
      </w:divBdr>
    </w:div>
    <w:div w:id="21336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t228\Desktop\Result%20(5).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t228\Desktop\Result%20(5).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42675759712861"/>
          <c:y val="5.7808471295002127E-2"/>
          <c:w val="0.77417158035300992"/>
          <c:h val="0.76831728724096915"/>
        </c:manualLayout>
      </c:layout>
      <c:scatterChart>
        <c:scatterStyle val="lineMarker"/>
        <c:varyColors val="0"/>
        <c:ser>
          <c:idx val="0"/>
          <c:order val="0"/>
          <c:tx>
            <c:strRef>
              <c:f>Sheet1!$G$1</c:f>
              <c:strCache>
                <c:ptCount val="1"/>
                <c:pt idx="0">
                  <c:v>FD1Res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Sheet1!$G$2:$G$569</c:f>
              <c:numCache>
                <c:formatCode>0.00</c:formatCode>
                <c:ptCount val="568"/>
                <c:pt idx="0">
                  <c:v>-0.99694782495498657</c:v>
                </c:pt>
                <c:pt idx="1">
                  <c:v>-1.019389271736145</c:v>
                </c:pt>
                <c:pt idx="2">
                  <c:v>-0.68858945369720459</c:v>
                </c:pt>
                <c:pt idx="3">
                  <c:v>-0.14362667500972748</c:v>
                </c:pt>
                <c:pt idx="4">
                  <c:v>0.64169484376907349</c:v>
                </c:pt>
                <c:pt idx="5">
                  <c:v>0.81404954195022583</c:v>
                </c:pt>
                <c:pt idx="6">
                  <c:v>0.76724952459335327</c:v>
                </c:pt>
                <c:pt idx="7">
                  <c:v>0.62555932998657227</c:v>
                </c:pt>
                <c:pt idx="8">
                  <c:v>-0.33102059364318848</c:v>
                </c:pt>
                <c:pt idx="9">
                  <c:v>-0.46652504801750183</c:v>
                </c:pt>
                <c:pt idx="10">
                  <c:v>-0.43822485208511353</c:v>
                </c:pt>
                <c:pt idx="11">
                  <c:v>-0.68224579095840454</c:v>
                </c:pt>
                <c:pt idx="12">
                  <c:v>-0.21456250548362732</c:v>
                </c:pt>
                <c:pt idx="13">
                  <c:v>0.46922957897186279</c:v>
                </c:pt>
                <c:pt idx="14">
                  <c:v>0.80521917343139648</c:v>
                </c:pt>
                <c:pt idx="15">
                  <c:v>0.85813003778457642</c:v>
                </c:pt>
                <c:pt idx="16">
                  <c:v>-0.11514540761709213</c:v>
                </c:pt>
                <c:pt idx="17">
                  <c:v>-3.298703208565712E-2</c:v>
                </c:pt>
                <c:pt idx="18">
                  <c:v>1.5698671340942383E-2</c:v>
                </c:pt>
                <c:pt idx="19">
                  <c:v>8.6855292320251465E-2</c:v>
                </c:pt>
                <c:pt idx="20">
                  <c:v>3.6448430269956589E-2</c:v>
                </c:pt>
                <c:pt idx="21">
                  <c:v>1.6104154288768768E-2</c:v>
                </c:pt>
                <c:pt idx="22">
                  <c:v>-3.6166399717330933E-2</c:v>
                </c:pt>
                <c:pt idx="23">
                  <c:v>2.9192285612225533E-2</c:v>
                </c:pt>
                <c:pt idx="24">
                  <c:v>0.29284068942070007</c:v>
                </c:pt>
                <c:pt idx="25">
                  <c:v>0.31807234883308411</c:v>
                </c:pt>
                <c:pt idx="26">
                  <c:v>0.14034956693649292</c:v>
                </c:pt>
                <c:pt idx="27">
                  <c:v>7.4483215808868408E-2</c:v>
                </c:pt>
                <c:pt idx="28">
                  <c:v>-7.7900037169456482E-2</c:v>
                </c:pt>
                <c:pt idx="29">
                  <c:v>-0.13289608061313629</c:v>
                </c:pt>
                <c:pt idx="30">
                  <c:v>-0.25029876828193665</c:v>
                </c:pt>
                <c:pt idx="31">
                  <c:v>-0.36465093493461609</c:v>
                </c:pt>
                <c:pt idx="32">
                  <c:v>0.41817143559455872</c:v>
                </c:pt>
                <c:pt idx="33">
                  <c:v>0.38366779685020447</c:v>
                </c:pt>
                <c:pt idx="34">
                  <c:v>0.19035720825195313</c:v>
                </c:pt>
                <c:pt idx="35">
                  <c:v>7.4002385139465332E-2</c:v>
                </c:pt>
                <c:pt idx="36">
                  <c:v>-7.9692170023918152E-2</c:v>
                </c:pt>
                <c:pt idx="37">
                  <c:v>-0.30872851610183716</c:v>
                </c:pt>
                <c:pt idx="38">
                  <c:v>-0.37290665507316589</c:v>
                </c:pt>
                <c:pt idx="39">
                  <c:v>-0.30487146973609924</c:v>
                </c:pt>
                <c:pt idx="40">
                  <c:v>-0.25675475597381592</c:v>
                </c:pt>
                <c:pt idx="41">
                  <c:v>-0.15018659830093384</c:v>
                </c:pt>
                <c:pt idx="42">
                  <c:v>-4.4909864664077759E-2</c:v>
                </c:pt>
                <c:pt idx="43">
                  <c:v>3.1282637268304825E-2</c:v>
                </c:pt>
                <c:pt idx="44">
                  <c:v>-4.7895484603941441E-3</c:v>
                </c:pt>
                <c:pt idx="45">
                  <c:v>0.11835124343633652</c:v>
                </c:pt>
                <c:pt idx="46">
                  <c:v>0.13695895671844482</c:v>
                </c:pt>
                <c:pt idx="47">
                  <c:v>0.17004792392253876</c:v>
                </c:pt>
                <c:pt idx="48">
                  <c:v>0.46741658449172974</c:v>
                </c:pt>
                <c:pt idx="49">
                  <c:v>-1.072147011756897</c:v>
                </c:pt>
                <c:pt idx="50">
                  <c:v>-0.69278144836425781</c:v>
                </c:pt>
                <c:pt idx="51">
                  <c:v>2.5544080883264542E-2</c:v>
                </c:pt>
                <c:pt idx="52">
                  <c:v>0.36768838763237</c:v>
                </c:pt>
                <c:pt idx="53">
                  <c:v>0.45300313830375671</c:v>
                </c:pt>
                <c:pt idx="54">
                  <c:v>0.34293466806411743</c:v>
                </c:pt>
                <c:pt idx="55">
                  <c:v>0.10834155976772308</c:v>
                </c:pt>
                <c:pt idx="56">
                  <c:v>0.37990477681159973</c:v>
                </c:pt>
                <c:pt idx="57">
                  <c:v>0.53582578897476196</c:v>
                </c:pt>
                <c:pt idx="58">
                  <c:v>0.34053182601928711</c:v>
                </c:pt>
                <c:pt idx="59">
                  <c:v>3.6726120859384537E-2</c:v>
                </c:pt>
                <c:pt idx="60">
                  <c:v>-0.41399174928665161</c:v>
                </c:pt>
                <c:pt idx="61">
                  <c:v>-0.44508272409439087</c:v>
                </c:pt>
                <c:pt idx="62">
                  <c:v>-0.35181161761283875</c:v>
                </c:pt>
                <c:pt idx="63">
                  <c:v>-8.2102462649345398E-2</c:v>
                </c:pt>
                <c:pt idx="64">
                  <c:v>0.42402347922325134</c:v>
                </c:pt>
                <c:pt idx="65">
                  <c:v>-2.4232005700469017E-2</c:v>
                </c:pt>
                <c:pt idx="66">
                  <c:v>-0.19103139638900757</c:v>
                </c:pt>
                <c:pt idx="67">
                  <c:v>-0.31481319665908813</c:v>
                </c:pt>
                <c:pt idx="68">
                  <c:v>-0.162001833319664</c:v>
                </c:pt>
                <c:pt idx="69">
                  <c:v>1.2367002665996552E-2</c:v>
                </c:pt>
                <c:pt idx="70">
                  <c:v>0.15597710013389587</c:v>
                </c:pt>
                <c:pt idx="71">
                  <c:v>9.9710837006568909E-2</c:v>
                </c:pt>
                <c:pt idx="72">
                  <c:v>-0.14451877772808075</c:v>
                </c:pt>
                <c:pt idx="73">
                  <c:v>-9.3931086361408234E-2</c:v>
                </c:pt>
                <c:pt idx="74">
                  <c:v>1.8441945314407349E-2</c:v>
                </c:pt>
                <c:pt idx="75">
                  <c:v>0.11656561493873596</c:v>
                </c:pt>
                <c:pt idx="76">
                  <c:v>1.0076029226183891E-2</c:v>
                </c:pt>
                <c:pt idx="77">
                  <c:v>7.5836621224880219E-2</c:v>
                </c:pt>
                <c:pt idx="78">
                  <c:v>3.2275974750518799E-2</c:v>
                </c:pt>
                <c:pt idx="79">
                  <c:v>-1.4746320433914661E-2</c:v>
                </c:pt>
                <c:pt idx="80">
                  <c:v>-0.24616651237010956</c:v>
                </c:pt>
                <c:pt idx="81">
                  <c:v>-0.31090950965881348</c:v>
                </c:pt>
                <c:pt idx="82">
                  <c:v>-2.4158328771591187E-2</c:v>
                </c:pt>
                <c:pt idx="83">
                  <c:v>9.8088055849075317E-2</c:v>
                </c:pt>
                <c:pt idx="84">
                  <c:v>7.309300359338522E-3</c:v>
                </c:pt>
                <c:pt idx="85">
                  <c:v>0.1136988028883934</c:v>
                </c:pt>
                <c:pt idx="86">
                  <c:v>0.18702811002731323</c:v>
                </c:pt>
                <c:pt idx="87">
                  <c:v>0.17511008679866791</c:v>
                </c:pt>
                <c:pt idx="88">
                  <c:v>0.25585314631462097</c:v>
                </c:pt>
                <c:pt idx="89">
                  <c:v>0.21234825253486633</c:v>
                </c:pt>
                <c:pt idx="90">
                  <c:v>9.3054711818695068E-2</c:v>
                </c:pt>
                <c:pt idx="91">
                  <c:v>4.8023764044046402E-2</c:v>
                </c:pt>
                <c:pt idx="92">
                  <c:v>-0.10927854478359222</c:v>
                </c:pt>
                <c:pt idx="93">
                  <c:v>-0.16410817205905914</c:v>
                </c:pt>
                <c:pt idx="94">
                  <c:v>-0.16449359059333801</c:v>
                </c:pt>
                <c:pt idx="95">
                  <c:v>-0.17139957845211029</c:v>
                </c:pt>
                <c:pt idx="96">
                  <c:v>-9.3810871476307511E-4</c:v>
                </c:pt>
                <c:pt idx="97">
                  <c:v>8.4718100726604462E-2</c:v>
                </c:pt>
                <c:pt idx="98">
                  <c:v>0.14987185597419739</c:v>
                </c:pt>
                <c:pt idx="99">
                  <c:v>7.7310234308242798E-2</c:v>
                </c:pt>
                <c:pt idx="100">
                  <c:v>-2.1307723596692085E-2</c:v>
                </c:pt>
                <c:pt idx="101">
                  <c:v>-0.13790063560009003</c:v>
                </c:pt>
                <c:pt idx="102">
                  <c:v>-8.2943856716156006E-2</c:v>
                </c:pt>
                <c:pt idx="103">
                  <c:v>-6.8809881806373596E-2</c:v>
                </c:pt>
                <c:pt idx="104">
                  <c:v>-1.1507413350045681E-2</c:v>
                </c:pt>
                <c:pt idx="105">
                  <c:v>0.12848606705665588</c:v>
                </c:pt>
                <c:pt idx="106">
                  <c:v>0.15100294351577759</c:v>
                </c:pt>
                <c:pt idx="107">
                  <c:v>0.12265557050704956</c:v>
                </c:pt>
                <c:pt idx="108">
                  <c:v>-0.19490455090999603</c:v>
                </c:pt>
                <c:pt idx="109">
                  <c:v>-0.10978532582521439</c:v>
                </c:pt>
                <c:pt idx="110">
                  <c:v>-9.7485929727554321E-2</c:v>
                </c:pt>
                <c:pt idx="111">
                  <c:v>1.1538642458617687E-2</c:v>
                </c:pt>
                <c:pt idx="112">
                  <c:v>0.34595933556556702</c:v>
                </c:pt>
                <c:pt idx="113">
                  <c:v>0.17744871973991394</c:v>
                </c:pt>
                <c:pt idx="114">
                  <c:v>3.7866473197937012E-2</c:v>
                </c:pt>
                <c:pt idx="115">
                  <c:v>-0.15731453895568848</c:v>
                </c:pt>
                <c:pt idx="116">
                  <c:v>-0.20165078341960907</c:v>
                </c:pt>
                <c:pt idx="117">
                  <c:v>-0.18561048805713654</c:v>
                </c:pt>
                <c:pt idx="118">
                  <c:v>-0.144094318151474</c:v>
                </c:pt>
                <c:pt idx="119">
                  <c:v>0.12739558517932892</c:v>
                </c:pt>
                <c:pt idx="120">
                  <c:v>0.32734549045562744</c:v>
                </c:pt>
                <c:pt idx="121">
                  <c:v>0.29675287008285522</c:v>
                </c:pt>
                <c:pt idx="122">
                  <c:v>-0.23400869965553284</c:v>
                </c:pt>
                <c:pt idx="123">
                  <c:v>-0.22669795155525208</c:v>
                </c:pt>
                <c:pt idx="124">
                  <c:v>-8.8546231389045715E-2</c:v>
                </c:pt>
                <c:pt idx="125">
                  <c:v>-0.17652271687984467</c:v>
                </c:pt>
                <c:pt idx="126">
                  <c:v>-2.4180054664611816E-2</c:v>
                </c:pt>
                <c:pt idx="127">
                  <c:v>0.12585727870464325</c:v>
                </c:pt>
                <c:pt idx="128">
                  <c:v>-0.64022535085678101</c:v>
                </c:pt>
                <c:pt idx="129">
                  <c:v>-0.31229627132415771</c:v>
                </c:pt>
                <c:pt idx="130">
                  <c:v>3.1038790941238403E-2</c:v>
                </c:pt>
                <c:pt idx="131">
                  <c:v>0.11524024605751038</c:v>
                </c:pt>
                <c:pt idx="132">
                  <c:v>0.18632744252681732</c:v>
                </c:pt>
                <c:pt idx="133">
                  <c:v>0.14842386543750763</c:v>
                </c:pt>
                <c:pt idx="134">
                  <c:v>0.18255263566970825</c:v>
                </c:pt>
                <c:pt idx="135">
                  <c:v>0.28893864154815674</c:v>
                </c:pt>
                <c:pt idx="136">
                  <c:v>0.63849079608917236</c:v>
                </c:pt>
                <c:pt idx="137">
                  <c:v>0.43125957250595093</c:v>
                </c:pt>
                <c:pt idx="138">
                  <c:v>-8.4858089685440063E-2</c:v>
                </c:pt>
                <c:pt idx="139">
                  <c:v>-0.32770135998725891</c:v>
                </c:pt>
                <c:pt idx="140">
                  <c:v>-0.16201634705066681</c:v>
                </c:pt>
                <c:pt idx="141">
                  <c:v>-0.1683802455663681</c:v>
                </c:pt>
                <c:pt idx="142">
                  <c:v>-0.15331375598907471</c:v>
                </c:pt>
                <c:pt idx="143">
                  <c:v>-0.17348058521747589</c:v>
                </c:pt>
                <c:pt idx="144">
                  <c:v>0.32197996973991394</c:v>
                </c:pt>
                <c:pt idx="145">
                  <c:v>0.37197807431221008</c:v>
                </c:pt>
                <c:pt idx="146">
                  <c:v>0.32498830556869507</c:v>
                </c:pt>
                <c:pt idx="147">
                  <c:v>0.20625787973403931</c:v>
                </c:pt>
                <c:pt idx="148">
                  <c:v>-7.7514514327049255E-2</c:v>
                </c:pt>
                <c:pt idx="149">
                  <c:v>-0.24891270697116852</c:v>
                </c:pt>
                <c:pt idx="150">
                  <c:v>-0.4064355194568634</c:v>
                </c:pt>
                <c:pt idx="151">
                  <c:v>-0.49234148859977722</c:v>
                </c:pt>
                <c:pt idx="152">
                  <c:v>0.12435112148523331</c:v>
                </c:pt>
                <c:pt idx="153">
                  <c:v>0.26249924302101135</c:v>
                </c:pt>
                <c:pt idx="154">
                  <c:v>0.47585588693618774</c:v>
                </c:pt>
                <c:pt idx="155">
                  <c:v>9.88578200340271E-2</c:v>
                </c:pt>
                <c:pt idx="156">
                  <c:v>-0.29951262474060059</c:v>
                </c:pt>
                <c:pt idx="157">
                  <c:v>-0.25191640853881836</c:v>
                </c:pt>
                <c:pt idx="158">
                  <c:v>-0.24448075890541077</c:v>
                </c:pt>
                <c:pt idx="159">
                  <c:v>-0.16565428674221039</c:v>
                </c:pt>
                <c:pt idx="160">
                  <c:v>0.26823228597640991</c:v>
                </c:pt>
                <c:pt idx="161">
                  <c:v>0.22301483154296875</c:v>
                </c:pt>
                <c:pt idx="162">
                  <c:v>0.14262619614601135</c:v>
                </c:pt>
                <c:pt idx="163">
                  <c:v>-0.13403245806694031</c:v>
                </c:pt>
                <c:pt idx="164">
                  <c:v>-0.17055644094944</c:v>
                </c:pt>
                <c:pt idx="165">
                  <c:v>-0.1652168482542038</c:v>
                </c:pt>
                <c:pt idx="166">
                  <c:v>-0.11590176820755005</c:v>
                </c:pt>
                <c:pt idx="167">
                  <c:v>-4.8165809363126755E-2</c:v>
                </c:pt>
                <c:pt idx="168">
                  <c:v>9.8111934959888458E-2</c:v>
                </c:pt>
                <c:pt idx="169">
                  <c:v>0.40286505222320557</c:v>
                </c:pt>
                <c:pt idx="170">
                  <c:v>0.49078682065010071</c:v>
                </c:pt>
                <c:pt idx="171">
                  <c:v>0.39928069710731506</c:v>
                </c:pt>
                <c:pt idx="172">
                  <c:v>5.3293924778699875E-2</c:v>
                </c:pt>
                <c:pt idx="173">
                  <c:v>-0.34945657849311829</c:v>
                </c:pt>
                <c:pt idx="174">
                  <c:v>-0.58863133192062378</c:v>
                </c:pt>
                <c:pt idx="175">
                  <c:v>-0.50625050067901611</c:v>
                </c:pt>
                <c:pt idx="176">
                  <c:v>-0.19268585741519928</c:v>
                </c:pt>
                <c:pt idx="177">
                  <c:v>-0.13473650813102722</c:v>
                </c:pt>
                <c:pt idx="178">
                  <c:v>1.043623685836792E-2</c:v>
                </c:pt>
                <c:pt idx="179">
                  <c:v>0.14167624711990356</c:v>
                </c:pt>
                <c:pt idx="180">
                  <c:v>0.26505792140960693</c:v>
                </c:pt>
                <c:pt idx="181">
                  <c:v>0.21374450623989105</c:v>
                </c:pt>
                <c:pt idx="182">
                  <c:v>-5.3136642090976238E-3</c:v>
                </c:pt>
                <c:pt idx="183">
                  <c:v>-0.29817888140678406</c:v>
                </c:pt>
                <c:pt idx="184">
                  <c:v>0.14797647297382355</c:v>
                </c:pt>
                <c:pt idx="185">
                  <c:v>-0.1001674011349678</c:v>
                </c:pt>
                <c:pt idx="186">
                  <c:v>-9.4299525022506714E-2</c:v>
                </c:pt>
                <c:pt idx="187">
                  <c:v>5.9134098701179028E-3</c:v>
                </c:pt>
                <c:pt idx="188">
                  <c:v>-2.1689670160412788E-2</c:v>
                </c:pt>
                <c:pt idx="189">
                  <c:v>2.8204165399074554E-2</c:v>
                </c:pt>
                <c:pt idx="190">
                  <c:v>2.6777803897857666E-2</c:v>
                </c:pt>
                <c:pt idx="191">
                  <c:v>7.2847483679652214E-3</c:v>
                </c:pt>
                <c:pt idx="192">
                  <c:v>0.2575933039188385</c:v>
                </c:pt>
                <c:pt idx="193">
                  <c:v>0.15727803111076355</c:v>
                </c:pt>
                <c:pt idx="194">
                  <c:v>5.4371953010559082E-2</c:v>
                </c:pt>
                <c:pt idx="195">
                  <c:v>-9.9151097238063812E-3</c:v>
                </c:pt>
                <c:pt idx="196">
                  <c:v>-7.710091769695282E-2</c:v>
                </c:pt>
                <c:pt idx="197">
                  <c:v>-8.3584971725940704E-2</c:v>
                </c:pt>
                <c:pt idx="198">
                  <c:v>-0.14047273993492126</c:v>
                </c:pt>
                <c:pt idx="199">
                  <c:v>-0.15816955268383026</c:v>
                </c:pt>
                <c:pt idx="200">
                  <c:v>1.5664487145841122E-3</c:v>
                </c:pt>
                <c:pt idx="201">
                  <c:v>-1.8451845273375511E-2</c:v>
                </c:pt>
                <c:pt idx="202">
                  <c:v>7.2439193725585938E-2</c:v>
                </c:pt>
                <c:pt idx="203">
                  <c:v>0.12784731388092041</c:v>
                </c:pt>
                <c:pt idx="204">
                  <c:v>0.15361137688159943</c:v>
                </c:pt>
                <c:pt idx="205">
                  <c:v>7.1022681891918182E-2</c:v>
                </c:pt>
                <c:pt idx="206">
                  <c:v>-0.12828347086906433</c:v>
                </c:pt>
                <c:pt idx="207">
                  <c:v>-0.27975168824195862</c:v>
                </c:pt>
                <c:pt idx="208">
                  <c:v>-0.89238560199737549</c:v>
                </c:pt>
                <c:pt idx="209">
                  <c:v>-0.91592234373092651</c:v>
                </c:pt>
                <c:pt idx="210">
                  <c:v>-0.52429789304733276</c:v>
                </c:pt>
                <c:pt idx="211">
                  <c:v>-0.22937969863414764</c:v>
                </c:pt>
                <c:pt idx="212">
                  <c:v>0.4614429771900177</c:v>
                </c:pt>
                <c:pt idx="213">
                  <c:v>0.50733017921447754</c:v>
                </c:pt>
                <c:pt idx="214">
                  <c:v>0.65460669994354248</c:v>
                </c:pt>
                <c:pt idx="215">
                  <c:v>0.93860572576522827</c:v>
                </c:pt>
                <c:pt idx="216">
                  <c:v>-0.38093966245651245</c:v>
                </c:pt>
                <c:pt idx="217">
                  <c:v>-0.31571817398071289</c:v>
                </c:pt>
                <c:pt idx="218">
                  <c:v>-0.14871010184288025</c:v>
                </c:pt>
                <c:pt idx="219">
                  <c:v>-0.14835438132286072</c:v>
                </c:pt>
                <c:pt idx="220">
                  <c:v>0.18932102620601654</c:v>
                </c:pt>
                <c:pt idx="221">
                  <c:v>0.19870610535144806</c:v>
                </c:pt>
                <c:pt idx="222">
                  <c:v>0.2513614296913147</c:v>
                </c:pt>
                <c:pt idx="223">
                  <c:v>0.35433375835418701</c:v>
                </c:pt>
                <c:pt idx="224">
                  <c:v>-0.54145669937133789</c:v>
                </c:pt>
                <c:pt idx="225">
                  <c:v>-0.49936622381210327</c:v>
                </c:pt>
                <c:pt idx="226">
                  <c:v>-5.7494193315505981E-2</c:v>
                </c:pt>
                <c:pt idx="227">
                  <c:v>7.6695054769515991E-2</c:v>
                </c:pt>
                <c:pt idx="228">
                  <c:v>0.14349238574504852</c:v>
                </c:pt>
                <c:pt idx="229">
                  <c:v>0.30281510949134827</c:v>
                </c:pt>
                <c:pt idx="230">
                  <c:v>0.35185384750366211</c:v>
                </c:pt>
                <c:pt idx="231">
                  <c:v>0.22346071898937225</c:v>
                </c:pt>
                <c:pt idx="232">
                  <c:v>0.24589483439922333</c:v>
                </c:pt>
                <c:pt idx="233">
                  <c:v>0.27215597033500671</c:v>
                </c:pt>
                <c:pt idx="234">
                  <c:v>0.12009990215301514</c:v>
                </c:pt>
                <c:pt idx="235">
                  <c:v>1.894092932343483E-2</c:v>
                </c:pt>
                <c:pt idx="236">
                  <c:v>-0.22987501323223114</c:v>
                </c:pt>
                <c:pt idx="237">
                  <c:v>-9.5691151916980743E-2</c:v>
                </c:pt>
                <c:pt idx="238">
                  <c:v>-0.14889487624168396</c:v>
                </c:pt>
                <c:pt idx="239">
                  <c:v>-0.18263058364391327</c:v>
                </c:pt>
                <c:pt idx="240">
                  <c:v>-0.41460239887237549</c:v>
                </c:pt>
                <c:pt idx="241">
                  <c:v>-1.0548895224928856E-2</c:v>
                </c:pt>
                <c:pt idx="242">
                  <c:v>7.865414023399353E-2</c:v>
                </c:pt>
                <c:pt idx="243">
                  <c:v>5.7503435760736465E-2</c:v>
                </c:pt>
                <c:pt idx="244">
                  <c:v>0.12852315604686737</c:v>
                </c:pt>
                <c:pt idx="245">
                  <c:v>1.3273023068904877E-2</c:v>
                </c:pt>
                <c:pt idx="246">
                  <c:v>6.7559599876403809E-2</c:v>
                </c:pt>
                <c:pt idx="247">
                  <c:v>7.9637929797172546E-2</c:v>
                </c:pt>
                <c:pt idx="248">
                  <c:v>-0.22796784341335297</c:v>
                </c:pt>
                <c:pt idx="249">
                  <c:v>-0.2288859486579895</c:v>
                </c:pt>
                <c:pt idx="250">
                  <c:v>2.4873107671737671E-2</c:v>
                </c:pt>
                <c:pt idx="251">
                  <c:v>0.27263185381889343</c:v>
                </c:pt>
                <c:pt idx="252">
                  <c:v>0.3629787266254425</c:v>
                </c:pt>
                <c:pt idx="253">
                  <c:v>0.25213316082954407</c:v>
                </c:pt>
                <c:pt idx="254">
                  <c:v>-5.0657391548156738E-2</c:v>
                </c:pt>
                <c:pt idx="255">
                  <c:v>-0.40510565042495728</c:v>
                </c:pt>
                <c:pt idx="256">
                  <c:v>0.86671924591064453</c:v>
                </c:pt>
                <c:pt idx="257">
                  <c:v>0.63073545694351196</c:v>
                </c:pt>
                <c:pt idx="258">
                  <c:v>-0.28686168789863586</c:v>
                </c:pt>
                <c:pt idx="259">
                  <c:v>-0.13629832863807678</c:v>
                </c:pt>
                <c:pt idx="260">
                  <c:v>-0.31480488181114197</c:v>
                </c:pt>
                <c:pt idx="261">
                  <c:v>-0.38088187575340271</c:v>
                </c:pt>
                <c:pt idx="262">
                  <c:v>-0.19093728065490723</c:v>
                </c:pt>
                <c:pt idx="263">
                  <c:v>-0.18767066299915314</c:v>
                </c:pt>
                <c:pt idx="264">
                  <c:v>-0.17681999504566193</c:v>
                </c:pt>
                <c:pt idx="265">
                  <c:v>-0.19077959656715393</c:v>
                </c:pt>
                <c:pt idx="266">
                  <c:v>-4.2998313903808594E-2</c:v>
                </c:pt>
                <c:pt idx="267">
                  <c:v>7.5494170188903809E-2</c:v>
                </c:pt>
                <c:pt idx="268">
                  <c:v>0.1229822188615799</c:v>
                </c:pt>
                <c:pt idx="269">
                  <c:v>8.9073590934276581E-2</c:v>
                </c:pt>
                <c:pt idx="270">
                  <c:v>9.7227364778518677E-2</c:v>
                </c:pt>
                <c:pt idx="271">
                  <c:v>2.5820570066571236E-2</c:v>
                </c:pt>
                <c:pt idx="272">
                  <c:v>-9.2075996100902557E-2</c:v>
                </c:pt>
                <c:pt idx="273">
                  <c:v>0.16049540042877197</c:v>
                </c:pt>
                <c:pt idx="274">
                  <c:v>-1.7408579587936401E-2</c:v>
                </c:pt>
                <c:pt idx="275">
                  <c:v>0.26241293549537659</c:v>
                </c:pt>
                <c:pt idx="276">
                  <c:v>0.45769211649894714</c:v>
                </c:pt>
                <c:pt idx="277">
                  <c:v>0.25725743174552917</c:v>
                </c:pt>
                <c:pt idx="278">
                  <c:v>-0.14027279615402222</c:v>
                </c:pt>
                <c:pt idx="279">
                  <c:v>-0.88810050487518311</c:v>
                </c:pt>
                <c:pt idx="280">
                  <c:v>-0.44280841946601868</c:v>
                </c:pt>
                <c:pt idx="281">
                  <c:v>-0.48247238993644714</c:v>
                </c:pt>
                <c:pt idx="282">
                  <c:v>-4.5743763446807861E-2</c:v>
                </c:pt>
                <c:pt idx="283">
                  <c:v>0.1040080189704895</c:v>
                </c:pt>
                <c:pt idx="284">
                  <c:v>0.16021908819675446</c:v>
                </c:pt>
                <c:pt idx="285">
                  <c:v>0.2084420770406723</c:v>
                </c:pt>
                <c:pt idx="286">
                  <c:v>0.15213987231254578</c:v>
                </c:pt>
                <c:pt idx="287">
                  <c:v>0.34621551632881165</c:v>
                </c:pt>
                <c:pt idx="288">
                  <c:v>1.1046507395803928E-2</c:v>
                </c:pt>
                <c:pt idx="289">
                  <c:v>-4.181966558098793E-2</c:v>
                </c:pt>
                <c:pt idx="290">
                  <c:v>1.9361793994903564E-2</c:v>
                </c:pt>
                <c:pt idx="291">
                  <c:v>4.7237817198038101E-2</c:v>
                </c:pt>
                <c:pt idx="292">
                  <c:v>1.559687964618206E-2</c:v>
                </c:pt>
                <c:pt idx="293">
                  <c:v>5.9854976832866669E-2</c:v>
                </c:pt>
                <c:pt idx="294">
                  <c:v>1.5853350050747395E-3</c:v>
                </c:pt>
                <c:pt idx="295">
                  <c:v>-0.11286364495754242</c:v>
                </c:pt>
                <c:pt idx="296">
                  <c:v>0.11769617348909378</c:v>
                </c:pt>
                <c:pt idx="297">
                  <c:v>0.13732022047042847</c:v>
                </c:pt>
                <c:pt idx="298">
                  <c:v>-0.13092246651649475</c:v>
                </c:pt>
                <c:pt idx="299">
                  <c:v>-9.8848134279251099E-2</c:v>
                </c:pt>
                <c:pt idx="300">
                  <c:v>1.0817093774676323E-2</c:v>
                </c:pt>
                <c:pt idx="301">
                  <c:v>-6.5147139132022858E-2</c:v>
                </c:pt>
                <c:pt idx="302">
                  <c:v>-4.416501522064209E-2</c:v>
                </c:pt>
                <c:pt idx="303">
                  <c:v>7.3249265551567078E-2</c:v>
                </c:pt>
                <c:pt idx="304">
                  <c:v>0.67566037178039551</c:v>
                </c:pt>
                <c:pt idx="305">
                  <c:v>0.61816310882568359</c:v>
                </c:pt>
                <c:pt idx="306">
                  <c:v>0.27304905652999878</c:v>
                </c:pt>
                <c:pt idx="307">
                  <c:v>-0.12136048078536987</c:v>
                </c:pt>
                <c:pt idx="308">
                  <c:v>-0.31340992450714111</c:v>
                </c:pt>
                <c:pt idx="309">
                  <c:v>-0.34672224521636963</c:v>
                </c:pt>
                <c:pt idx="310">
                  <c:v>-0.3790610134601593</c:v>
                </c:pt>
                <c:pt idx="311">
                  <c:v>-0.40631887316703796</c:v>
                </c:pt>
                <c:pt idx="312">
                  <c:v>-5.8112971484661102E-2</c:v>
                </c:pt>
                <c:pt idx="313">
                  <c:v>0.10198967903852463</c:v>
                </c:pt>
                <c:pt idx="314">
                  <c:v>6.9382041692733765E-2</c:v>
                </c:pt>
                <c:pt idx="315">
                  <c:v>1.2795660644769669E-2</c:v>
                </c:pt>
                <c:pt idx="316">
                  <c:v>-0.16933389008045197</c:v>
                </c:pt>
                <c:pt idx="317">
                  <c:v>-0.10588119179010391</c:v>
                </c:pt>
                <c:pt idx="318">
                  <c:v>2.7570366859436035E-2</c:v>
                </c:pt>
                <c:pt idx="319">
                  <c:v>0.12159030139446259</c:v>
                </c:pt>
                <c:pt idx="320">
                  <c:v>-0.26181387901306152</c:v>
                </c:pt>
                <c:pt idx="321">
                  <c:v>-8.8922686874866486E-2</c:v>
                </c:pt>
                <c:pt idx="322">
                  <c:v>7.9873532056808472E-2</c:v>
                </c:pt>
                <c:pt idx="323">
                  <c:v>5.5118653923273087E-2</c:v>
                </c:pt>
                <c:pt idx="324">
                  <c:v>-1.7380552366375923E-2</c:v>
                </c:pt>
                <c:pt idx="325">
                  <c:v>-8.9315749704837799E-2</c:v>
                </c:pt>
                <c:pt idx="326">
                  <c:v>0.10454034805297852</c:v>
                </c:pt>
                <c:pt idx="327">
                  <c:v>0.21790032088756561</c:v>
                </c:pt>
                <c:pt idx="328">
                  <c:v>2.0847329869866371E-2</c:v>
                </c:pt>
                <c:pt idx="329">
                  <c:v>0.16132956743240356</c:v>
                </c:pt>
                <c:pt idx="330">
                  <c:v>8.2386940717697144E-2</c:v>
                </c:pt>
                <c:pt idx="331">
                  <c:v>0.11798867583274841</c:v>
                </c:pt>
                <c:pt idx="332">
                  <c:v>-4.5794803649187088E-2</c:v>
                </c:pt>
                <c:pt idx="333">
                  <c:v>-0.27594026923179626</c:v>
                </c:pt>
                <c:pt idx="334">
                  <c:v>-0.23251533508300781</c:v>
                </c:pt>
                <c:pt idx="335">
                  <c:v>0.17169789969921112</c:v>
                </c:pt>
                <c:pt idx="336">
                  <c:v>0.64068323373794556</c:v>
                </c:pt>
                <c:pt idx="337">
                  <c:v>0.51102316379547119</c:v>
                </c:pt>
                <c:pt idx="338">
                  <c:v>0.17426972091197968</c:v>
                </c:pt>
                <c:pt idx="339">
                  <c:v>-0.64592951536178589</c:v>
                </c:pt>
                <c:pt idx="340">
                  <c:v>-0.50464224815368652</c:v>
                </c:pt>
                <c:pt idx="341">
                  <c:v>-0.24447920918464661</c:v>
                </c:pt>
                <c:pt idx="342">
                  <c:v>5.2190378308296204E-2</c:v>
                </c:pt>
                <c:pt idx="343">
                  <c:v>1.6884448006749153E-2</c:v>
                </c:pt>
                <c:pt idx="344">
                  <c:v>0.52768111228942871</c:v>
                </c:pt>
                <c:pt idx="345">
                  <c:v>0.21354895830154419</c:v>
                </c:pt>
                <c:pt idx="346">
                  <c:v>-0.16657593846321106</c:v>
                </c:pt>
                <c:pt idx="347">
                  <c:v>-0.2119545042514801</c:v>
                </c:pt>
                <c:pt idx="348">
                  <c:v>-0.17014868557453156</c:v>
                </c:pt>
                <c:pt idx="349">
                  <c:v>-0.16932927072048187</c:v>
                </c:pt>
                <c:pt idx="350">
                  <c:v>-8.4678411483764648E-2</c:v>
                </c:pt>
                <c:pt idx="351">
                  <c:v>6.1456728726625443E-2</c:v>
                </c:pt>
                <c:pt idx="352">
                  <c:v>-0.72537142038345337</c:v>
                </c:pt>
                <c:pt idx="353">
                  <c:v>-1.0758864879608154</c:v>
                </c:pt>
                <c:pt idx="354">
                  <c:v>-0.66399633884429932</c:v>
                </c:pt>
                <c:pt idx="355">
                  <c:v>0.21390867233276367</c:v>
                </c:pt>
                <c:pt idx="356">
                  <c:v>0.48429518938064575</c:v>
                </c:pt>
                <c:pt idx="357">
                  <c:v>0.43621188402175903</c:v>
                </c:pt>
                <c:pt idx="358">
                  <c:v>0.6955217719078064</c:v>
                </c:pt>
                <c:pt idx="359">
                  <c:v>0.63531678915023804</c:v>
                </c:pt>
                <c:pt idx="360">
                  <c:v>0.296812504529953</c:v>
                </c:pt>
                <c:pt idx="361">
                  <c:v>0.4298427402973175</c:v>
                </c:pt>
                <c:pt idx="362">
                  <c:v>0.19157832860946655</c:v>
                </c:pt>
                <c:pt idx="363">
                  <c:v>1.8617216497659683E-2</c:v>
                </c:pt>
                <c:pt idx="364">
                  <c:v>-0.26546132564544678</c:v>
                </c:pt>
                <c:pt idx="365">
                  <c:v>-0.250174880027771</c:v>
                </c:pt>
                <c:pt idx="366">
                  <c:v>-0.21161225438117981</c:v>
                </c:pt>
                <c:pt idx="367">
                  <c:v>-0.20960234105587006</c:v>
                </c:pt>
                <c:pt idx="368">
                  <c:v>-9.2253781855106354E-2</c:v>
                </c:pt>
                <c:pt idx="369">
                  <c:v>-4.845135286450386E-2</c:v>
                </c:pt>
                <c:pt idx="370">
                  <c:v>-1.6915947198867798E-3</c:v>
                </c:pt>
                <c:pt idx="371">
                  <c:v>-7.4722900986671448E-2</c:v>
                </c:pt>
                <c:pt idx="372">
                  <c:v>0.25666064023971558</c:v>
                </c:pt>
                <c:pt idx="373">
                  <c:v>0.12562599778175354</c:v>
                </c:pt>
                <c:pt idx="374">
                  <c:v>-0.13274143636226654</c:v>
                </c:pt>
                <c:pt idx="375">
                  <c:v>-3.2425578683614731E-2</c:v>
                </c:pt>
                <c:pt idx="376">
                  <c:v>7.6642967760562897E-2</c:v>
                </c:pt>
                <c:pt idx="377">
                  <c:v>0.13372209668159485</c:v>
                </c:pt>
                <c:pt idx="378">
                  <c:v>0.20020240545272827</c:v>
                </c:pt>
                <c:pt idx="379">
                  <c:v>0.1493869423866272</c:v>
                </c:pt>
                <c:pt idx="380">
                  <c:v>-5.1940787583589554E-2</c:v>
                </c:pt>
                <c:pt idx="381">
                  <c:v>-0.11646164208650589</c:v>
                </c:pt>
                <c:pt idx="382">
                  <c:v>-0.16445401310920715</c:v>
                </c:pt>
                <c:pt idx="383">
                  <c:v>-0.22709797322750092</c:v>
                </c:pt>
                <c:pt idx="384">
                  <c:v>-0.13879092037677765</c:v>
                </c:pt>
                <c:pt idx="385">
                  <c:v>-1.4173543080687523E-2</c:v>
                </c:pt>
                <c:pt idx="386">
                  <c:v>-3.1102538108825684E-2</c:v>
                </c:pt>
                <c:pt idx="387">
                  <c:v>7.6692136935889721E-3</c:v>
                </c:pt>
                <c:pt idx="388">
                  <c:v>1.9934965297579765E-2</c:v>
                </c:pt>
                <c:pt idx="389">
                  <c:v>6.5686993300914764E-2</c:v>
                </c:pt>
                <c:pt idx="390">
                  <c:v>-1.7008143186103553E-4</c:v>
                </c:pt>
                <c:pt idx="391">
                  <c:v>9.0945914387702942E-2</c:v>
                </c:pt>
                <c:pt idx="392">
                  <c:v>-1.6552409157156944E-2</c:v>
                </c:pt>
                <c:pt idx="393">
                  <c:v>9.4480834901332855E-2</c:v>
                </c:pt>
                <c:pt idx="394">
                  <c:v>4.86602783203125E-2</c:v>
                </c:pt>
                <c:pt idx="395">
                  <c:v>3.9713028818368912E-2</c:v>
                </c:pt>
                <c:pt idx="396">
                  <c:v>2.5672150775790215E-2</c:v>
                </c:pt>
                <c:pt idx="397">
                  <c:v>-1.8953152000904083E-2</c:v>
                </c:pt>
                <c:pt idx="398">
                  <c:v>-7.9950302839279175E-2</c:v>
                </c:pt>
                <c:pt idx="399">
                  <c:v>-9.3070432543754578E-2</c:v>
                </c:pt>
                <c:pt idx="400">
                  <c:v>0.20810325443744659</c:v>
                </c:pt>
                <c:pt idx="401">
                  <c:v>0.1820296049118042</c:v>
                </c:pt>
                <c:pt idx="402">
                  <c:v>0.18506839871406555</c:v>
                </c:pt>
                <c:pt idx="403">
                  <c:v>0.3288055956363678</c:v>
                </c:pt>
                <c:pt idx="404">
                  <c:v>0.21648858487606049</c:v>
                </c:pt>
                <c:pt idx="405">
                  <c:v>-0.16408614814281464</c:v>
                </c:pt>
                <c:pt idx="406">
                  <c:v>-0.46508949995040894</c:v>
                </c:pt>
                <c:pt idx="407">
                  <c:v>-0.49131977558135986</c:v>
                </c:pt>
                <c:pt idx="408">
                  <c:v>7.7125169336795807E-2</c:v>
                </c:pt>
                <c:pt idx="409">
                  <c:v>0.27620640397071838</c:v>
                </c:pt>
                <c:pt idx="410">
                  <c:v>0.33711439371109009</c:v>
                </c:pt>
                <c:pt idx="411">
                  <c:v>8.4450423717498779E-2</c:v>
                </c:pt>
                <c:pt idx="412">
                  <c:v>-6.5093263983726501E-2</c:v>
                </c:pt>
                <c:pt idx="413">
                  <c:v>-0.18807341158390045</c:v>
                </c:pt>
                <c:pt idx="414">
                  <c:v>-0.30463066697120667</c:v>
                </c:pt>
                <c:pt idx="415">
                  <c:v>-0.21709905564785004</c:v>
                </c:pt>
                <c:pt idx="416">
                  <c:v>-6.9896630942821503E-2</c:v>
                </c:pt>
                <c:pt idx="417">
                  <c:v>0.35144531726837158</c:v>
                </c:pt>
                <c:pt idx="418">
                  <c:v>0.15801480412483215</c:v>
                </c:pt>
                <c:pt idx="419">
                  <c:v>-0.16069421172142029</c:v>
                </c:pt>
                <c:pt idx="420">
                  <c:v>-0.252093106508255</c:v>
                </c:pt>
                <c:pt idx="421">
                  <c:v>-0.15802602469921112</c:v>
                </c:pt>
                <c:pt idx="422">
                  <c:v>-1.8632590770721436E-2</c:v>
                </c:pt>
                <c:pt idx="423">
                  <c:v>0.14988242089748383</c:v>
                </c:pt>
                <c:pt idx="424">
                  <c:v>0.32485294342041016</c:v>
                </c:pt>
                <c:pt idx="425">
                  <c:v>0.50797086954116821</c:v>
                </c:pt>
                <c:pt idx="426">
                  <c:v>0.17414042353630066</c:v>
                </c:pt>
                <c:pt idx="427">
                  <c:v>-0.11764755845069885</c:v>
                </c:pt>
                <c:pt idx="428">
                  <c:v>-0.39463672041893005</c:v>
                </c:pt>
                <c:pt idx="429">
                  <c:v>-0.30886921286582947</c:v>
                </c:pt>
                <c:pt idx="430">
                  <c:v>-0.18218183517456055</c:v>
                </c:pt>
                <c:pt idx="431">
                  <c:v>-3.6289216950535774E-3</c:v>
                </c:pt>
                <c:pt idx="432">
                  <c:v>-0.371204674243927</c:v>
                </c:pt>
                <c:pt idx="433">
                  <c:v>-0.1589653491973877</c:v>
                </c:pt>
                <c:pt idx="434">
                  <c:v>-4.3395131826400757E-2</c:v>
                </c:pt>
                <c:pt idx="435">
                  <c:v>-7.620665431022644E-2</c:v>
                </c:pt>
                <c:pt idx="436">
                  <c:v>8.4286317229270935E-2</c:v>
                </c:pt>
                <c:pt idx="437">
                  <c:v>0.19075997173786163</c:v>
                </c:pt>
                <c:pt idx="438">
                  <c:v>0.18459099531173706</c:v>
                </c:pt>
                <c:pt idx="439">
                  <c:v>0.19013451039791107</c:v>
                </c:pt>
                <c:pt idx="440">
                  <c:v>-0.29408088326454163</c:v>
                </c:pt>
                <c:pt idx="441">
                  <c:v>-7.674870640039444E-2</c:v>
                </c:pt>
                <c:pt idx="442">
                  <c:v>0.21272736787796021</c:v>
                </c:pt>
                <c:pt idx="443">
                  <c:v>0.18008655309677124</c:v>
                </c:pt>
                <c:pt idx="444">
                  <c:v>0.1323247104883194</c:v>
                </c:pt>
                <c:pt idx="445">
                  <c:v>0.14496754109859467</c:v>
                </c:pt>
                <c:pt idx="446">
                  <c:v>-1.0812908411026001E-2</c:v>
                </c:pt>
                <c:pt idx="447">
                  <c:v>-0.28846368193626404</c:v>
                </c:pt>
                <c:pt idx="448">
                  <c:v>0.39348754286766052</c:v>
                </c:pt>
                <c:pt idx="449">
                  <c:v>0.28629985451698303</c:v>
                </c:pt>
                <c:pt idx="450">
                  <c:v>6.7515671253204346E-2</c:v>
                </c:pt>
                <c:pt idx="451">
                  <c:v>-0.52289658784866333</c:v>
                </c:pt>
                <c:pt idx="452">
                  <c:v>-0.62094354629516602</c:v>
                </c:pt>
                <c:pt idx="453">
                  <c:v>-9.3994148075580597E-2</c:v>
                </c:pt>
                <c:pt idx="454">
                  <c:v>0.16925176978111267</c:v>
                </c:pt>
                <c:pt idx="455">
                  <c:v>0.32127943634986877</c:v>
                </c:pt>
                <c:pt idx="456">
                  <c:v>-0.25890955328941345</c:v>
                </c:pt>
                <c:pt idx="457">
                  <c:v>-0.48176458477973938</c:v>
                </c:pt>
                <c:pt idx="458">
                  <c:v>-0.61716759204864502</c:v>
                </c:pt>
                <c:pt idx="459">
                  <c:v>-3.5046335309743881E-2</c:v>
                </c:pt>
                <c:pt idx="460">
                  <c:v>0.41620475053787231</c:v>
                </c:pt>
                <c:pt idx="461">
                  <c:v>0.51514774560928345</c:v>
                </c:pt>
                <c:pt idx="462">
                  <c:v>0.34540596604347229</c:v>
                </c:pt>
                <c:pt idx="463">
                  <c:v>0.11612959206104279</c:v>
                </c:pt>
                <c:pt idx="464">
                  <c:v>0.13943324983119965</c:v>
                </c:pt>
                <c:pt idx="465">
                  <c:v>0.23613134026527405</c:v>
                </c:pt>
                <c:pt idx="466">
                  <c:v>0.19737893342971802</c:v>
                </c:pt>
                <c:pt idx="467">
                  <c:v>4.3537560850381851E-2</c:v>
                </c:pt>
                <c:pt idx="468">
                  <c:v>-0.23708818852901459</c:v>
                </c:pt>
                <c:pt idx="469">
                  <c:v>-0.22116567194461823</c:v>
                </c:pt>
                <c:pt idx="470">
                  <c:v>-6.5796524286270142E-2</c:v>
                </c:pt>
                <c:pt idx="471">
                  <c:v>-9.243069589138031E-2</c:v>
                </c:pt>
                <c:pt idx="472">
                  <c:v>6.2159068882465363E-2</c:v>
                </c:pt>
                <c:pt idx="473">
                  <c:v>0.23842078447341919</c:v>
                </c:pt>
                <c:pt idx="474">
                  <c:v>0.19387790560722351</c:v>
                </c:pt>
                <c:pt idx="475">
                  <c:v>0.13972935080528259</c:v>
                </c:pt>
                <c:pt idx="476">
                  <c:v>-1.4792518690228462E-2</c:v>
                </c:pt>
                <c:pt idx="477">
                  <c:v>-0.16582833230495453</c:v>
                </c:pt>
                <c:pt idx="478">
                  <c:v>-0.23987030982971191</c:v>
                </c:pt>
                <c:pt idx="479">
                  <c:v>-0.2136959582567215</c:v>
                </c:pt>
                <c:pt idx="480">
                  <c:v>-0.63092637062072754</c:v>
                </c:pt>
                <c:pt idx="481">
                  <c:v>-0.58461952209472656</c:v>
                </c:pt>
                <c:pt idx="482">
                  <c:v>8.9960753917694092E-2</c:v>
                </c:pt>
                <c:pt idx="483">
                  <c:v>0.27222901582717896</c:v>
                </c:pt>
                <c:pt idx="484">
                  <c:v>0.22846068441867828</c:v>
                </c:pt>
                <c:pt idx="485">
                  <c:v>0.22561059892177582</c:v>
                </c:pt>
                <c:pt idx="486">
                  <c:v>0.21838352084159851</c:v>
                </c:pt>
                <c:pt idx="487">
                  <c:v>0.18090130388736725</c:v>
                </c:pt>
                <c:pt idx="488">
                  <c:v>0.23840413987636566</c:v>
                </c:pt>
                <c:pt idx="489">
                  <c:v>2.4332189932465553E-2</c:v>
                </c:pt>
                <c:pt idx="490">
                  <c:v>-0.33392661809921265</c:v>
                </c:pt>
                <c:pt idx="491">
                  <c:v>7.2986516170203686E-3</c:v>
                </c:pt>
                <c:pt idx="492">
                  <c:v>9.9721446633338928E-2</c:v>
                </c:pt>
                <c:pt idx="493">
                  <c:v>3.7960045039653778E-2</c:v>
                </c:pt>
                <c:pt idx="494">
                  <c:v>-2.9274851083755493E-2</c:v>
                </c:pt>
                <c:pt idx="495">
                  <c:v>-4.4514995068311691E-2</c:v>
                </c:pt>
                <c:pt idx="496">
                  <c:v>0.52148813009262085</c:v>
                </c:pt>
                <c:pt idx="497">
                  <c:v>0.54989928007125854</c:v>
                </c:pt>
                <c:pt idx="498">
                  <c:v>7.5052618980407715E-2</c:v>
                </c:pt>
                <c:pt idx="499">
                  <c:v>-4.266786202788353E-2</c:v>
                </c:pt>
                <c:pt idx="500">
                  <c:v>-0.3177608847618103</c:v>
                </c:pt>
                <c:pt idx="501">
                  <c:v>-0.33250230550765991</c:v>
                </c:pt>
                <c:pt idx="502">
                  <c:v>-0.22442445158958435</c:v>
                </c:pt>
                <c:pt idx="503">
                  <c:v>-0.22908453643321991</c:v>
                </c:pt>
                <c:pt idx="504">
                  <c:v>9.3589611351490021E-2</c:v>
                </c:pt>
                <c:pt idx="505">
                  <c:v>-3.1076723244041204E-3</c:v>
                </c:pt>
                <c:pt idx="506">
                  <c:v>0.10431411862373352</c:v>
                </c:pt>
                <c:pt idx="507">
                  <c:v>3.9998922497034073E-2</c:v>
                </c:pt>
                <c:pt idx="508">
                  <c:v>-0.15356971323490143</c:v>
                </c:pt>
                <c:pt idx="509">
                  <c:v>-7.2070159018039703E-2</c:v>
                </c:pt>
                <c:pt idx="510">
                  <c:v>-2.0528972148895264E-2</c:v>
                </c:pt>
                <c:pt idx="511">
                  <c:v>1.137386541813612E-2</c:v>
                </c:pt>
                <c:pt idx="512">
                  <c:v>-0.10005601495504379</c:v>
                </c:pt>
                <c:pt idx="513">
                  <c:v>-0.12301448732614517</c:v>
                </c:pt>
                <c:pt idx="514">
                  <c:v>-0.42974627017974854</c:v>
                </c:pt>
                <c:pt idx="515">
                  <c:v>-0.39197492599487305</c:v>
                </c:pt>
                <c:pt idx="516">
                  <c:v>-0.11381141841411591</c:v>
                </c:pt>
                <c:pt idx="517">
                  <c:v>0.17939667403697968</c:v>
                </c:pt>
                <c:pt idx="518">
                  <c:v>0.42625394463539124</c:v>
                </c:pt>
                <c:pt idx="519">
                  <c:v>0.55295246839523315</c:v>
                </c:pt>
                <c:pt idx="520">
                  <c:v>0.10874035209417343</c:v>
                </c:pt>
                <c:pt idx="521">
                  <c:v>-0.47547334432601929</c:v>
                </c:pt>
                <c:pt idx="522">
                  <c:v>-0.53357148170471191</c:v>
                </c:pt>
                <c:pt idx="523">
                  <c:v>-7.0440784096717834E-2</c:v>
                </c:pt>
                <c:pt idx="524">
                  <c:v>0.21648710966110229</c:v>
                </c:pt>
                <c:pt idx="525">
                  <c:v>0.20883098244667053</c:v>
                </c:pt>
                <c:pt idx="526">
                  <c:v>0.25681832432746887</c:v>
                </c:pt>
                <c:pt idx="527">
                  <c:v>0.2886088490486145</c:v>
                </c:pt>
                <c:pt idx="528">
                  <c:v>-0.27620840072631836</c:v>
                </c:pt>
                <c:pt idx="529">
                  <c:v>-0.29000064730644226</c:v>
                </c:pt>
                <c:pt idx="530">
                  <c:v>-0.14933793246746063</c:v>
                </c:pt>
                <c:pt idx="531">
                  <c:v>-1.0737340897321701E-2</c:v>
                </c:pt>
                <c:pt idx="532">
                  <c:v>2.0549444481730461E-2</c:v>
                </c:pt>
                <c:pt idx="533">
                  <c:v>0.16528189182281494</c:v>
                </c:pt>
                <c:pt idx="534">
                  <c:v>0.23405741155147552</c:v>
                </c:pt>
                <c:pt idx="535">
                  <c:v>0.30639556050300598</c:v>
                </c:pt>
                <c:pt idx="536">
                  <c:v>-1.4971847534179688</c:v>
                </c:pt>
                <c:pt idx="537">
                  <c:v>-1.0720381736755371</c:v>
                </c:pt>
                <c:pt idx="538">
                  <c:v>-0.3227999210357666</c:v>
                </c:pt>
                <c:pt idx="539">
                  <c:v>0.27443566918373108</c:v>
                </c:pt>
                <c:pt idx="540">
                  <c:v>0.84126847982406616</c:v>
                </c:pt>
                <c:pt idx="541">
                  <c:v>0.84249919652938843</c:v>
                </c:pt>
                <c:pt idx="542">
                  <c:v>0.67844659090042114</c:v>
                </c:pt>
                <c:pt idx="543">
                  <c:v>0.25537285208702087</c:v>
                </c:pt>
                <c:pt idx="544">
                  <c:v>0.14717762172222137</c:v>
                </c:pt>
                <c:pt idx="545">
                  <c:v>0.4459974467754364</c:v>
                </c:pt>
                <c:pt idx="546">
                  <c:v>0.82095086574554443</c:v>
                </c:pt>
                <c:pt idx="547">
                  <c:v>0.10931277275085449</c:v>
                </c:pt>
                <c:pt idx="548">
                  <c:v>-0.26857393980026245</c:v>
                </c:pt>
                <c:pt idx="549">
                  <c:v>-0.48683637380599976</c:v>
                </c:pt>
                <c:pt idx="550">
                  <c:v>-0.39030298590660095</c:v>
                </c:pt>
                <c:pt idx="551">
                  <c:v>-0.37772539258003235</c:v>
                </c:pt>
                <c:pt idx="552">
                  <c:v>0.17936141788959503</c:v>
                </c:pt>
                <c:pt idx="553">
                  <c:v>0.15471804141998291</c:v>
                </c:pt>
                <c:pt idx="554">
                  <c:v>0.1538555920124054</c:v>
                </c:pt>
                <c:pt idx="555">
                  <c:v>0.14724388718605042</c:v>
                </c:pt>
                <c:pt idx="556">
                  <c:v>4.5084219425916672E-2</c:v>
                </c:pt>
                <c:pt idx="557">
                  <c:v>-0.15889386832714081</c:v>
                </c:pt>
                <c:pt idx="558">
                  <c:v>-0.26469844579696655</c:v>
                </c:pt>
                <c:pt idx="559">
                  <c:v>-0.25667083263397217</c:v>
                </c:pt>
                <c:pt idx="560">
                  <c:v>0.15290568768978119</c:v>
                </c:pt>
                <c:pt idx="561">
                  <c:v>0.21016648411750793</c:v>
                </c:pt>
                <c:pt idx="562">
                  <c:v>0.16852825880050659</c:v>
                </c:pt>
                <c:pt idx="563">
                  <c:v>4.7645870596170425E-2</c:v>
                </c:pt>
                <c:pt idx="564">
                  <c:v>3.615940734744072E-2</c:v>
                </c:pt>
                <c:pt idx="565">
                  <c:v>-0.12347472459077835</c:v>
                </c:pt>
                <c:pt idx="566">
                  <c:v>-0.22277095913887024</c:v>
                </c:pt>
                <c:pt idx="567">
                  <c:v>-0.26916000247001648</c:v>
                </c:pt>
              </c:numCache>
            </c:numRef>
          </c:xVal>
          <c:yVal>
            <c:numRef>
              <c:f>Sheet1!$F$2:$F$569</c:f>
              <c:numCache>
                <c:formatCode>0.00</c:formatCode>
                <c:ptCount val="568"/>
                <c:pt idx="0">
                  <c:v>-1.0719946585595608E-2</c:v>
                </c:pt>
                <c:pt idx="1">
                  <c:v>-1.4814593829214573E-2</c:v>
                </c:pt>
                <c:pt idx="2">
                  <c:v>-1.3328457251191139E-2</c:v>
                </c:pt>
                <c:pt idx="3">
                  <c:v>-9.7012268379330635E-3</c:v>
                </c:pt>
                <c:pt idx="4">
                  <c:v>-5.1962025463581085E-4</c:v>
                </c:pt>
                <c:pt idx="5">
                  <c:v>7.016901858150959E-3</c:v>
                </c:pt>
                <c:pt idx="6">
                  <c:v>1.6778472810983658E-2</c:v>
                </c:pt>
                <c:pt idx="7">
                  <c:v>2.5288468226790428E-2</c:v>
                </c:pt>
                <c:pt idx="8">
                  <c:v>2.3888299241662025E-2</c:v>
                </c:pt>
                <c:pt idx="9">
                  <c:v>3.4271381795406342E-2</c:v>
                </c:pt>
                <c:pt idx="10">
                  <c:v>2.1963572129607201E-2</c:v>
                </c:pt>
                <c:pt idx="11">
                  <c:v>3.7645348347723484E-3</c:v>
                </c:pt>
                <c:pt idx="12">
                  <c:v>-1.9319521263241768E-2</c:v>
                </c:pt>
                <c:pt idx="13">
                  <c:v>-3.3299561589956284E-2</c:v>
                </c:pt>
                <c:pt idx="14">
                  <c:v>-2.3400183767080307E-2</c:v>
                </c:pt>
                <c:pt idx="15">
                  <c:v>-7.8685218468308449E-3</c:v>
                </c:pt>
                <c:pt idx="16">
                  <c:v>-2.8542211279273033E-2</c:v>
                </c:pt>
                <c:pt idx="17">
                  <c:v>-1.2457110919058323E-2</c:v>
                </c:pt>
                <c:pt idx="18">
                  <c:v>3.0270575080066919E-3</c:v>
                </c:pt>
                <c:pt idx="19">
                  <c:v>3.3214184804819524E-4</c:v>
                </c:pt>
                <c:pt idx="20">
                  <c:v>1.1819731444120407E-3</c:v>
                </c:pt>
                <c:pt idx="21">
                  <c:v>5.9776352718472481E-3</c:v>
                </c:pt>
                <c:pt idx="22">
                  <c:v>1.3710503466427326E-2</c:v>
                </c:pt>
                <c:pt idx="23">
                  <c:v>1.6770010814070702E-2</c:v>
                </c:pt>
                <c:pt idx="24">
                  <c:v>-8.503635972738266E-2</c:v>
                </c:pt>
                <c:pt idx="25">
                  <c:v>-7.079971581697464E-2</c:v>
                </c:pt>
                <c:pt idx="26">
                  <c:v>-4.6690039336681366E-2</c:v>
                </c:pt>
                <c:pt idx="27">
                  <c:v>-1.4085416682064533E-2</c:v>
                </c:pt>
                <c:pt idx="28">
                  <c:v>2.9709799215197563E-2</c:v>
                </c:pt>
                <c:pt idx="29">
                  <c:v>5.6193206459283829E-2</c:v>
                </c:pt>
                <c:pt idx="30">
                  <c:v>6.381545215845108E-2</c:v>
                </c:pt>
                <c:pt idx="31">
                  <c:v>6.68930783867836E-2</c:v>
                </c:pt>
                <c:pt idx="32">
                  <c:v>-1.2179574929177761E-2</c:v>
                </c:pt>
                <c:pt idx="33">
                  <c:v>2.4669086560606956E-3</c:v>
                </c:pt>
                <c:pt idx="34">
                  <c:v>3.0306039843708277E-3</c:v>
                </c:pt>
                <c:pt idx="35">
                  <c:v>-3.7996820174157619E-3</c:v>
                </c:pt>
                <c:pt idx="36">
                  <c:v>-1.259269006550312E-2</c:v>
                </c:pt>
                <c:pt idx="37">
                  <c:v>-5.7385219261050224E-3</c:v>
                </c:pt>
                <c:pt idx="38">
                  <c:v>1.2194608338177204E-2</c:v>
                </c:pt>
                <c:pt idx="39">
                  <c:v>1.661834679543972E-2</c:v>
                </c:pt>
                <c:pt idx="40">
                  <c:v>-1.9547552801668644E-3</c:v>
                </c:pt>
                <c:pt idx="41">
                  <c:v>3.0564423650503159E-4</c:v>
                </c:pt>
                <c:pt idx="42">
                  <c:v>-5.3995259804651141E-4</c:v>
                </c:pt>
                <c:pt idx="43">
                  <c:v>7.8963726991787553E-4</c:v>
                </c:pt>
                <c:pt idx="44">
                  <c:v>2.6842188090085983E-3</c:v>
                </c:pt>
                <c:pt idx="45">
                  <c:v>7.2595936944708228E-4</c:v>
                </c:pt>
                <c:pt idx="46">
                  <c:v>-9.0625422308221459E-4</c:v>
                </c:pt>
                <c:pt idx="47">
                  <c:v>-1.1044975835829973E-3</c:v>
                </c:pt>
                <c:pt idx="48">
                  <c:v>-4.0112309157848358E-2</c:v>
                </c:pt>
                <c:pt idx="49">
                  <c:v>-3.6711074411869049E-2</c:v>
                </c:pt>
                <c:pt idx="50">
                  <c:v>-2.9767775908112526E-2</c:v>
                </c:pt>
                <c:pt idx="51">
                  <c:v>-1.7775153741240501E-2</c:v>
                </c:pt>
                <c:pt idx="52">
                  <c:v>-4.1043628007173538E-3</c:v>
                </c:pt>
                <c:pt idx="53">
                  <c:v>1.5016202814877033E-2</c:v>
                </c:pt>
                <c:pt idx="54">
                  <c:v>4.3205145746469498E-2</c:v>
                </c:pt>
                <c:pt idx="55">
                  <c:v>7.0249326527118683E-2</c:v>
                </c:pt>
                <c:pt idx="56">
                  <c:v>5.7191051542758942E-2</c:v>
                </c:pt>
                <c:pt idx="57">
                  <c:v>7.6113097369670868E-2</c:v>
                </c:pt>
                <c:pt idx="58">
                  <c:v>8.1791587173938751E-2</c:v>
                </c:pt>
                <c:pt idx="59">
                  <c:v>5.5098887532949448E-2</c:v>
                </c:pt>
                <c:pt idx="60">
                  <c:v>1.1421186849474907E-2</c:v>
                </c:pt>
                <c:pt idx="61">
                  <c:v>-5.511036142706871E-2</c:v>
                </c:pt>
                <c:pt idx="62">
                  <c:v>-9.8102949559688568E-2</c:v>
                </c:pt>
                <c:pt idx="63">
                  <c:v>-0.12840250134468079</c:v>
                </c:pt>
                <c:pt idx="64">
                  <c:v>6.9280005991458893E-2</c:v>
                </c:pt>
                <c:pt idx="65">
                  <c:v>5.1346592605113983E-2</c:v>
                </c:pt>
                <c:pt idx="66">
                  <c:v>3.1988747417926788E-2</c:v>
                </c:pt>
                <c:pt idx="67">
                  <c:v>1.0295446030795574E-2</c:v>
                </c:pt>
                <c:pt idx="68">
                  <c:v>-1.8583612516522408E-2</c:v>
                </c:pt>
                <c:pt idx="69">
                  <c:v>-4.4924225658178329E-2</c:v>
                </c:pt>
                <c:pt idx="70">
                  <c:v>-5.7161297649145126E-2</c:v>
                </c:pt>
                <c:pt idx="71">
                  <c:v>-4.2241655290126801E-2</c:v>
                </c:pt>
                <c:pt idx="72">
                  <c:v>2.483157254755497E-2</c:v>
                </c:pt>
                <c:pt idx="73">
                  <c:v>1.3592950068414211E-2</c:v>
                </c:pt>
                <c:pt idx="74">
                  <c:v>5.1611126400530338E-3</c:v>
                </c:pt>
                <c:pt idx="75">
                  <c:v>-1.7833759775385261E-3</c:v>
                </c:pt>
                <c:pt idx="76">
                  <c:v>-4.524843767285347E-3</c:v>
                </c:pt>
                <c:pt idx="77">
                  <c:v>-6.0549033805727959E-3</c:v>
                </c:pt>
                <c:pt idx="78">
                  <c:v>-1.2685562483966351E-2</c:v>
                </c:pt>
                <c:pt idx="79">
                  <c:v>-1.8536949530243874E-2</c:v>
                </c:pt>
                <c:pt idx="80">
                  <c:v>3.1116395257413387E-3</c:v>
                </c:pt>
                <c:pt idx="81">
                  <c:v>1.2566959485411644E-3</c:v>
                </c:pt>
                <c:pt idx="82">
                  <c:v>-3.442109446041286E-4</c:v>
                </c:pt>
                <c:pt idx="83">
                  <c:v>-4.045968409627676E-3</c:v>
                </c:pt>
                <c:pt idx="84">
                  <c:v>-2.8160978108644485E-3</c:v>
                </c:pt>
                <c:pt idx="85">
                  <c:v>-2.4343880795640871E-5</c:v>
                </c:pt>
                <c:pt idx="86">
                  <c:v>3.638015768956393E-4</c:v>
                </c:pt>
                <c:pt idx="87">
                  <c:v>2.4984839837998152E-3</c:v>
                </c:pt>
                <c:pt idx="88">
                  <c:v>-6.081125233322382E-3</c:v>
                </c:pt>
                <c:pt idx="89">
                  <c:v>-2.027113176882267E-2</c:v>
                </c:pt>
                <c:pt idx="90">
                  <c:v>-3.1445734202861786E-2</c:v>
                </c:pt>
                <c:pt idx="91">
                  <c:v>-2.7035778388381004E-2</c:v>
                </c:pt>
                <c:pt idx="92">
                  <c:v>-9.5731783658266068E-3</c:v>
                </c:pt>
                <c:pt idx="93">
                  <c:v>7.2840796783566475E-3</c:v>
                </c:pt>
                <c:pt idx="94">
                  <c:v>2.999630942940712E-2</c:v>
                </c:pt>
                <c:pt idx="95">
                  <c:v>5.7126559317111969E-2</c:v>
                </c:pt>
                <c:pt idx="96">
                  <c:v>3.9731569588184357E-2</c:v>
                </c:pt>
                <c:pt idx="97">
                  <c:v>3.5008929669857025E-2</c:v>
                </c:pt>
                <c:pt idx="98">
                  <c:v>2.499089203774929E-2</c:v>
                </c:pt>
                <c:pt idx="99">
                  <c:v>-1.2611419151653536E-5</c:v>
                </c:pt>
                <c:pt idx="100">
                  <c:v>-1.9237147644162178E-2</c:v>
                </c:pt>
                <c:pt idx="101">
                  <c:v>-1.9219394773244858E-2</c:v>
                </c:pt>
                <c:pt idx="102">
                  <c:v>-2.8970714658498764E-2</c:v>
                </c:pt>
                <c:pt idx="103">
                  <c:v>-3.2291524112224579E-2</c:v>
                </c:pt>
                <c:pt idx="104">
                  <c:v>-0.10766168683767319</c:v>
                </c:pt>
                <c:pt idx="105">
                  <c:v>-6.8456657230854034E-2</c:v>
                </c:pt>
                <c:pt idx="106">
                  <c:v>-4.4097243808209896E-3</c:v>
                </c:pt>
                <c:pt idx="107">
                  <c:v>3.3951994031667709E-2</c:v>
                </c:pt>
                <c:pt idx="108">
                  <c:v>4.8855166882276535E-2</c:v>
                </c:pt>
                <c:pt idx="109">
                  <c:v>4.7190401703119278E-2</c:v>
                </c:pt>
                <c:pt idx="110">
                  <c:v>2.1011088043451309E-2</c:v>
                </c:pt>
                <c:pt idx="111">
                  <c:v>2.9519414529204369E-2</c:v>
                </c:pt>
                <c:pt idx="112">
                  <c:v>-5.8538787066936493E-2</c:v>
                </c:pt>
                <c:pt idx="113">
                  <c:v>-4.5164741575717926E-2</c:v>
                </c:pt>
                <c:pt idx="114">
                  <c:v>-1.8838489428162575E-2</c:v>
                </c:pt>
                <c:pt idx="115">
                  <c:v>-3.651296254247427E-3</c:v>
                </c:pt>
                <c:pt idx="116">
                  <c:v>9.3931686133146286E-3</c:v>
                </c:pt>
                <c:pt idx="117">
                  <c:v>2.2765938192605972E-2</c:v>
                </c:pt>
                <c:pt idx="118">
                  <c:v>4.0121857076883316E-2</c:v>
                </c:pt>
                <c:pt idx="119">
                  <c:v>5.3912349045276642E-2</c:v>
                </c:pt>
                <c:pt idx="120">
                  <c:v>2.481372095644474E-2</c:v>
                </c:pt>
                <c:pt idx="121">
                  <c:v>2.0825644955039024E-2</c:v>
                </c:pt>
                <c:pt idx="122">
                  <c:v>8.2136150449514389E-3</c:v>
                </c:pt>
                <c:pt idx="123">
                  <c:v>-1.0442708618938923E-2</c:v>
                </c:pt>
                <c:pt idx="124">
                  <c:v>1.9754065200686455E-2</c:v>
                </c:pt>
                <c:pt idx="125">
                  <c:v>6.1218785122036934E-3</c:v>
                </c:pt>
                <c:pt idx="126">
                  <c:v>-1.8177744001150131E-2</c:v>
                </c:pt>
                <c:pt idx="127">
                  <c:v>-5.1108472049236298E-2</c:v>
                </c:pt>
                <c:pt idx="128">
                  <c:v>-4.4891111552715302E-2</c:v>
                </c:pt>
                <c:pt idx="129">
                  <c:v>-3.098706342279911E-2</c:v>
                </c:pt>
                <c:pt idx="130">
                  <c:v>-7.8930500894784927E-3</c:v>
                </c:pt>
                <c:pt idx="131">
                  <c:v>-3.7496439181268215E-3</c:v>
                </c:pt>
                <c:pt idx="132">
                  <c:v>4.5705568045377731E-3</c:v>
                </c:pt>
                <c:pt idx="133">
                  <c:v>1.6671840101480484E-2</c:v>
                </c:pt>
                <c:pt idx="134">
                  <c:v>3.0934754759073257E-2</c:v>
                </c:pt>
                <c:pt idx="135">
                  <c:v>3.53437140583992E-2</c:v>
                </c:pt>
                <c:pt idx="136">
                  <c:v>-4.0287815034389496E-2</c:v>
                </c:pt>
                <c:pt idx="137">
                  <c:v>-1.2733587063848972E-2</c:v>
                </c:pt>
                <c:pt idx="138">
                  <c:v>1.2721246108412743E-2</c:v>
                </c:pt>
                <c:pt idx="139">
                  <c:v>2.3414963856339455E-2</c:v>
                </c:pt>
                <c:pt idx="140">
                  <c:v>8.8441204279661179E-3</c:v>
                </c:pt>
                <c:pt idx="141">
                  <c:v>2.7945982292294502E-3</c:v>
                </c:pt>
                <c:pt idx="142">
                  <c:v>8.636091835796833E-3</c:v>
                </c:pt>
                <c:pt idx="143">
                  <c:v>-3.3896204549819231E-3</c:v>
                </c:pt>
                <c:pt idx="144">
                  <c:v>-6.5188787877559662E-2</c:v>
                </c:pt>
                <c:pt idx="145">
                  <c:v>-5.3575702011585236E-2</c:v>
                </c:pt>
                <c:pt idx="146">
                  <c:v>-2.2457951679825783E-2</c:v>
                </c:pt>
                <c:pt idx="147">
                  <c:v>7.5054713524878025E-3</c:v>
                </c:pt>
                <c:pt idx="148">
                  <c:v>2.2004289552569389E-2</c:v>
                </c:pt>
                <c:pt idx="149">
                  <c:v>2.7174267917871475E-2</c:v>
                </c:pt>
                <c:pt idx="150">
                  <c:v>3.9757762104272842E-2</c:v>
                </c:pt>
                <c:pt idx="151">
                  <c:v>4.4780649244785309E-2</c:v>
                </c:pt>
                <c:pt idx="152">
                  <c:v>1.9385585561394691E-2</c:v>
                </c:pt>
                <c:pt idx="153">
                  <c:v>2.1269043907523155E-2</c:v>
                </c:pt>
                <c:pt idx="154">
                  <c:v>2.7775799855589867E-2</c:v>
                </c:pt>
                <c:pt idx="155">
                  <c:v>3.3666577190160751E-2</c:v>
                </c:pt>
                <c:pt idx="156">
                  <c:v>2.5165392085909843E-2</c:v>
                </c:pt>
                <c:pt idx="157">
                  <c:v>-7.5102401897311211E-3</c:v>
                </c:pt>
                <c:pt idx="158">
                  <c:v>-4.1966494172811508E-2</c:v>
                </c:pt>
                <c:pt idx="159">
                  <c:v>-7.7785663306713104E-2</c:v>
                </c:pt>
                <c:pt idx="160">
                  <c:v>6.5049894154071808E-2</c:v>
                </c:pt>
                <c:pt idx="161">
                  <c:v>6.4961157739162445E-2</c:v>
                </c:pt>
                <c:pt idx="162">
                  <c:v>5.5223263800144196E-2</c:v>
                </c:pt>
                <c:pt idx="163">
                  <c:v>3.2391276210546494E-2</c:v>
                </c:pt>
                <c:pt idx="164">
                  <c:v>1.9517671316862106E-3</c:v>
                </c:pt>
                <c:pt idx="165">
                  <c:v>-4.5502956956624985E-2</c:v>
                </c:pt>
                <c:pt idx="166">
                  <c:v>-7.8182987868785858E-2</c:v>
                </c:pt>
                <c:pt idx="167">
                  <c:v>-9.5891408622264862E-2</c:v>
                </c:pt>
                <c:pt idx="168">
                  <c:v>-1.8112054094672203E-2</c:v>
                </c:pt>
                <c:pt idx="169">
                  <c:v>-1.2834467925131321E-2</c:v>
                </c:pt>
                <c:pt idx="170">
                  <c:v>-1.3074005022644997E-2</c:v>
                </c:pt>
                <c:pt idx="171">
                  <c:v>-2.1593963727355003E-2</c:v>
                </c:pt>
                <c:pt idx="172">
                  <c:v>-1.7693089321255684E-2</c:v>
                </c:pt>
                <c:pt idx="173">
                  <c:v>7.320706732571125E-3</c:v>
                </c:pt>
                <c:pt idx="174">
                  <c:v>4.1098896414041519E-2</c:v>
                </c:pt>
                <c:pt idx="175">
                  <c:v>3.4887976944446564E-2</c:v>
                </c:pt>
                <c:pt idx="176">
                  <c:v>-1.8667192198336124E-3</c:v>
                </c:pt>
                <c:pt idx="177">
                  <c:v>-3.0545661225914955E-2</c:v>
                </c:pt>
                <c:pt idx="178">
                  <c:v>-6.3529126346111298E-2</c:v>
                </c:pt>
                <c:pt idx="179">
                  <c:v>-6.3051886856555939E-2</c:v>
                </c:pt>
                <c:pt idx="180">
                  <c:v>-2.8319912031292915E-2</c:v>
                </c:pt>
                <c:pt idx="181">
                  <c:v>4.2141471058130264E-2</c:v>
                </c:pt>
                <c:pt idx="182">
                  <c:v>7.3672331869602203E-2</c:v>
                </c:pt>
                <c:pt idx="183">
                  <c:v>7.1499504148960114E-2</c:v>
                </c:pt>
                <c:pt idx="184">
                  <c:v>-4.8344992101192474E-2</c:v>
                </c:pt>
                <c:pt idx="185">
                  <c:v>-2.4443337693810463E-2</c:v>
                </c:pt>
                <c:pt idx="186">
                  <c:v>-5.7893930934369564E-3</c:v>
                </c:pt>
                <c:pt idx="187">
                  <c:v>2.0132609643042088E-3</c:v>
                </c:pt>
                <c:pt idx="188">
                  <c:v>5.6363772600889206E-3</c:v>
                </c:pt>
                <c:pt idx="189">
                  <c:v>1.1118446476757526E-2</c:v>
                </c:pt>
                <c:pt idx="190">
                  <c:v>2.0216260105371475E-2</c:v>
                </c:pt>
                <c:pt idx="191">
                  <c:v>3.9593376219272614E-2</c:v>
                </c:pt>
                <c:pt idx="192">
                  <c:v>9.7854817286133766E-3</c:v>
                </c:pt>
                <c:pt idx="193">
                  <c:v>-7.6234126463532448E-3</c:v>
                </c:pt>
                <c:pt idx="194">
                  <c:v>-1.5311622992157936E-2</c:v>
                </c:pt>
                <c:pt idx="195">
                  <c:v>-2.0087694749236107E-2</c:v>
                </c:pt>
                <c:pt idx="196">
                  <c:v>-8.796321228146553E-3</c:v>
                </c:pt>
                <c:pt idx="197">
                  <c:v>1.307940948754549E-2</c:v>
                </c:pt>
                <c:pt idx="198">
                  <c:v>1.6005281358957291E-2</c:v>
                </c:pt>
                <c:pt idx="199">
                  <c:v>1.2948877178132534E-2</c:v>
                </c:pt>
                <c:pt idx="200">
                  <c:v>1.8051603808999062E-2</c:v>
                </c:pt>
                <c:pt idx="201">
                  <c:v>1.092927809804678E-2</c:v>
                </c:pt>
                <c:pt idx="202">
                  <c:v>1.4653264079242945E-3</c:v>
                </c:pt>
                <c:pt idx="203">
                  <c:v>-1.2647693045437336E-2</c:v>
                </c:pt>
                <c:pt idx="204">
                  <c:v>-1.186557300388813E-2</c:v>
                </c:pt>
                <c:pt idx="205">
                  <c:v>2.4401294067502022E-3</c:v>
                </c:pt>
                <c:pt idx="206">
                  <c:v>-2.0035160705447197E-3</c:v>
                </c:pt>
                <c:pt idx="207">
                  <c:v>-6.3695544376969337E-3</c:v>
                </c:pt>
                <c:pt idx="208">
                  <c:v>-3.1920872628688812E-2</c:v>
                </c:pt>
                <c:pt idx="209">
                  <c:v>-2.3312652483582497E-3</c:v>
                </c:pt>
                <c:pt idx="210">
                  <c:v>-5.5688031716272235E-4</c:v>
                </c:pt>
                <c:pt idx="211">
                  <c:v>-3.9916089735925198E-3</c:v>
                </c:pt>
                <c:pt idx="212">
                  <c:v>1.5416009351611137E-2</c:v>
                </c:pt>
                <c:pt idx="213">
                  <c:v>3.2368157058954239E-2</c:v>
                </c:pt>
                <c:pt idx="214">
                  <c:v>4.4316994026303291E-3</c:v>
                </c:pt>
                <c:pt idx="215">
                  <c:v>-1.3415240682661533E-2</c:v>
                </c:pt>
                <c:pt idx="216">
                  <c:v>-2.8360893949866295E-2</c:v>
                </c:pt>
                <c:pt idx="217">
                  <c:v>-2.3474792018532753E-2</c:v>
                </c:pt>
                <c:pt idx="218">
                  <c:v>-1.662757433950901E-2</c:v>
                </c:pt>
                <c:pt idx="219">
                  <c:v>-5.5004111491143703E-3</c:v>
                </c:pt>
                <c:pt idx="220">
                  <c:v>4.3764244765043259E-3</c:v>
                </c:pt>
                <c:pt idx="221">
                  <c:v>1.3914708979427814E-2</c:v>
                </c:pt>
                <c:pt idx="222">
                  <c:v>2.5597456842660904E-2</c:v>
                </c:pt>
                <c:pt idx="223">
                  <c:v>3.0075078830122948E-2</c:v>
                </c:pt>
                <c:pt idx="224">
                  <c:v>-1.0870895348489285E-2</c:v>
                </c:pt>
                <c:pt idx="225">
                  <c:v>-1.7173061147332191E-2</c:v>
                </c:pt>
                <c:pt idx="226">
                  <c:v>-2.7592116966843605E-2</c:v>
                </c:pt>
                <c:pt idx="227">
                  <c:v>-2.8253084048628807E-2</c:v>
                </c:pt>
                <c:pt idx="228">
                  <c:v>-7.7701974660158157E-3</c:v>
                </c:pt>
                <c:pt idx="229">
                  <c:v>1.739189401268959E-2</c:v>
                </c:pt>
                <c:pt idx="230">
                  <c:v>4.3002579361200333E-2</c:v>
                </c:pt>
                <c:pt idx="231">
                  <c:v>3.1264878809452057E-2</c:v>
                </c:pt>
                <c:pt idx="232">
                  <c:v>-5.0382227636873722E-3</c:v>
                </c:pt>
                <c:pt idx="233">
                  <c:v>-5.3415382280945778E-3</c:v>
                </c:pt>
                <c:pt idx="234">
                  <c:v>-5.7870685122907162E-3</c:v>
                </c:pt>
                <c:pt idx="235">
                  <c:v>-6.2248758040368557E-3</c:v>
                </c:pt>
                <c:pt idx="236">
                  <c:v>-3.1246434082277119E-4</c:v>
                </c:pt>
                <c:pt idx="237">
                  <c:v>3.2024132087826729E-3</c:v>
                </c:pt>
                <c:pt idx="238">
                  <c:v>6.8058716133236885E-3</c:v>
                </c:pt>
                <c:pt idx="239">
                  <c:v>1.2695885263383389E-2</c:v>
                </c:pt>
                <c:pt idx="240">
                  <c:v>1.0260322131216526E-2</c:v>
                </c:pt>
                <c:pt idx="241">
                  <c:v>6.7340647801756859E-3</c:v>
                </c:pt>
                <c:pt idx="242">
                  <c:v>1.7493253573775291E-2</c:v>
                </c:pt>
                <c:pt idx="243">
                  <c:v>2.6825601235032082E-2</c:v>
                </c:pt>
                <c:pt idx="244">
                  <c:v>1.6251368448138237E-2</c:v>
                </c:pt>
                <c:pt idx="245">
                  <c:v>-6.2926663085818291E-3</c:v>
                </c:pt>
                <c:pt idx="246">
                  <c:v>-2.6433315128087997E-2</c:v>
                </c:pt>
                <c:pt idx="247">
                  <c:v>-4.483862966299057E-2</c:v>
                </c:pt>
                <c:pt idx="248">
                  <c:v>-8.4831630811095238E-3</c:v>
                </c:pt>
                <c:pt idx="249">
                  <c:v>-7.3440456762909889E-3</c:v>
                </c:pt>
                <c:pt idx="250">
                  <c:v>-8.9456681162118912E-3</c:v>
                </c:pt>
                <c:pt idx="251">
                  <c:v>-1.7054429044947028E-3</c:v>
                </c:pt>
                <c:pt idx="252">
                  <c:v>-6.2042940407991409E-3</c:v>
                </c:pt>
                <c:pt idx="253">
                  <c:v>1.7516063526272774E-3</c:v>
                </c:pt>
                <c:pt idx="254">
                  <c:v>1.523322332650423E-2</c:v>
                </c:pt>
                <c:pt idx="255">
                  <c:v>1.56977828592062E-2</c:v>
                </c:pt>
                <c:pt idx="256">
                  <c:v>-6.8283588625490665E-3</c:v>
                </c:pt>
                <c:pt idx="257">
                  <c:v>-2.4521449580788612E-2</c:v>
                </c:pt>
                <c:pt idx="258">
                  <c:v>-3.8353703916072845E-2</c:v>
                </c:pt>
                <c:pt idx="259">
                  <c:v>-3.1184053048491478E-2</c:v>
                </c:pt>
                <c:pt idx="260">
                  <c:v>-1.0875212028622627E-2</c:v>
                </c:pt>
                <c:pt idx="261">
                  <c:v>1.602661982178688E-2</c:v>
                </c:pt>
                <c:pt idx="262">
                  <c:v>4.2840365320444107E-2</c:v>
                </c:pt>
                <c:pt idx="263">
                  <c:v>5.2895791828632355E-2</c:v>
                </c:pt>
                <c:pt idx="264">
                  <c:v>-7.6632730662822723E-2</c:v>
                </c:pt>
                <c:pt idx="265">
                  <c:v>-6.2718905508518219E-2</c:v>
                </c:pt>
                <c:pt idx="266">
                  <c:v>-4.0049038827419281E-2</c:v>
                </c:pt>
                <c:pt idx="267">
                  <c:v>-2.265488263219595E-3</c:v>
                </c:pt>
                <c:pt idx="268">
                  <c:v>1.7506672069430351E-2</c:v>
                </c:pt>
                <c:pt idx="269">
                  <c:v>4.0673438459634781E-2</c:v>
                </c:pt>
                <c:pt idx="270">
                  <c:v>5.7935658842325211E-2</c:v>
                </c:pt>
                <c:pt idx="271">
                  <c:v>6.5550394356250763E-2</c:v>
                </c:pt>
                <c:pt idx="272">
                  <c:v>-2.8517743572592735E-2</c:v>
                </c:pt>
                <c:pt idx="273">
                  <c:v>-3.9530821144580841E-2</c:v>
                </c:pt>
                <c:pt idx="274">
                  <c:v>-5.2517645061016083E-2</c:v>
                </c:pt>
                <c:pt idx="275">
                  <c:v>-3.4167591482400894E-2</c:v>
                </c:pt>
                <c:pt idx="276">
                  <c:v>5.0595235079526901E-3</c:v>
                </c:pt>
                <c:pt idx="277">
                  <c:v>5.3541336208581924E-2</c:v>
                </c:pt>
                <c:pt idx="278">
                  <c:v>6.1327610164880753E-2</c:v>
                </c:pt>
                <c:pt idx="279">
                  <c:v>3.4805335104465485E-2</c:v>
                </c:pt>
                <c:pt idx="280">
                  <c:v>6.6579677164554596E-2</c:v>
                </c:pt>
                <c:pt idx="281">
                  <c:v>4.8741869628429413E-2</c:v>
                </c:pt>
                <c:pt idx="282">
                  <c:v>3.0703430995345116E-2</c:v>
                </c:pt>
                <c:pt idx="283">
                  <c:v>9.4967437908053398E-3</c:v>
                </c:pt>
                <c:pt idx="284">
                  <c:v>-1.1656122282147408E-2</c:v>
                </c:pt>
                <c:pt idx="285">
                  <c:v>-3.8298811763525009E-2</c:v>
                </c:pt>
                <c:pt idx="286">
                  <c:v>-5.5463042110204697E-2</c:v>
                </c:pt>
                <c:pt idx="287">
                  <c:v>-5.0103746354579926E-2</c:v>
                </c:pt>
                <c:pt idx="288">
                  <c:v>-3.1295321881771088E-2</c:v>
                </c:pt>
                <c:pt idx="289">
                  <c:v>-2.6250192895531654E-2</c:v>
                </c:pt>
                <c:pt idx="290">
                  <c:v>-2.1396154537796974E-2</c:v>
                </c:pt>
                <c:pt idx="291">
                  <c:v>-1.3783995993435383E-2</c:v>
                </c:pt>
                <c:pt idx="292">
                  <c:v>-1.3627009466290474E-2</c:v>
                </c:pt>
                <c:pt idx="293">
                  <c:v>1.9580470398068428E-3</c:v>
                </c:pt>
                <c:pt idx="294">
                  <c:v>4.1303310543298721E-2</c:v>
                </c:pt>
                <c:pt idx="295">
                  <c:v>6.309131532907486E-2</c:v>
                </c:pt>
                <c:pt idx="296">
                  <c:v>1.3230958022177219E-2</c:v>
                </c:pt>
                <c:pt idx="297">
                  <c:v>1.2593857012689114E-2</c:v>
                </c:pt>
                <c:pt idx="298">
                  <c:v>1.4031117781996727E-2</c:v>
                </c:pt>
                <c:pt idx="299">
                  <c:v>6.199235562235117E-3</c:v>
                </c:pt>
                <c:pt idx="300">
                  <c:v>-5.9609580785036087E-3</c:v>
                </c:pt>
                <c:pt idx="301">
                  <c:v>-1.0748530738055706E-2</c:v>
                </c:pt>
                <c:pt idx="302">
                  <c:v>-1.1829043738543987E-2</c:v>
                </c:pt>
                <c:pt idx="303">
                  <c:v>-1.7516637220978737E-2</c:v>
                </c:pt>
                <c:pt idx="304">
                  <c:v>-5.3957395255565643E-2</c:v>
                </c:pt>
                <c:pt idx="305">
                  <c:v>-3.7662006914615631E-2</c:v>
                </c:pt>
                <c:pt idx="306">
                  <c:v>-2.5803470984101295E-2</c:v>
                </c:pt>
                <c:pt idx="307">
                  <c:v>-2.685234509408474E-2</c:v>
                </c:pt>
                <c:pt idx="308">
                  <c:v>-9.8715908825397491E-4</c:v>
                </c:pt>
                <c:pt idx="309">
                  <c:v>3.52785624563694E-2</c:v>
                </c:pt>
                <c:pt idx="310">
                  <c:v>4.932427778840065E-2</c:v>
                </c:pt>
                <c:pt idx="311">
                  <c:v>6.0659535229206085E-2</c:v>
                </c:pt>
                <c:pt idx="312">
                  <c:v>3.5255737602710724E-2</c:v>
                </c:pt>
                <c:pt idx="313">
                  <c:v>2.155282162129879E-2</c:v>
                </c:pt>
                <c:pt idx="314">
                  <c:v>9.1913696378469467E-3</c:v>
                </c:pt>
                <c:pt idx="315">
                  <c:v>-9.8655128385871649E-4</c:v>
                </c:pt>
                <c:pt idx="316">
                  <c:v>-8.9872945100069046E-3</c:v>
                </c:pt>
                <c:pt idx="317">
                  <c:v>-1.5874858945608139E-2</c:v>
                </c:pt>
                <c:pt idx="318">
                  <c:v>-1.9865509122610092E-2</c:v>
                </c:pt>
                <c:pt idx="319">
                  <c:v>-2.0285720005631447E-2</c:v>
                </c:pt>
                <c:pt idx="320">
                  <c:v>-2.9395928606390953E-2</c:v>
                </c:pt>
                <c:pt idx="321">
                  <c:v>2.1155829017516226E-4</c:v>
                </c:pt>
                <c:pt idx="322">
                  <c:v>2.0076392684131861E-3</c:v>
                </c:pt>
                <c:pt idx="323">
                  <c:v>-1.2534056790173054E-2</c:v>
                </c:pt>
                <c:pt idx="324">
                  <c:v>-9.4373691827058792E-3</c:v>
                </c:pt>
                <c:pt idx="325">
                  <c:v>3.8519548252224922E-3</c:v>
                </c:pt>
                <c:pt idx="326">
                  <c:v>5.5211232975125313E-3</c:v>
                </c:pt>
                <c:pt idx="327">
                  <c:v>3.9775080978870392E-2</c:v>
                </c:pt>
                <c:pt idx="328">
                  <c:v>-2.4515291675925255E-2</c:v>
                </c:pt>
                <c:pt idx="329">
                  <c:v>-1.5564628876745701E-2</c:v>
                </c:pt>
                <c:pt idx="330">
                  <c:v>-4.7718225978314877E-3</c:v>
                </c:pt>
                <c:pt idx="331">
                  <c:v>4.1509219445288181E-3</c:v>
                </c:pt>
                <c:pt idx="332">
                  <c:v>8.0801676958799362E-3</c:v>
                </c:pt>
                <c:pt idx="333">
                  <c:v>7.2224484756588936E-3</c:v>
                </c:pt>
                <c:pt idx="334">
                  <c:v>1.0825906880199909E-2</c:v>
                </c:pt>
                <c:pt idx="335">
                  <c:v>1.4572299085557461E-2</c:v>
                </c:pt>
                <c:pt idx="336">
                  <c:v>3.636787086725235E-2</c:v>
                </c:pt>
                <c:pt idx="337">
                  <c:v>2.073233388364315E-2</c:v>
                </c:pt>
                <c:pt idx="338">
                  <c:v>5.8472217060625553E-3</c:v>
                </c:pt>
                <c:pt idx="339">
                  <c:v>-4.0381602011620998E-3</c:v>
                </c:pt>
                <c:pt idx="340">
                  <c:v>-8.4445048123598099E-3</c:v>
                </c:pt>
                <c:pt idx="341">
                  <c:v>-1.2954558245837688E-2</c:v>
                </c:pt>
                <c:pt idx="342">
                  <c:v>-1.6850318759679794E-2</c:v>
                </c:pt>
                <c:pt idx="343">
                  <c:v>-2.0659888163208961E-2</c:v>
                </c:pt>
                <c:pt idx="344">
                  <c:v>4.7358937561511993E-2</c:v>
                </c:pt>
                <c:pt idx="345">
                  <c:v>3.8337849080562592E-2</c:v>
                </c:pt>
                <c:pt idx="346">
                  <c:v>1.8686508759856224E-2</c:v>
                </c:pt>
                <c:pt idx="347">
                  <c:v>-4.3641082011163235E-3</c:v>
                </c:pt>
                <c:pt idx="348">
                  <c:v>-1.1061178520321846E-2</c:v>
                </c:pt>
                <c:pt idx="349">
                  <c:v>-1.4546985737979412E-2</c:v>
                </c:pt>
                <c:pt idx="350">
                  <c:v>-2.3452397435903549E-2</c:v>
                </c:pt>
                <c:pt idx="351">
                  <c:v>-5.0958625972270966E-2</c:v>
                </c:pt>
                <c:pt idx="352">
                  <c:v>8.0396318808197975E-3</c:v>
                </c:pt>
                <c:pt idx="353">
                  <c:v>-7.816636934876442E-4</c:v>
                </c:pt>
                <c:pt idx="354">
                  <c:v>-3.1557620968669653E-3</c:v>
                </c:pt>
                <c:pt idx="355">
                  <c:v>-3.3384612761437893E-3</c:v>
                </c:pt>
                <c:pt idx="356">
                  <c:v>1.3911556452512741E-3</c:v>
                </c:pt>
                <c:pt idx="357">
                  <c:v>-1.6159070655703545E-3</c:v>
                </c:pt>
                <c:pt idx="358">
                  <c:v>-7.6332228491082788E-4</c:v>
                </c:pt>
                <c:pt idx="359">
                  <c:v>2.243283815914765E-4</c:v>
                </c:pt>
                <c:pt idx="360">
                  <c:v>5.3778357803821564E-2</c:v>
                </c:pt>
                <c:pt idx="361">
                  <c:v>3.5995624959468842E-2</c:v>
                </c:pt>
                <c:pt idx="362">
                  <c:v>1.8021797761321068E-2</c:v>
                </c:pt>
                <c:pt idx="363">
                  <c:v>6.4840406412258744E-4</c:v>
                </c:pt>
                <c:pt idx="364">
                  <c:v>-1.1952625587582588E-2</c:v>
                </c:pt>
                <c:pt idx="365">
                  <c:v>-2.346169576048851E-2</c:v>
                </c:pt>
                <c:pt idx="366">
                  <c:v>-3.3715125173330307E-2</c:v>
                </c:pt>
                <c:pt idx="367">
                  <c:v>-3.9314739406108856E-2</c:v>
                </c:pt>
                <c:pt idx="368">
                  <c:v>2.9673108831048012E-2</c:v>
                </c:pt>
                <c:pt idx="369">
                  <c:v>1.9142588600516319E-2</c:v>
                </c:pt>
                <c:pt idx="370">
                  <c:v>4.1509033180773258E-3</c:v>
                </c:pt>
                <c:pt idx="371">
                  <c:v>-5.7514063082635403E-3</c:v>
                </c:pt>
                <c:pt idx="372">
                  <c:v>-6.3289869576692581E-3</c:v>
                </c:pt>
                <c:pt idx="373">
                  <c:v>-9.3601299449801445E-3</c:v>
                </c:pt>
                <c:pt idx="374">
                  <c:v>-1.3158614747226238E-2</c:v>
                </c:pt>
                <c:pt idx="375">
                  <c:v>-1.836746372282505E-2</c:v>
                </c:pt>
                <c:pt idx="376">
                  <c:v>-3.382773429621011E-4</c:v>
                </c:pt>
                <c:pt idx="377">
                  <c:v>-2.2561082616448402E-2</c:v>
                </c:pt>
                <c:pt idx="378">
                  <c:v>-2.2958690300583839E-2</c:v>
                </c:pt>
                <c:pt idx="379">
                  <c:v>-1.1085753329098225E-2</c:v>
                </c:pt>
                <c:pt idx="380">
                  <c:v>1.9100736826658249E-3</c:v>
                </c:pt>
                <c:pt idx="381">
                  <c:v>-2.7945174952037632E-4</c:v>
                </c:pt>
                <c:pt idx="382">
                  <c:v>1.8139097839593887E-2</c:v>
                </c:pt>
                <c:pt idx="383">
                  <c:v>3.7174083292484283E-2</c:v>
                </c:pt>
                <c:pt idx="384">
                  <c:v>-4.1302017867565155E-2</c:v>
                </c:pt>
                <c:pt idx="385">
                  <c:v>-3.2296754419803619E-2</c:v>
                </c:pt>
                <c:pt idx="386">
                  <c:v>-1.3029122725129128E-2</c:v>
                </c:pt>
                <c:pt idx="387">
                  <c:v>2.7640247717499733E-2</c:v>
                </c:pt>
                <c:pt idx="388">
                  <c:v>-1.7688143998384476E-3</c:v>
                </c:pt>
                <c:pt idx="389">
                  <c:v>3.796862147282809E-4</c:v>
                </c:pt>
                <c:pt idx="390">
                  <c:v>1.5156631357967854E-2</c:v>
                </c:pt>
                <c:pt idx="391">
                  <c:v>4.5220144093036652E-2</c:v>
                </c:pt>
                <c:pt idx="392">
                  <c:v>-1.3427159748971462E-2</c:v>
                </c:pt>
                <c:pt idx="393">
                  <c:v>-8.5992300882935524E-3</c:v>
                </c:pt>
                <c:pt idx="394">
                  <c:v>-4.7300993464887142E-3</c:v>
                </c:pt>
                <c:pt idx="395">
                  <c:v>-4.4791153632104397E-3</c:v>
                </c:pt>
                <c:pt idx="396">
                  <c:v>-7.4680335819721222E-4</c:v>
                </c:pt>
                <c:pt idx="397">
                  <c:v>2.7535306289792061E-3</c:v>
                </c:pt>
                <c:pt idx="398">
                  <c:v>1.1326824314892292E-2</c:v>
                </c:pt>
                <c:pt idx="399">
                  <c:v>1.7902052029967308E-2</c:v>
                </c:pt>
                <c:pt idx="400">
                  <c:v>1.0575243271887302E-2</c:v>
                </c:pt>
                <c:pt idx="401">
                  <c:v>3.1539415940642357E-3</c:v>
                </c:pt>
                <c:pt idx="402">
                  <c:v>-2.8980018105357885E-3</c:v>
                </c:pt>
                <c:pt idx="403">
                  <c:v>-3.0034533701837063E-3</c:v>
                </c:pt>
                <c:pt idx="404">
                  <c:v>-1.9149649888277054E-3</c:v>
                </c:pt>
                <c:pt idx="405">
                  <c:v>-3.1295968219637871E-3</c:v>
                </c:pt>
                <c:pt idx="406">
                  <c:v>-2.3285103961825371E-3</c:v>
                </c:pt>
                <c:pt idx="407">
                  <c:v>-4.5465794391930103E-4</c:v>
                </c:pt>
                <c:pt idx="408">
                  <c:v>5.5694468319416046E-2</c:v>
                </c:pt>
                <c:pt idx="409">
                  <c:v>4.613717645406723E-2</c:v>
                </c:pt>
                <c:pt idx="410">
                  <c:v>3.1928218901157379E-2</c:v>
                </c:pt>
                <c:pt idx="411">
                  <c:v>7.0234187878668308E-3</c:v>
                </c:pt>
                <c:pt idx="412">
                  <c:v>-2.0937727764248848E-2</c:v>
                </c:pt>
                <c:pt idx="413">
                  <c:v>-3.6258157342672348E-2</c:v>
                </c:pt>
                <c:pt idx="414">
                  <c:v>-4.0411647409200668E-2</c:v>
                </c:pt>
                <c:pt idx="415">
                  <c:v>-4.3175749480724335E-2</c:v>
                </c:pt>
                <c:pt idx="416">
                  <c:v>7.6105691492557526E-2</c:v>
                </c:pt>
                <c:pt idx="417">
                  <c:v>6.5980486571788788E-2</c:v>
                </c:pt>
                <c:pt idx="418">
                  <c:v>5.2488692104816437E-2</c:v>
                </c:pt>
                <c:pt idx="419">
                  <c:v>4.5931633561849594E-2</c:v>
                </c:pt>
                <c:pt idx="420">
                  <c:v>4.2261313647031784E-3</c:v>
                </c:pt>
                <c:pt idx="421">
                  <c:v>-5.315801128745079E-2</c:v>
                </c:pt>
                <c:pt idx="422">
                  <c:v>-9.111543744802475E-2</c:v>
                </c:pt>
                <c:pt idx="423">
                  <c:v>-0.10045918077230453</c:v>
                </c:pt>
                <c:pt idx="424">
                  <c:v>2.9853442683815956E-2</c:v>
                </c:pt>
                <c:pt idx="425">
                  <c:v>2.2935202345252037E-2</c:v>
                </c:pt>
                <c:pt idx="426">
                  <c:v>9.4460304826498032E-3</c:v>
                </c:pt>
                <c:pt idx="427">
                  <c:v>-1.8732001772150397E-3</c:v>
                </c:pt>
                <c:pt idx="428">
                  <c:v>-6.1021614819765091E-3</c:v>
                </c:pt>
                <c:pt idx="429">
                  <c:v>-1.1330808512866497E-2</c:v>
                </c:pt>
                <c:pt idx="430">
                  <c:v>-1.809784397482872E-2</c:v>
                </c:pt>
                <c:pt idx="431">
                  <c:v>-2.4830663576722145E-2</c:v>
                </c:pt>
                <c:pt idx="432">
                  <c:v>-4.7046147286891937E-2</c:v>
                </c:pt>
                <c:pt idx="433">
                  <c:v>-2.7746686711907387E-2</c:v>
                </c:pt>
                <c:pt idx="434">
                  <c:v>-2.2467912640422583E-3</c:v>
                </c:pt>
                <c:pt idx="435">
                  <c:v>4.9053903669118881E-2</c:v>
                </c:pt>
                <c:pt idx="436">
                  <c:v>2.1227939054369926E-2</c:v>
                </c:pt>
                <c:pt idx="437">
                  <c:v>4.8410641029477119E-3</c:v>
                </c:pt>
                <c:pt idx="438">
                  <c:v>7.7569233253598213E-3</c:v>
                </c:pt>
                <c:pt idx="439">
                  <c:v>-5.8402055874466896E-3</c:v>
                </c:pt>
                <c:pt idx="440">
                  <c:v>2.0575353875756264E-2</c:v>
                </c:pt>
                <c:pt idx="441">
                  <c:v>1.2850305996835232E-2</c:v>
                </c:pt>
                <c:pt idx="442">
                  <c:v>5.8616162277758121E-3</c:v>
                </c:pt>
                <c:pt idx="443">
                  <c:v>2.3522623814642429E-3</c:v>
                </c:pt>
                <c:pt idx="444">
                  <c:v>-2.566920593380928E-3</c:v>
                </c:pt>
                <c:pt idx="445">
                  <c:v>-9.5806075260043144E-3</c:v>
                </c:pt>
                <c:pt idx="446">
                  <c:v>-1.2408013455569744E-2</c:v>
                </c:pt>
                <c:pt idx="447">
                  <c:v>-1.7083996906876564E-2</c:v>
                </c:pt>
                <c:pt idx="448">
                  <c:v>7.5132377445697784E-2</c:v>
                </c:pt>
                <c:pt idx="449">
                  <c:v>5.2769862115383148E-2</c:v>
                </c:pt>
                <c:pt idx="450">
                  <c:v>2.908853255212307E-2</c:v>
                </c:pt>
                <c:pt idx="451">
                  <c:v>2.8874524869024754E-3</c:v>
                </c:pt>
                <c:pt idx="452">
                  <c:v>-2.2110151126980782E-2</c:v>
                </c:pt>
                <c:pt idx="453">
                  <c:v>-3.4610088914632797E-2</c:v>
                </c:pt>
                <c:pt idx="454">
                  <c:v>-4.6345528215169907E-2</c:v>
                </c:pt>
                <c:pt idx="455">
                  <c:v>-5.6812457740306854E-2</c:v>
                </c:pt>
                <c:pt idx="456">
                  <c:v>-0.11259590834379196</c:v>
                </c:pt>
                <c:pt idx="457">
                  <c:v>-8.4162868559360504E-2</c:v>
                </c:pt>
                <c:pt idx="458">
                  <c:v>-4.804142564535141E-2</c:v>
                </c:pt>
                <c:pt idx="459">
                  <c:v>1.382912159897387E-3</c:v>
                </c:pt>
                <c:pt idx="460">
                  <c:v>4.5330952852964401E-2</c:v>
                </c:pt>
                <c:pt idx="461">
                  <c:v>4.9798551946878433E-2</c:v>
                </c:pt>
                <c:pt idx="462">
                  <c:v>6.8530865013599396E-2</c:v>
                </c:pt>
                <c:pt idx="463">
                  <c:v>7.9756923019886017E-2</c:v>
                </c:pt>
                <c:pt idx="464">
                  <c:v>1.3504314119927585E-4</c:v>
                </c:pt>
                <c:pt idx="465">
                  <c:v>-5.0801876932382584E-4</c:v>
                </c:pt>
                <c:pt idx="466">
                  <c:v>-2.1306218113750219E-3</c:v>
                </c:pt>
                <c:pt idx="467">
                  <c:v>-4.9536498408997431E-5</c:v>
                </c:pt>
                <c:pt idx="468">
                  <c:v>5.4086875170469284E-3</c:v>
                </c:pt>
                <c:pt idx="469">
                  <c:v>4.5461999252438545E-3</c:v>
                </c:pt>
                <c:pt idx="470">
                  <c:v>-2.0595923706423491E-4</c:v>
                </c:pt>
                <c:pt idx="471">
                  <c:v>-7.1957940235733986E-3</c:v>
                </c:pt>
                <c:pt idx="472">
                  <c:v>8.8277764618396759E-2</c:v>
                </c:pt>
                <c:pt idx="473">
                  <c:v>8.0649517476558685E-2</c:v>
                </c:pt>
                <c:pt idx="474">
                  <c:v>6.4856745302677155E-2</c:v>
                </c:pt>
                <c:pt idx="475">
                  <c:v>2.8640890493988991E-2</c:v>
                </c:pt>
                <c:pt idx="476">
                  <c:v>-1.1548982933163643E-2</c:v>
                </c:pt>
                <c:pt idx="477">
                  <c:v>-4.9645300954580307E-2</c:v>
                </c:pt>
                <c:pt idx="478">
                  <c:v>-8.4637276828289032E-2</c:v>
                </c:pt>
                <c:pt idx="479">
                  <c:v>-0.11659335345029831</c:v>
                </c:pt>
                <c:pt idx="480">
                  <c:v>-9.4405924901366234E-3</c:v>
                </c:pt>
                <c:pt idx="481">
                  <c:v>-8.2366252318024635E-3</c:v>
                </c:pt>
                <c:pt idx="482">
                  <c:v>-2.3416662588715553E-2</c:v>
                </c:pt>
                <c:pt idx="483">
                  <c:v>-3.2313559204339981E-2</c:v>
                </c:pt>
                <c:pt idx="484">
                  <c:v>-7.0108044892549515E-3</c:v>
                </c:pt>
                <c:pt idx="485">
                  <c:v>1.488757599145174E-2</c:v>
                </c:pt>
                <c:pt idx="486">
                  <c:v>2.7647498995065689E-2</c:v>
                </c:pt>
                <c:pt idx="487">
                  <c:v>3.7883169949054718E-2</c:v>
                </c:pt>
                <c:pt idx="488">
                  <c:v>-7.1665854193270206E-3</c:v>
                </c:pt>
                <c:pt idx="489">
                  <c:v>-6.742485798895359E-3</c:v>
                </c:pt>
                <c:pt idx="490">
                  <c:v>-5.6442557834088802E-3</c:v>
                </c:pt>
                <c:pt idx="491">
                  <c:v>-7.3270848952233791E-3</c:v>
                </c:pt>
                <c:pt idx="492">
                  <c:v>-2.8556752949953079E-3</c:v>
                </c:pt>
                <c:pt idx="493">
                  <c:v>2.7014957740902901E-3</c:v>
                </c:pt>
                <c:pt idx="494">
                  <c:v>9.970162995159626E-3</c:v>
                </c:pt>
                <c:pt idx="495">
                  <c:v>1.7064427956938744E-2</c:v>
                </c:pt>
                <c:pt idx="496">
                  <c:v>6.55389204621315E-2</c:v>
                </c:pt>
                <c:pt idx="497">
                  <c:v>4.9403421580791473E-2</c:v>
                </c:pt>
                <c:pt idx="498">
                  <c:v>3.2428808510303497E-2</c:v>
                </c:pt>
                <c:pt idx="499">
                  <c:v>1.4665598981082439E-2</c:v>
                </c:pt>
                <c:pt idx="500">
                  <c:v>-2.7603078633546829E-3</c:v>
                </c:pt>
                <c:pt idx="501">
                  <c:v>-3.059866651892662E-2</c:v>
                </c:pt>
                <c:pt idx="502">
                  <c:v>-5.5535580962896347E-2</c:v>
                </c:pt>
                <c:pt idx="503">
                  <c:v>-7.3142193257808685E-2</c:v>
                </c:pt>
                <c:pt idx="504">
                  <c:v>4.381183534860611E-2</c:v>
                </c:pt>
                <c:pt idx="505">
                  <c:v>3.0119648203253746E-2</c:v>
                </c:pt>
                <c:pt idx="506">
                  <c:v>1.7000501975417137E-2</c:v>
                </c:pt>
                <c:pt idx="507">
                  <c:v>3.7336298264563084E-3</c:v>
                </c:pt>
                <c:pt idx="508">
                  <c:v>-7.805483415722847E-3</c:v>
                </c:pt>
                <c:pt idx="509">
                  <c:v>-2.2170331329107285E-2</c:v>
                </c:pt>
                <c:pt idx="510">
                  <c:v>-3.1387593597173691E-2</c:v>
                </c:pt>
                <c:pt idx="511">
                  <c:v>-3.330221027135849E-2</c:v>
                </c:pt>
                <c:pt idx="512">
                  <c:v>3.4059889614582062E-2</c:v>
                </c:pt>
                <c:pt idx="513">
                  <c:v>2.064116857945919E-2</c:v>
                </c:pt>
                <c:pt idx="514">
                  <c:v>8.5670109838247299E-3</c:v>
                </c:pt>
                <c:pt idx="515">
                  <c:v>-2.0526996813714504E-3</c:v>
                </c:pt>
                <c:pt idx="516">
                  <c:v>-1.2205170467495918E-2</c:v>
                </c:pt>
                <c:pt idx="517">
                  <c:v>-1.9731219857931137E-2</c:v>
                </c:pt>
                <c:pt idx="518">
                  <c:v>-2.1365340799093246E-2</c:v>
                </c:pt>
                <c:pt idx="519">
                  <c:v>-7.9136425629258156E-3</c:v>
                </c:pt>
                <c:pt idx="520">
                  <c:v>-1.795252226293087E-2</c:v>
                </c:pt>
                <c:pt idx="521">
                  <c:v>-1.5147813595831394E-2</c:v>
                </c:pt>
                <c:pt idx="522">
                  <c:v>-1.2786680832505226E-2</c:v>
                </c:pt>
                <c:pt idx="523">
                  <c:v>-7.4616721831262112E-3</c:v>
                </c:pt>
                <c:pt idx="524">
                  <c:v>1.865847036242485E-3</c:v>
                </c:pt>
                <c:pt idx="525">
                  <c:v>8.3075510337948799E-3</c:v>
                </c:pt>
                <c:pt idx="526">
                  <c:v>1.6849134117364883E-2</c:v>
                </c:pt>
                <c:pt idx="527">
                  <c:v>2.6326155290007591E-2</c:v>
                </c:pt>
                <c:pt idx="528">
                  <c:v>-4.8005790449678898E-3</c:v>
                </c:pt>
                <c:pt idx="529">
                  <c:v>-5.8227265253663063E-3</c:v>
                </c:pt>
                <c:pt idx="530">
                  <c:v>2.6059738593176007E-4</c:v>
                </c:pt>
                <c:pt idx="531">
                  <c:v>2.6737996377050877E-3</c:v>
                </c:pt>
                <c:pt idx="532">
                  <c:v>3.5467576235532761E-3</c:v>
                </c:pt>
                <c:pt idx="533">
                  <c:v>1.3288604095578194E-3</c:v>
                </c:pt>
                <c:pt idx="534">
                  <c:v>-8.273972780443728E-4</c:v>
                </c:pt>
                <c:pt idx="535">
                  <c:v>3.6406877916306257E-3</c:v>
                </c:pt>
                <c:pt idx="536">
                  <c:v>3.4039415419101715E-2</c:v>
                </c:pt>
                <c:pt idx="537">
                  <c:v>1.8955579027533531E-2</c:v>
                </c:pt>
                <c:pt idx="538">
                  <c:v>-7.1073113940656185E-3</c:v>
                </c:pt>
                <c:pt idx="539">
                  <c:v>-1.1883382685482502E-2</c:v>
                </c:pt>
                <c:pt idx="540">
                  <c:v>-1.1726396158337593E-2</c:v>
                </c:pt>
                <c:pt idx="541">
                  <c:v>-1.1077071540057659E-2</c:v>
                </c:pt>
                <c:pt idx="542">
                  <c:v>-7.4736131355166435E-3</c:v>
                </c:pt>
                <c:pt idx="543">
                  <c:v>-3.7272211629897356E-3</c:v>
                </c:pt>
                <c:pt idx="544">
                  <c:v>-1.3587764464318752E-2</c:v>
                </c:pt>
                <c:pt idx="545">
                  <c:v>-1.4767890388611704E-4</c:v>
                </c:pt>
                <c:pt idx="546">
                  <c:v>3.5086371004581451E-2</c:v>
                </c:pt>
                <c:pt idx="547">
                  <c:v>6.147327646613121E-2</c:v>
                </c:pt>
                <c:pt idx="548">
                  <c:v>5.6608211249113083E-2</c:v>
                </c:pt>
                <c:pt idx="549">
                  <c:v>5.5998610332608223E-3</c:v>
                </c:pt>
                <c:pt idx="550">
                  <c:v>-7.0066563785076141E-2</c:v>
                </c:pt>
                <c:pt idx="551">
                  <c:v>-7.4965707957744598E-2</c:v>
                </c:pt>
                <c:pt idx="552">
                  <c:v>-1.0949335061013699E-2</c:v>
                </c:pt>
                <c:pt idx="553">
                  <c:v>-2.1330604329705238E-2</c:v>
                </c:pt>
                <c:pt idx="554">
                  <c:v>-2.3607188835740089E-2</c:v>
                </c:pt>
                <c:pt idx="555">
                  <c:v>-1.636696420609951E-2</c:v>
                </c:pt>
                <c:pt idx="556">
                  <c:v>-1.4221327379345894E-2</c:v>
                </c:pt>
                <c:pt idx="557">
                  <c:v>1.9644949585199356E-2</c:v>
                </c:pt>
                <c:pt idx="558">
                  <c:v>3.1542036682367325E-2</c:v>
                </c:pt>
                <c:pt idx="559">
                  <c:v>3.5288430750370026E-2</c:v>
                </c:pt>
                <c:pt idx="560">
                  <c:v>-5.5225701071321964E-3</c:v>
                </c:pt>
                <c:pt idx="561">
                  <c:v>-2.5709951296448708E-3</c:v>
                </c:pt>
                <c:pt idx="562">
                  <c:v>3.0741153750568628E-3</c:v>
                </c:pt>
                <c:pt idx="563">
                  <c:v>-1.7019560327753425E-3</c:v>
                </c:pt>
                <c:pt idx="564">
                  <c:v>-1.5449691563844681E-3</c:v>
                </c:pt>
                <c:pt idx="565">
                  <c:v>-8.9564459631219506E-4</c:v>
                </c:pt>
                <c:pt idx="566">
                  <c:v>2.7078138664364815E-3</c:v>
                </c:pt>
                <c:pt idx="567">
                  <c:v>6.4542060717940331E-3</c:v>
                </c:pt>
              </c:numCache>
            </c:numRef>
          </c:yVal>
          <c:smooth val="0"/>
          <c:extLst>
            <c:ext xmlns:c16="http://schemas.microsoft.com/office/drawing/2014/chart" uri="{C3380CC4-5D6E-409C-BE32-E72D297353CC}">
              <c16:uniqueId val="{00000001-6F72-4D06-9673-424AEC4731B2}"/>
            </c:ext>
          </c:extLst>
        </c:ser>
        <c:dLbls>
          <c:showLegendKey val="0"/>
          <c:showVal val="0"/>
          <c:showCatName val="0"/>
          <c:showSerName val="0"/>
          <c:showPercent val="0"/>
          <c:showBubbleSize val="0"/>
        </c:dLbls>
        <c:axId val="225276672"/>
        <c:axId val="483753344"/>
      </c:scatterChart>
      <c:valAx>
        <c:axId val="225276672"/>
        <c:scaling>
          <c:orientation val="minMax"/>
          <c:max val="1"/>
          <c:min val="-1.5"/>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a:solidFill>
                      <a:sysClr val="windowText" lastClr="000000"/>
                    </a:solidFill>
                    <a:latin typeface="Times New Roman" panose="02020603050405020304" pitchFamily="18" charset="0"/>
                    <a:cs typeface="Times New Roman" panose="02020603050405020304" pitchFamily="18" charset="0"/>
                  </a:rPr>
                  <a:t>PrivateCredit</a:t>
                </a:r>
              </a:p>
            </c:rich>
          </c:tx>
          <c:layout>
            <c:manualLayout>
              <c:xMode val="edge"/>
              <c:yMode val="edge"/>
              <c:x val="0.44161026198316533"/>
              <c:y val="0.9037894259133199"/>
            </c:manualLayout>
          </c:layout>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3753344"/>
        <c:crosses val="autoZero"/>
        <c:crossBetween val="midCat"/>
      </c:valAx>
      <c:valAx>
        <c:axId val="48375334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b="0" i="0" u="none" strike="noStrike" baseline="0">
                    <a:effectLst/>
                  </a:rPr>
                  <a:t>GrossGini</a:t>
                </a:r>
                <a:endParaRPr lang="en-NZ"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5276672"/>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HTO</a:t>
            </a:r>
          </a:p>
        </c:rich>
      </c:tx>
      <c:overlay val="0"/>
      <c:spPr>
        <a:noFill/>
        <a:ln>
          <a:noFill/>
        </a:ln>
        <a:effectLst/>
      </c:spPr>
    </c:title>
    <c:autoTitleDeleted val="0"/>
    <c:plotArea>
      <c:layout/>
      <c:scatterChart>
        <c:scatterStyle val="lineMarker"/>
        <c:varyColors val="0"/>
        <c:ser>
          <c:idx val="0"/>
          <c:order val="0"/>
          <c:tx>
            <c:strRef>
              <c:f>Sheet1!$H$1</c:f>
              <c:strCache>
                <c:ptCount val="1"/>
                <c:pt idx="0">
                  <c:v>FD2Res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Sheet1!$H$2:$H$569</c:f>
              <c:numCache>
                <c:formatCode>0.00</c:formatCode>
                <c:ptCount val="424"/>
                <c:pt idx="0">
                  <c:v>-0.17423327267169952</c:v>
                </c:pt>
                <c:pt idx="1">
                  <c:v>0.11452185362577438</c:v>
                </c:pt>
                <c:pt idx="2">
                  <c:v>0.13383954763412476</c:v>
                </c:pt>
                <c:pt idx="3">
                  <c:v>0.10209105908870697</c:v>
                </c:pt>
                <c:pt idx="4">
                  <c:v>0.11877858638763428</c:v>
                </c:pt>
                <c:pt idx="5">
                  <c:v>-0.12788091599941254</c:v>
                </c:pt>
                <c:pt idx="6">
                  <c:v>-5.1799047738313675E-2</c:v>
                </c:pt>
                <c:pt idx="7">
                  <c:v>-0.11531780660152435</c:v>
                </c:pt>
                <c:pt idx="8">
                  <c:v>-0.34901130199432373</c:v>
                </c:pt>
                <c:pt idx="9">
                  <c:v>-0.36800780892372131</c:v>
                </c:pt>
                <c:pt idx="10">
                  <c:v>-3.9594504982233047E-2</c:v>
                </c:pt>
                <c:pt idx="11">
                  <c:v>-4.1670124977827072E-2</c:v>
                </c:pt>
                <c:pt idx="12">
                  <c:v>0.1331845223903656</c:v>
                </c:pt>
                <c:pt idx="13">
                  <c:v>-3.8521666079759598E-2</c:v>
                </c:pt>
                <c:pt idx="14">
                  <c:v>0.2319171279668808</c:v>
                </c:pt>
                <c:pt idx="15">
                  <c:v>0.47170376777648926</c:v>
                </c:pt>
                <c:pt idx="16">
                  <c:v>0.26724791526794434</c:v>
                </c:pt>
                <c:pt idx="17">
                  <c:v>0.2054874449968338</c:v>
                </c:pt>
                <c:pt idx="18">
                  <c:v>-0.12525340914726257</c:v>
                </c:pt>
                <c:pt idx="19">
                  <c:v>-9.8337098956108093E-2</c:v>
                </c:pt>
                <c:pt idx="20">
                  <c:v>-2.1566657349467278E-2</c:v>
                </c:pt>
                <c:pt idx="21">
                  <c:v>-3.3409614115953445E-2</c:v>
                </c:pt>
                <c:pt idx="22">
                  <c:v>-8.187856525182724E-2</c:v>
                </c:pt>
                <c:pt idx="23">
                  <c:v>-0.11229003965854645</c:v>
                </c:pt>
                <c:pt idx="24">
                  <c:v>-6.1627376824617386E-2</c:v>
                </c:pt>
                <c:pt idx="25">
                  <c:v>-3.7870921194553375E-2</c:v>
                </c:pt>
                <c:pt idx="26">
                  <c:v>1.9013907760381699E-2</c:v>
                </c:pt>
                <c:pt idx="27">
                  <c:v>9.1161087155342102E-2</c:v>
                </c:pt>
                <c:pt idx="28">
                  <c:v>5.1507923752069473E-2</c:v>
                </c:pt>
                <c:pt idx="29">
                  <c:v>-1.0665195994079113E-2</c:v>
                </c:pt>
                <c:pt idx="30">
                  <c:v>-1.4180799014866352E-2</c:v>
                </c:pt>
                <c:pt idx="31">
                  <c:v>-3.7338625639677048E-2</c:v>
                </c:pt>
                <c:pt idx="32">
                  <c:v>0.30009648203849792</c:v>
                </c:pt>
                <c:pt idx="33">
                  <c:v>-0.513935387134552</c:v>
                </c:pt>
                <c:pt idx="34">
                  <c:v>-0.2717747688293457</c:v>
                </c:pt>
                <c:pt idx="35">
                  <c:v>-5.302877351641655E-2</c:v>
                </c:pt>
                <c:pt idx="36">
                  <c:v>0.10075753927230835</c:v>
                </c:pt>
                <c:pt idx="37">
                  <c:v>8.116932213306427E-2</c:v>
                </c:pt>
                <c:pt idx="38">
                  <c:v>0.18955595791339874</c:v>
                </c:pt>
                <c:pt idx="39">
                  <c:v>0.16715963184833527</c:v>
                </c:pt>
                <c:pt idx="40">
                  <c:v>3.6467742174863815E-2</c:v>
                </c:pt>
                <c:pt idx="41">
                  <c:v>0.15825451910495758</c:v>
                </c:pt>
                <c:pt idx="42">
                  <c:v>0.10835643857717514</c:v>
                </c:pt>
                <c:pt idx="43">
                  <c:v>-4.0032606571912766E-2</c:v>
                </c:pt>
                <c:pt idx="44">
                  <c:v>-6.8277686834335327E-2</c:v>
                </c:pt>
                <c:pt idx="45">
                  <c:v>-0.19137223064899445</c:v>
                </c:pt>
                <c:pt idx="46">
                  <c:v>-5.3458888083696365E-2</c:v>
                </c:pt>
                <c:pt idx="47">
                  <c:v>5.0062704831361771E-2</c:v>
                </c:pt>
                <c:pt idx="48">
                  <c:v>-0.25129705667495728</c:v>
                </c:pt>
                <c:pt idx="49">
                  <c:v>-0.24487696588039398</c:v>
                </c:pt>
                <c:pt idx="50">
                  <c:v>7.9226158559322357E-3</c:v>
                </c:pt>
                <c:pt idx="51">
                  <c:v>0.18434454500675201</c:v>
                </c:pt>
                <c:pt idx="52">
                  <c:v>0.13701477646827698</c:v>
                </c:pt>
                <c:pt idx="53">
                  <c:v>0.18402020633220673</c:v>
                </c:pt>
                <c:pt idx="54">
                  <c:v>-1.5677172690629959E-2</c:v>
                </c:pt>
                <c:pt idx="55">
                  <c:v>-1.4509684406220913E-3</c:v>
                </c:pt>
                <c:pt idx="56">
                  <c:v>-0.31315919756889343</c:v>
                </c:pt>
                <c:pt idx="57">
                  <c:v>-0.10346437245607376</c:v>
                </c:pt>
                <c:pt idx="58">
                  <c:v>-8.9059539139270782E-2</c:v>
                </c:pt>
                <c:pt idx="59">
                  <c:v>-5.3857218474149704E-2</c:v>
                </c:pt>
                <c:pt idx="60">
                  <c:v>0.28182554244995117</c:v>
                </c:pt>
                <c:pt idx="61">
                  <c:v>0.23676587641239166</c:v>
                </c:pt>
                <c:pt idx="62">
                  <c:v>4.9688946455717087E-2</c:v>
                </c:pt>
                <c:pt idx="63">
                  <c:v>-8.7400507181882858E-3</c:v>
                </c:pt>
                <c:pt idx="64">
                  <c:v>4.64218370616436E-2</c:v>
                </c:pt>
                <c:pt idx="65">
                  <c:v>0.1443345695734024</c:v>
                </c:pt>
                <c:pt idx="66">
                  <c:v>-1.2910041958093643E-2</c:v>
                </c:pt>
                <c:pt idx="67">
                  <c:v>9.7710061818361282E-3</c:v>
                </c:pt>
                <c:pt idx="68">
                  <c:v>-7.7023714780807495E-2</c:v>
                </c:pt>
                <c:pt idx="69">
                  <c:v>-0.10165782272815704</c:v>
                </c:pt>
                <c:pt idx="70">
                  <c:v>1.9372623413801193E-2</c:v>
                </c:pt>
                <c:pt idx="71">
                  <c:v>-2.8308464214205742E-2</c:v>
                </c:pt>
                <c:pt idx="72">
                  <c:v>8.7615236639976501E-2</c:v>
                </c:pt>
                <c:pt idx="73">
                  <c:v>0.30463260412216187</c:v>
                </c:pt>
                <c:pt idx="74">
                  <c:v>0.10090159624814987</c:v>
                </c:pt>
                <c:pt idx="75">
                  <c:v>-0.17587991058826447</c:v>
                </c:pt>
                <c:pt idx="76">
                  <c:v>-0.20398002862930298</c:v>
                </c:pt>
                <c:pt idx="77">
                  <c:v>-0.13456372916698456</c:v>
                </c:pt>
                <c:pt idx="78">
                  <c:v>8.7462170049548149E-3</c:v>
                </c:pt>
                <c:pt idx="79">
                  <c:v>1.2528019025921822E-2</c:v>
                </c:pt>
                <c:pt idx="80">
                  <c:v>0.10407565534114838</c:v>
                </c:pt>
                <c:pt idx="81">
                  <c:v>-5.1682539284229279E-2</c:v>
                </c:pt>
                <c:pt idx="82">
                  <c:v>-5.3723815828561783E-2</c:v>
                </c:pt>
                <c:pt idx="83">
                  <c:v>-0.20144052803516388</c:v>
                </c:pt>
                <c:pt idx="84">
                  <c:v>-7.5628340244293213E-2</c:v>
                </c:pt>
                <c:pt idx="85">
                  <c:v>8.7656214833259583E-2</c:v>
                </c:pt>
                <c:pt idx="86">
                  <c:v>9.2397041618824005E-2</c:v>
                </c:pt>
                <c:pt idx="87">
                  <c:v>9.8346307873725891E-2</c:v>
                </c:pt>
                <c:pt idx="88">
                  <c:v>0.44960889220237732</c:v>
                </c:pt>
                <c:pt idx="89">
                  <c:v>-0.26255983114242554</c:v>
                </c:pt>
                <c:pt idx="90">
                  <c:v>-5.7503823190927505E-2</c:v>
                </c:pt>
                <c:pt idx="91">
                  <c:v>4.5035291463136673E-2</c:v>
                </c:pt>
                <c:pt idx="92">
                  <c:v>1.7421545460820198E-2</c:v>
                </c:pt>
                <c:pt idx="93">
                  <c:v>-2.2059367969632149E-2</c:v>
                </c:pt>
                <c:pt idx="94">
                  <c:v>-8.7006144225597382E-2</c:v>
                </c:pt>
                <c:pt idx="95">
                  <c:v>-8.2936570048332214E-2</c:v>
                </c:pt>
                <c:pt idx="96">
                  <c:v>0.15947170555591583</c:v>
                </c:pt>
                <c:pt idx="97">
                  <c:v>-3.3987541683018208E-3</c:v>
                </c:pt>
                <c:pt idx="98">
                  <c:v>3.117915615439415E-2</c:v>
                </c:pt>
                <c:pt idx="99">
                  <c:v>1.0004537180066109E-2</c:v>
                </c:pt>
                <c:pt idx="100">
                  <c:v>-3.7801112979650497E-2</c:v>
                </c:pt>
                <c:pt idx="101">
                  <c:v>-7.4434354901313782E-2</c:v>
                </c:pt>
                <c:pt idx="102">
                  <c:v>-3.9065796881914139E-2</c:v>
                </c:pt>
                <c:pt idx="103">
                  <c:v>-4.5955371111631393E-2</c:v>
                </c:pt>
                <c:pt idx="104">
                  <c:v>4.4766973704099655E-2</c:v>
                </c:pt>
                <c:pt idx="105">
                  <c:v>5.603935569524765E-2</c:v>
                </c:pt>
                <c:pt idx="106">
                  <c:v>-4.8054132610559464E-2</c:v>
                </c:pt>
                <c:pt idx="107">
                  <c:v>-2.1008117124438286E-2</c:v>
                </c:pt>
                <c:pt idx="108">
                  <c:v>-2.6144472882151604E-2</c:v>
                </c:pt>
                <c:pt idx="109">
                  <c:v>-7.7168522402644157E-3</c:v>
                </c:pt>
                <c:pt idx="110">
                  <c:v>5.7834791950881481E-3</c:v>
                </c:pt>
                <c:pt idx="111">
                  <c:v>-3.6662346683442593E-3</c:v>
                </c:pt>
                <c:pt idx="112">
                  <c:v>0.22080038487911224</c:v>
                </c:pt>
                <c:pt idx="113">
                  <c:v>0.3175625205039978</c:v>
                </c:pt>
                <c:pt idx="114">
                  <c:v>0.19911623001098633</c:v>
                </c:pt>
                <c:pt idx="115">
                  <c:v>4.8319865018129349E-2</c:v>
                </c:pt>
                <c:pt idx="116">
                  <c:v>-0.19827514886856079</c:v>
                </c:pt>
                <c:pt idx="117">
                  <c:v>-0.18037299811840057</c:v>
                </c:pt>
                <c:pt idx="118">
                  <c:v>-0.17730991542339325</c:v>
                </c:pt>
                <c:pt idx="119">
                  <c:v>-0.22984091937541962</c:v>
                </c:pt>
                <c:pt idx="120">
                  <c:v>0.16576708853244781</c:v>
                </c:pt>
                <c:pt idx="121">
                  <c:v>-9.933248907327652E-2</c:v>
                </c:pt>
                <c:pt idx="122">
                  <c:v>-0.10317216068506241</c:v>
                </c:pt>
                <c:pt idx="123">
                  <c:v>-0.12647871673107147</c:v>
                </c:pt>
                <c:pt idx="124">
                  <c:v>-8.394971489906311E-2</c:v>
                </c:pt>
                <c:pt idx="125">
                  <c:v>1.6752345487475395E-2</c:v>
                </c:pt>
                <c:pt idx="126">
                  <c:v>0.10567257553339005</c:v>
                </c:pt>
                <c:pt idx="127">
                  <c:v>0.12474106252193451</c:v>
                </c:pt>
                <c:pt idx="128">
                  <c:v>9.9687110632658005E-3</c:v>
                </c:pt>
                <c:pt idx="129">
                  <c:v>-0.11895237118005753</c:v>
                </c:pt>
                <c:pt idx="130">
                  <c:v>-0.25245288014411926</c:v>
                </c:pt>
                <c:pt idx="131">
                  <c:v>6.570984423160553E-2</c:v>
                </c:pt>
                <c:pt idx="132">
                  <c:v>8.0583482980728149E-2</c:v>
                </c:pt>
                <c:pt idx="133">
                  <c:v>0.11309735476970673</c:v>
                </c:pt>
                <c:pt idx="134">
                  <c:v>6.8311966955661774E-2</c:v>
                </c:pt>
                <c:pt idx="135">
                  <c:v>3.3733893185853958E-2</c:v>
                </c:pt>
                <c:pt idx="136">
                  <c:v>9.7498610615730286E-2</c:v>
                </c:pt>
                <c:pt idx="137">
                  <c:v>-8.3495236933231354E-2</c:v>
                </c:pt>
                <c:pt idx="138">
                  <c:v>-0.11152604967355728</c:v>
                </c:pt>
                <c:pt idx="139">
                  <c:v>-1.5560610219836235E-2</c:v>
                </c:pt>
                <c:pt idx="140">
                  <c:v>1.0259779170155525E-2</c:v>
                </c:pt>
                <c:pt idx="141">
                  <c:v>6.328098475933075E-2</c:v>
                </c:pt>
                <c:pt idx="142">
                  <c:v>1.7460387200117111E-2</c:v>
                </c:pt>
                <c:pt idx="143">
                  <c:v>2.2082136943936348E-2</c:v>
                </c:pt>
                <c:pt idx="144">
                  <c:v>1.0791851207613945E-2</c:v>
                </c:pt>
                <c:pt idx="145">
                  <c:v>3.2209895551204681E-2</c:v>
                </c:pt>
                <c:pt idx="146">
                  <c:v>-9.3792833387851715E-2</c:v>
                </c:pt>
                <c:pt idx="147">
                  <c:v>-1.3620002195239067E-2</c:v>
                </c:pt>
                <c:pt idx="148">
                  <c:v>2.2464783862233162E-2</c:v>
                </c:pt>
                <c:pt idx="149">
                  <c:v>4.0709774941205978E-2</c:v>
                </c:pt>
                <c:pt idx="150">
                  <c:v>3.5800144542008638E-3</c:v>
                </c:pt>
                <c:pt idx="151">
                  <c:v>-2.3434883914887905E-3</c:v>
                </c:pt>
                <c:pt idx="152">
                  <c:v>-0.4061238169670105</c:v>
                </c:pt>
                <c:pt idx="153">
                  <c:v>-0.11331341415643692</c:v>
                </c:pt>
                <c:pt idx="154">
                  <c:v>-3.3593807369470596E-2</c:v>
                </c:pt>
                <c:pt idx="155">
                  <c:v>3.3634323626756668E-2</c:v>
                </c:pt>
                <c:pt idx="156">
                  <c:v>0.1898968517780304</c:v>
                </c:pt>
                <c:pt idx="157">
                  <c:v>0.24490503966808319</c:v>
                </c:pt>
                <c:pt idx="158">
                  <c:v>8.7835468351840973E-2</c:v>
                </c:pt>
                <c:pt idx="159">
                  <c:v>-3.2406575046479702E-3</c:v>
                </c:pt>
                <c:pt idx="160">
                  <c:v>-0.36079230904579163</c:v>
                </c:pt>
                <c:pt idx="161">
                  <c:v>-0.4084126353263855</c:v>
                </c:pt>
                <c:pt idx="162">
                  <c:v>-0.32897007465362549</c:v>
                </c:pt>
                <c:pt idx="163">
                  <c:v>-7.8829839825630188E-2</c:v>
                </c:pt>
                <c:pt idx="164">
                  <c:v>0.13414722681045532</c:v>
                </c:pt>
                <c:pt idx="165">
                  <c:v>0.14215643703937531</c:v>
                </c:pt>
                <c:pt idx="166">
                  <c:v>0.33606308698654175</c:v>
                </c:pt>
                <c:pt idx="167">
                  <c:v>0.56463807821273804</c:v>
                </c:pt>
                <c:pt idx="168">
                  <c:v>-0.28732776641845703</c:v>
                </c:pt>
                <c:pt idx="169">
                  <c:v>-0.27402499318122864</c:v>
                </c:pt>
                <c:pt idx="170">
                  <c:v>-0.14280173182487488</c:v>
                </c:pt>
                <c:pt idx="171">
                  <c:v>-0.11339227855205536</c:v>
                </c:pt>
                <c:pt idx="172">
                  <c:v>9.4222754240036011E-2</c:v>
                </c:pt>
                <c:pt idx="173">
                  <c:v>0.2200922816991806</c:v>
                </c:pt>
                <c:pt idx="174">
                  <c:v>0.21782051026821136</c:v>
                </c:pt>
                <c:pt idx="175">
                  <c:v>0.28541123867034912</c:v>
                </c:pt>
                <c:pt idx="176">
                  <c:v>-0.19241137802600861</c:v>
                </c:pt>
                <c:pt idx="177">
                  <c:v>-0.27144360542297363</c:v>
                </c:pt>
                <c:pt idx="178">
                  <c:v>0.19174724817276001</c:v>
                </c:pt>
                <c:pt idx="179">
                  <c:v>8.5509166121482849E-2</c:v>
                </c:pt>
                <c:pt idx="180">
                  <c:v>0.10291385650634766</c:v>
                </c:pt>
                <c:pt idx="181">
                  <c:v>0.12125135958194733</c:v>
                </c:pt>
                <c:pt idx="182">
                  <c:v>8.8043101131916046E-2</c:v>
                </c:pt>
                <c:pt idx="183">
                  <c:v>-0.12560974061489105</c:v>
                </c:pt>
                <c:pt idx="184">
                  <c:v>-5.1535356789827347E-2</c:v>
                </c:pt>
                <c:pt idx="185">
                  <c:v>4.3577872216701508E-2</c:v>
                </c:pt>
                <c:pt idx="186">
                  <c:v>0.16620424389839172</c:v>
                </c:pt>
                <c:pt idx="187">
                  <c:v>0.12000425159931183</c:v>
                </c:pt>
                <c:pt idx="188">
                  <c:v>2.0661087706685066E-2</c:v>
                </c:pt>
                <c:pt idx="189">
                  <c:v>-4.4518012553453445E-2</c:v>
                </c:pt>
                <c:pt idx="190">
                  <c:v>-9.1384314000606537E-2</c:v>
                </c:pt>
                <c:pt idx="191">
                  <c:v>-0.16300977766513824</c:v>
                </c:pt>
                <c:pt idx="192">
                  <c:v>-0.30680915713310242</c:v>
                </c:pt>
                <c:pt idx="193">
                  <c:v>8.2842104136943817E-2</c:v>
                </c:pt>
                <c:pt idx="194">
                  <c:v>9.0158276259899139E-2</c:v>
                </c:pt>
                <c:pt idx="195">
                  <c:v>8.649502694606781E-2</c:v>
                </c:pt>
                <c:pt idx="196">
                  <c:v>0.11889100074768066</c:v>
                </c:pt>
                <c:pt idx="197">
                  <c:v>-3.7903664633631706E-3</c:v>
                </c:pt>
                <c:pt idx="198">
                  <c:v>-1.7801631242036819E-2</c:v>
                </c:pt>
                <c:pt idx="199">
                  <c:v>-4.9985270947217941E-2</c:v>
                </c:pt>
                <c:pt idx="200">
                  <c:v>0.1207437664270401</c:v>
                </c:pt>
                <c:pt idx="201">
                  <c:v>1.5440425835549831E-2</c:v>
                </c:pt>
                <c:pt idx="202">
                  <c:v>-2.9947970062494278E-2</c:v>
                </c:pt>
                <c:pt idx="203">
                  <c:v>-3.2502572983503342E-2</c:v>
                </c:pt>
                <c:pt idx="204">
                  <c:v>-4.6320236288011074E-3</c:v>
                </c:pt>
                <c:pt idx="205">
                  <c:v>6.4135774970054626E-2</c:v>
                </c:pt>
                <c:pt idx="206">
                  <c:v>-2.371944859623909E-2</c:v>
                </c:pt>
                <c:pt idx="207">
                  <c:v>-0.10951794683933258</c:v>
                </c:pt>
                <c:pt idx="208">
                  <c:v>0.35239344835281372</c:v>
                </c:pt>
                <c:pt idx="209">
                  <c:v>0.47764042019844055</c:v>
                </c:pt>
                <c:pt idx="210">
                  <c:v>0.29500874876976013</c:v>
                </c:pt>
                <c:pt idx="211">
                  <c:v>0.12522591650485992</c:v>
                </c:pt>
                <c:pt idx="212">
                  <c:v>-0.1096782386302948</c:v>
                </c:pt>
                <c:pt idx="213">
                  <c:v>-0.39423128962516785</c:v>
                </c:pt>
                <c:pt idx="214">
                  <c:v>-0.34533724188804626</c:v>
                </c:pt>
                <c:pt idx="215">
                  <c:v>-0.40102177858352661</c:v>
                </c:pt>
                <c:pt idx="216">
                  <c:v>-0.23829059302806854</c:v>
                </c:pt>
                <c:pt idx="217">
                  <c:v>-0.11921725422143936</c:v>
                </c:pt>
                <c:pt idx="218">
                  <c:v>-3.7829194217920303E-2</c:v>
                </c:pt>
                <c:pt idx="219">
                  <c:v>1.9485967233777046E-2</c:v>
                </c:pt>
                <c:pt idx="220">
                  <c:v>0.21197333931922913</c:v>
                </c:pt>
                <c:pt idx="221">
                  <c:v>0.26820126175880432</c:v>
                </c:pt>
                <c:pt idx="222">
                  <c:v>0.11105255037546158</c:v>
                </c:pt>
                <c:pt idx="223">
                  <c:v>-0.21537609398365021</c:v>
                </c:pt>
                <c:pt idx="224">
                  <c:v>0.14442123472690582</c:v>
                </c:pt>
                <c:pt idx="225">
                  <c:v>0.19464142620563507</c:v>
                </c:pt>
                <c:pt idx="226">
                  <c:v>0.12692227959632874</c:v>
                </c:pt>
                <c:pt idx="227">
                  <c:v>6.6581442952156067E-2</c:v>
                </c:pt>
                <c:pt idx="228">
                  <c:v>-3.9587881416082382E-2</c:v>
                </c:pt>
                <c:pt idx="229">
                  <c:v>-0.16091050207614899</c:v>
                </c:pt>
                <c:pt idx="230">
                  <c:v>-0.18719841539859772</c:v>
                </c:pt>
                <c:pt idx="231">
                  <c:v>-0.14486958086490631</c:v>
                </c:pt>
                <c:pt idx="232">
                  <c:v>4.2193900793790817E-2</c:v>
                </c:pt>
                <c:pt idx="233">
                  <c:v>5.4818831384181976E-2</c:v>
                </c:pt>
                <c:pt idx="234">
                  <c:v>-1.0629866272211075E-2</c:v>
                </c:pt>
                <c:pt idx="235">
                  <c:v>1.5652971342206001E-2</c:v>
                </c:pt>
                <c:pt idx="236">
                  <c:v>-6.0997512191534042E-2</c:v>
                </c:pt>
                <c:pt idx="237">
                  <c:v>-2.9272573068737984E-2</c:v>
                </c:pt>
                <c:pt idx="238">
                  <c:v>2.5250773876905441E-2</c:v>
                </c:pt>
                <c:pt idx="239">
                  <c:v>-3.7016522139310837E-2</c:v>
                </c:pt>
                <c:pt idx="240">
                  <c:v>-0.42080587148666382</c:v>
                </c:pt>
                <c:pt idx="241">
                  <c:v>-0.1928548663854599</c:v>
                </c:pt>
                <c:pt idx="242">
                  <c:v>7.9958043992519379E-2</c:v>
                </c:pt>
                <c:pt idx="243">
                  <c:v>-1.7537219449877739E-2</c:v>
                </c:pt>
                <c:pt idx="244">
                  <c:v>-0.18897435069084167</c:v>
                </c:pt>
                <c:pt idx="245">
                  <c:v>-0.10586567223072052</c:v>
                </c:pt>
                <c:pt idx="246">
                  <c:v>0.35170832276344299</c:v>
                </c:pt>
                <c:pt idx="247">
                  <c:v>0.49437159299850464</c:v>
                </c:pt>
                <c:pt idx="248">
                  <c:v>7.0505514740943909E-2</c:v>
                </c:pt>
                <c:pt idx="249">
                  <c:v>5.7904325425624847E-2</c:v>
                </c:pt>
                <c:pt idx="250">
                  <c:v>3.607645258307457E-2</c:v>
                </c:pt>
                <c:pt idx="251">
                  <c:v>6.9231227040290833E-2</c:v>
                </c:pt>
                <c:pt idx="252">
                  <c:v>-9.2622667551040649E-2</c:v>
                </c:pt>
                <c:pt idx="253">
                  <c:v>-0.16263236105442047</c:v>
                </c:pt>
                <c:pt idx="254">
                  <c:v>-0.14440061151981354</c:v>
                </c:pt>
                <c:pt idx="255">
                  <c:v>0.1659381240606308</c:v>
                </c:pt>
                <c:pt idx="256">
                  <c:v>0.22737903892993927</c:v>
                </c:pt>
                <c:pt idx="257">
                  <c:v>0.19525517523288727</c:v>
                </c:pt>
                <c:pt idx="258">
                  <c:v>-7.0920325815677643E-3</c:v>
                </c:pt>
                <c:pt idx="259">
                  <c:v>-0.10255478322505951</c:v>
                </c:pt>
                <c:pt idx="260">
                  <c:v>-3.5901393741369247E-2</c:v>
                </c:pt>
                <c:pt idx="261">
                  <c:v>1.8253011628985405E-2</c:v>
                </c:pt>
                <c:pt idx="262">
                  <c:v>-0.11018344014883041</c:v>
                </c:pt>
                <c:pt idx="263">
                  <c:v>-0.18515558540821075</c:v>
                </c:pt>
                <c:pt idx="264">
                  <c:v>0.11942507326602936</c:v>
                </c:pt>
                <c:pt idx="265">
                  <c:v>0.21838302910327911</c:v>
                </c:pt>
                <c:pt idx="266">
                  <c:v>-4.5765135437250137E-2</c:v>
                </c:pt>
                <c:pt idx="267">
                  <c:v>-1.8729371950030327E-2</c:v>
                </c:pt>
                <c:pt idx="268">
                  <c:v>-6.1028029769659042E-2</c:v>
                </c:pt>
                <c:pt idx="269">
                  <c:v>-9.3263164162635803E-2</c:v>
                </c:pt>
                <c:pt idx="270">
                  <c:v>-7.693924754858017E-2</c:v>
                </c:pt>
                <c:pt idx="271">
                  <c:v>-4.2083155363798141E-2</c:v>
                </c:pt>
                <c:pt idx="272">
                  <c:v>-0.52078640460968018</c:v>
                </c:pt>
                <c:pt idx="273">
                  <c:v>-0.48922890424728394</c:v>
                </c:pt>
                <c:pt idx="274">
                  <c:v>-0.25219810009002686</c:v>
                </c:pt>
                <c:pt idx="275">
                  <c:v>0.16172902286052704</c:v>
                </c:pt>
                <c:pt idx="276">
                  <c:v>0.2232094407081604</c:v>
                </c:pt>
                <c:pt idx="277">
                  <c:v>0.31712013483047485</c:v>
                </c:pt>
                <c:pt idx="278">
                  <c:v>0.28752273321151733</c:v>
                </c:pt>
                <c:pt idx="279">
                  <c:v>0.27263209223747253</c:v>
                </c:pt>
                <c:pt idx="280">
                  <c:v>8.1356599926948547E-2</c:v>
                </c:pt>
                <c:pt idx="281">
                  <c:v>0.13245917856693268</c:v>
                </c:pt>
                <c:pt idx="282">
                  <c:v>9.2196069657802582E-2</c:v>
                </c:pt>
                <c:pt idx="283">
                  <c:v>1.6604797914624214E-2</c:v>
                </c:pt>
                <c:pt idx="284">
                  <c:v>-0.1149267852306366</c:v>
                </c:pt>
                <c:pt idx="285">
                  <c:v>-1.9476132467389107E-2</c:v>
                </c:pt>
                <c:pt idx="286">
                  <c:v>-2.7648050338029861E-2</c:v>
                </c:pt>
                <c:pt idx="287">
                  <c:v>-0.16056568920612335</c:v>
                </c:pt>
                <c:pt idx="288">
                  <c:v>-4.3932307511568069E-2</c:v>
                </c:pt>
                <c:pt idx="289">
                  <c:v>-8.6147703230381012E-2</c:v>
                </c:pt>
                <c:pt idx="290">
                  <c:v>-4.6022746711969376E-2</c:v>
                </c:pt>
                <c:pt idx="291">
                  <c:v>3.4739453345537186E-2</c:v>
                </c:pt>
                <c:pt idx="292">
                  <c:v>4.0540788322687149E-2</c:v>
                </c:pt>
                <c:pt idx="293">
                  <c:v>4.5740466564893723E-2</c:v>
                </c:pt>
                <c:pt idx="294">
                  <c:v>5.7319145649671555E-2</c:v>
                </c:pt>
                <c:pt idx="295">
                  <c:v>-2.2370941005647182E-3</c:v>
                </c:pt>
                <c:pt idx="296">
                  <c:v>0.2184271365404129</c:v>
                </c:pt>
                <c:pt idx="297">
                  <c:v>0.14066900312900543</c:v>
                </c:pt>
                <c:pt idx="298">
                  <c:v>1.3232912868261337E-2</c:v>
                </c:pt>
                <c:pt idx="299">
                  <c:v>1.9426513463258743E-3</c:v>
                </c:pt>
                <c:pt idx="300">
                  <c:v>-9.064134955406189E-2</c:v>
                </c:pt>
                <c:pt idx="301">
                  <c:v>-8.6273506283760071E-2</c:v>
                </c:pt>
                <c:pt idx="302">
                  <c:v>-0.13072414696216583</c:v>
                </c:pt>
                <c:pt idx="303">
                  <c:v>-6.6632702946662903E-2</c:v>
                </c:pt>
                <c:pt idx="304">
                  <c:v>0.10610415041446686</c:v>
                </c:pt>
                <c:pt idx="305">
                  <c:v>0.14319391548633575</c:v>
                </c:pt>
                <c:pt idx="306">
                  <c:v>4.8047330230474472E-2</c:v>
                </c:pt>
                <c:pt idx="307">
                  <c:v>-8.8676642626523972E-3</c:v>
                </c:pt>
                <c:pt idx="308">
                  <c:v>7.7316374517977238E-4</c:v>
                </c:pt>
                <c:pt idx="309">
                  <c:v>-1.6993062570691109E-2</c:v>
                </c:pt>
                <c:pt idx="310">
                  <c:v>-9.8060034215450287E-2</c:v>
                </c:pt>
                <c:pt idx="311">
                  <c:v>-0.17419780790805817</c:v>
                </c:pt>
                <c:pt idx="312">
                  <c:v>1.1511756107211113E-2</c:v>
                </c:pt>
                <c:pt idx="313">
                  <c:v>0.11401023715734482</c:v>
                </c:pt>
                <c:pt idx="314">
                  <c:v>0.20127293467521667</c:v>
                </c:pt>
                <c:pt idx="315">
                  <c:v>0.10839678347110748</c:v>
                </c:pt>
                <c:pt idx="316">
                  <c:v>8.1814676523208618E-2</c:v>
                </c:pt>
                <c:pt idx="317">
                  <c:v>8.958977647125721E-3</c:v>
                </c:pt>
                <c:pt idx="318">
                  <c:v>-0.22498150169849396</c:v>
                </c:pt>
                <c:pt idx="319">
                  <c:v>-0.30098384618759155</c:v>
                </c:pt>
                <c:pt idx="320">
                  <c:v>-1.5060179866850376E-3</c:v>
                </c:pt>
                <c:pt idx="321">
                  <c:v>0.14437080919742584</c:v>
                </c:pt>
                <c:pt idx="322">
                  <c:v>8.1857047975063324E-2</c:v>
                </c:pt>
                <c:pt idx="323">
                  <c:v>-4.4259648770093918E-2</c:v>
                </c:pt>
                <c:pt idx="324">
                  <c:v>-8.8112324476242065E-2</c:v>
                </c:pt>
                <c:pt idx="325">
                  <c:v>-5.6119401007890701E-2</c:v>
                </c:pt>
                <c:pt idx="326">
                  <c:v>-1.5458901412785053E-2</c:v>
                </c:pt>
                <c:pt idx="327">
                  <c:v>-2.0771576091647148E-2</c:v>
                </c:pt>
                <c:pt idx="328">
                  <c:v>-0.18366537988185883</c:v>
                </c:pt>
                <c:pt idx="329">
                  <c:v>-6.2856592237949371E-2</c:v>
                </c:pt>
                <c:pt idx="330">
                  <c:v>5.6718848645687103E-3</c:v>
                </c:pt>
                <c:pt idx="331">
                  <c:v>-3.2534163445234299E-2</c:v>
                </c:pt>
                <c:pt idx="332">
                  <c:v>7.5536691583693027E-3</c:v>
                </c:pt>
                <c:pt idx="333">
                  <c:v>4.8275332897901535E-2</c:v>
                </c:pt>
                <c:pt idx="334">
                  <c:v>9.0103603899478912E-2</c:v>
                </c:pt>
                <c:pt idx="335">
                  <c:v>0.12745164334774017</c:v>
                </c:pt>
                <c:pt idx="336">
                  <c:v>0.1184975653886795</c:v>
                </c:pt>
                <c:pt idx="337">
                  <c:v>0.10008206218481064</c:v>
                </c:pt>
                <c:pt idx="338">
                  <c:v>7.6260767877101898E-2</c:v>
                </c:pt>
                <c:pt idx="339">
                  <c:v>4.8769969493150711E-2</c:v>
                </c:pt>
                <c:pt idx="340">
                  <c:v>-5.8101094327867031E-3</c:v>
                </c:pt>
                <c:pt idx="341">
                  <c:v>-5.2167017012834549E-2</c:v>
                </c:pt>
                <c:pt idx="342">
                  <c:v>-0.1258968859910965</c:v>
                </c:pt>
                <c:pt idx="343">
                  <c:v>-0.15973635017871857</c:v>
                </c:pt>
                <c:pt idx="344">
                  <c:v>0.28983837366104126</c:v>
                </c:pt>
                <c:pt idx="345">
                  <c:v>9.8431132733821869E-2</c:v>
                </c:pt>
                <c:pt idx="346">
                  <c:v>-0.11235133558511734</c:v>
                </c:pt>
                <c:pt idx="347">
                  <c:v>-0.31223806738853455</c:v>
                </c:pt>
                <c:pt idx="348">
                  <c:v>-0.45779535174369812</c:v>
                </c:pt>
                <c:pt idx="349">
                  <c:v>4.9496691673994064E-2</c:v>
                </c:pt>
                <c:pt idx="350">
                  <c:v>0.18627230823040009</c:v>
                </c:pt>
                <c:pt idx="351">
                  <c:v>0.25834625959396362</c:v>
                </c:pt>
                <c:pt idx="352">
                  <c:v>6.7582592368125916E-2</c:v>
                </c:pt>
                <c:pt idx="353">
                  <c:v>0.12756769359111786</c:v>
                </c:pt>
                <c:pt idx="354">
                  <c:v>-4.9422983080148697E-2</c:v>
                </c:pt>
                <c:pt idx="355">
                  <c:v>-3.4708451479673386E-2</c:v>
                </c:pt>
                <c:pt idx="356">
                  <c:v>-5.7994898408651352E-2</c:v>
                </c:pt>
                <c:pt idx="357">
                  <c:v>5.2582742646336555E-3</c:v>
                </c:pt>
                <c:pt idx="358">
                  <c:v>-2.5100160390138626E-2</c:v>
                </c:pt>
                <c:pt idx="359">
                  <c:v>-3.3182065933942795E-2</c:v>
                </c:pt>
                <c:pt idx="360">
                  <c:v>-9.3047782778739929E-2</c:v>
                </c:pt>
                <c:pt idx="361">
                  <c:v>9.7057603299617767E-2</c:v>
                </c:pt>
                <c:pt idx="362">
                  <c:v>7.6314292848110199E-2</c:v>
                </c:pt>
                <c:pt idx="363">
                  <c:v>2.9686110094189644E-2</c:v>
                </c:pt>
                <c:pt idx="364">
                  <c:v>-1.6747681424021721E-2</c:v>
                </c:pt>
                <c:pt idx="365">
                  <c:v>2.6047272607684135E-2</c:v>
                </c:pt>
                <c:pt idx="366">
                  <c:v>-7.0021939463913441E-3</c:v>
                </c:pt>
                <c:pt idx="367">
                  <c:v>-0.11230762302875519</c:v>
                </c:pt>
                <c:pt idx="368">
                  <c:v>0.16159035265445709</c:v>
                </c:pt>
                <c:pt idx="369">
                  <c:v>0.20617122948169708</c:v>
                </c:pt>
                <c:pt idx="370">
                  <c:v>0.16320493817329407</c:v>
                </c:pt>
                <c:pt idx="371">
                  <c:v>5.2734453231096268E-2</c:v>
                </c:pt>
                <c:pt idx="372">
                  <c:v>-1.318695954978466E-2</c:v>
                </c:pt>
                <c:pt idx="373">
                  <c:v>-7.8486457467079163E-2</c:v>
                </c:pt>
                <c:pt idx="374">
                  <c:v>-0.22817720472812653</c:v>
                </c:pt>
                <c:pt idx="375">
                  <c:v>-0.26385033130645752</c:v>
                </c:pt>
                <c:pt idx="376">
                  <c:v>-1.5490936115384102E-2</c:v>
                </c:pt>
                <c:pt idx="377">
                  <c:v>-9.9172569811344147E-2</c:v>
                </c:pt>
                <c:pt idx="378">
                  <c:v>-8.8743604719638824E-2</c:v>
                </c:pt>
                <c:pt idx="379">
                  <c:v>-7.3275431990623474E-2</c:v>
                </c:pt>
                <c:pt idx="380">
                  <c:v>-2.3128954693675041E-2</c:v>
                </c:pt>
                <c:pt idx="381">
                  <c:v>0.10874371230602264</c:v>
                </c:pt>
                <c:pt idx="382">
                  <c:v>0.10474172979593277</c:v>
                </c:pt>
                <c:pt idx="383">
                  <c:v>8.6326047778129578E-2</c:v>
                </c:pt>
                <c:pt idx="384">
                  <c:v>0.1781821995973587</c:v>
                </c:pt>
                <c:pt idx="385">
                  <c:v>0.17738033831119537</c:v>
                </c:pt>
                <c:pt idx="386">
                  <c:v>-0.14015808701515198</c:v>
                </c:pt>
                <c:pt idx="387">
                  <c:v>-0.16500578820705414</c:v>
                </c:pt>
                <c:pt idx="388">
                  <c:v>-7.8067988157272339E-2</c:v>
                </c:pt>
                <c:pt idx="389">
                  <c:v>3.9583723992109299E-2</c:v>
                </c:pt>
                <c:pt idx="390">
                  <c:v>-4.1593391448259354E-2</c:v>
                </c:pt>
                <c:pt idx="391">
                  <c:v>2.9678987339138985E-2</c:v>
                </c:pt>
                <c:pt idx="392">
                  <c:v>2.0414425060153008E-2</c:v>
                </c:pt>
                <c:pt idx="393">
                  <c:v>0.22230054438114166</c:v>
                </c:pt>
                <c:pt idx="394">
                  <c:v>0.1922203004360199</c:v>
                </c:pt>
                <c:pt idx="395">
                  <c:v>0.11746300756931305</c:v>
                </c:pt>
                <c:pt idx="396">
                  <c:v>-0.10224148631095886</c:v>
                </c:pt>
                <c:pt idx="397">
                  <c:v>-0.21541662514209747</c:v>
                </c:pt>
                <c:pt idx="398">
                  <c:v>-9.8453126847743988E-2</c:v>
                </c:pt>
                <c:pt idx="399">
                  <c:v>-0.13628704845905304</c:v>
                </c:pt>
                <c:pt idx="400">
                  <c:v>-4.9228120595216751E-2</c:v>
                </c:pt>
                <c:pt idx="401">
                  <c:v>-2.740643173456192E-2</c:v>
                </c:pt>
                <c:pt idx="402">
                  <c:v>3.0283298343420029E-2</c:v>
                </c:pt>
                <c:pt idx="403">
                  <c:v>-5.0641130656003952E-3</c:v>
                </c:pt>
                <c:pt idx="404">
                  <c:v>-3.8704600185155869E-2</c:v>
                </c:pt>
                <c:pt idx="405">
                  <c:v>4.2405169457197189E-2</c:v>
                </c:pt>
                <c:pt idx="406">
                  <c:v>4.1937988251447678E-2</c:v>
                </c:pt>
                <c:pt idx="407">
                  <c:v>5.7768099941313267E-3</c:v>
                </c:pt>
                <c:pt idx="408">
                  <c:v>-0.3284798264503479</c:v>
                </c:pt>
                <c:pt idx="409">
                  <c:v>-0.49157652258872986</c:v>
                </c:pt>
                <c:pt idx="410">
                  <c:v>-0.12093047052621841</c:v>
                </c:pt>
                <c:pt idx="411">
                  <c:v>0.34464886784553528</c:v>
                </c:pt>
                <c:pt idx="412">
                  <c:v>0.42556968331336975</c:v>
                </c:pt>
                <c:pt idx="413">
                  <c:v>0.10635749995708466</c:v>
                </c:pt>
                <c:pt idx="414">
                  <c:v>0.20038585364818573</c:v>
                </c:pt>
                <c:pt idx="415">
                  <c:v>-0.13597507774829865</c:v>
                </c:pt>
                <c:pt idx="416">
                  <c:v>0.27973487973213196</c:v>
                </c:pt>
                <c:pt idx="417">
                  <c:v>0.34688210487365723</c:v>
                </c:pt>
                <c:pt idx="418">
                  <c:v>0.13663703203201294</c:v>
                </c:pt>
                <c:pt idx="419">
                  <c:v>-3.9242874830961227E-2</c:v>
                </c:pt>
                <c:pt idx="420">
                  <c:v>-4.1908737272024155E-2</c:v>
                </c:pt>
                <c:pt idx="421">
                  <c:v>-0.18777512013912201</c:v>
                </c:pt>
                <c:pt idx="422">
                  <c:v>-0.24278722703456879</c:v>
                </c:pt>
                <c:pt idx="423">
                  <c:v>-0.25154003500938416</c:v>
                </c:pt>
              </c:numCache>
            </c:numRef>
          </c:xVal>
          <c:yVal>
            <c:numRef>
              <c:f>Sheet1!$F$2:$F$569</c:f>
              <c:numCache>
                <c:formatCode>0.00</c:formatCode>
                <c:ptCount val="424"/>
                <c:pt idx="0">
                  <c:v>-1.0719946585595608E-2</c:v>
                </c:pt>
                <c:pt idx="1">
                  <c:v>-1.4814593829214573E-2</c:v>
                </c:pt>
                <c:pt idx="2">
                  <c:v>-1.3328457251191139E-2</c:v>
                </c:pt>
                <c:pt idx="3">
                  <c:v>-9.7012268379330635E-3</c:v>
                </c:pt>
                <c:pt idx="4">
                  <c:v>-5.1962025463581085E-4</c:v>
                </c:pt>
                <c:pt idx="5">
                  <c:v>7.016901858150959E-3</c:v>
                </c:pt>
                <c:pt idx="6">
                  <c:v>1.6778472810983658E-2</c:v>
                </c:pt>
                <c:pt idx="7">
                  <c:v>2.5288468226790428E-2</c:v>
                </c:pt>
                <c:pt idx="8">
                  <c:v>2.3888299241662025E-2</c:v>
                </c:pt>
                <c:pt idx="9">
                  <c:v>3.4271381795406342E-2</c:v>
                </c:pt>
                <c:pt idx="10">
                  <c:v>2.1963572129607201E-2</c:v>
                </c:pt>
                <c:pt idx="11">
                  <c:v>3.7645348347723484E-3</c:v>
                </c:pt>
                <c:pt idx="12">
                  <c:v>-1.9319521263241768E-2</c:v>
                </c:pt>
                <c:pt idx="13">
                  <c:v>-3.3299561589956284E-2</c:v>
                </c:pt>
                <c:pt idx="14">
                  <c:v>-2.3400183767080307E-2</c:v>
                </c:pt>
                <c:pt idx="15">
                  <c:v>-7.8685218468308449E-3</c:v>
                </c:pt>
                <c:pt idx="16">
                  <c:v>-8.503635972738266E-2</c:v>
                </c:pt>
                <c:pt idx="17">
                  <c:v>-7.079971581697464E-2</c:v>
                </c:pt>
                <c:pt idx="18">
                  <c:v>-4.6690039336681366E-2</c:v>
                </c:pt>
                <c:pt idx="19">
                  <c:v>-1.4085416682064533E-2</c:v>
                </c:pt>
                <c:pt idx="20">
                  <c:v>2.9709799215197563E-2</c:v>
                </c:pt>
                <c:pt idx="21">
                  <c:v>5.6193206459283829E-2</c:v>
                </c:pt>
                <c:pt idx="22">
                  <c:v>6.381545215845108E-2</c:v>
                </c:pt>
                <c:pt idx="23">
                  <c:v>6.68930783867836E-2</c:v>
                </c:pt>
                <c:pt idx="24">
                  <c:v>-1.2179574929177761E-2</c:v>
                </c:pt>
                <c:pt idx="25">
                  <c:v>2.4669086560606956E-3</c:v>
                </c:pt>
                <c:pt idx="26">
                  <c:v>3.0306039843708277E-3</c:v>
                </c:pt>
                <c:pt idx="27">
                  <c:v>-3.7996820174157619E-3</c:v>
                </c:pt>
                <c:pt idx="28">
                  <c:v>-1.259269006550312E-2</c:v>
                </c:pt>
                <c:pt idx="29">
                  <c:v>-5.7385219261050224E-3</c:v>
                </c:pt>
                <c:pt idx="30">
                  <c:v>1.2194608338177204E-2</c:v>
                </c:pt>
                <c:pt idx="31">
                  <c:v>1.661834679543972E-2</c:v>
                </c:pt>
                <c:pt idx="32">
                  <c:v>-4.0112309157848358E-2</c:v>
                </c:pt>
                <c:pt idx="33">
                  <c:v>-3.6711074411869049E-2</c:v>
                </c:pt>
                <c:pt idx="34">
                  <c:v>-2.9767775908112526E-2</c:v>
                </c:pt>
                <c:pt idx="35">
                  <c:v>-1.7775153741240501E-2</c:v>
                </c:pt>
                <c:pt idx="36">
                  <c:v>-4.1043628007173538E-3</c:v>
                </c:pt>
                <c:pt idx="37">
                  <c:v>1.5016202814877033E-2</c:v>
                </c:pt>
                <c:pt idx="38">
                  <c:v>4.3205145746469498E-2</c:v>
                </c:pt>
                <c:pt idx="39">
                  <c:v>7.0249326527118683E-2</c:v>
                </c:pt>
                <c:pt idx="40">
                  <c:v>5.7191051542758942E-2</c:v>
                </c:pt>
                <c:pt idx="41">
                  <c:v>7.6113097369670868E-2</c:v>
                </c:pt>
                <c:pt idx="42">
                  <c:v>8.1791587173938751E-2</c:v>
                </c:pt>
                <c:pt idx="43">
                  <c:v>5.5098887532949448E-2</c:v>
                </c:pt>
                <c:pt idx="44">
                  <c:v>1.1421186849474907E-2</c:v>
                </c:pt>
                <c:pt idx="45">
                  <c:v>-5.511036142706871E-2</c:v>
                </c:pt>
                <c:pt idx="46">
                  <c:v>-9.8102949559688568E-2</c:v>
                </c:pt>
                <c:pt idx="47">
                  <c:v>-0.12840250134468079</c:v>
                </c:pt>
                <c:pt idx="48">
                  <c:v>2.483157254755497E-2</c:v>
                </c:pt>
                <c:pt idx="49">
                  <c:v>1.3592950068414211E-2</c:v>
                </c:pt>
                <c:pt idx="50">
                  <c:v>5.1611126400530338E-3</c:v>
                </c:pt>
                <c:pt idx="51">
                  <c:v>-1.7833759775385261E-3</c:v>
                </c:pt>
                <c:pt idx="52">
                  <c:v>-4.524843767285347E-3</c:v>
                </c:pt>
                <c:pt idx="53">
                  <c:v>-6.0549033805727959E-3</c:v>
                </c:pt>
                <c:pt idx="54">
                  <c:v>-1.2685562483966351E-2</c:v>
                </c:pt>
                <c:pt idx="55">
                  <c:v>-1.8536949530243874E-2</c:v>
                </c:pt>
                <c:pt idx="56">
                  <c:v>3.1116395257413387E-3</c:v>
                </c:pt>
                <c:pt idx="57">
                  <c:v>1.2566959485411644E-3</c:v>
                </c:pt>
                <c:pt idx="58">
                  <c:v>-3.442109446041286E-4</c:v>
                </c:pt>
                <c:pt idx="59">
                  <c:v>-4.045968409627676E-3</c:v>
                </c:pt>
                <c:pt idx="60">
                  <c:v>-2.8160978108644485E-3</c:v>
                </c:pt>
                <c:pt idx="61">
                  <c:v>-2.4343880795640871E-5</c:v>
                </c:pt>
                <c:pt idx="62">
                  <c:v>3.638015768956393E-4</c:v>
                </c:pt>
                <c:pt idx="63">
                  <c:v>2.4984839837998152E-3</c:v>
                </c:pt>
                <c:pt idx="64">
                  <c:v>-6.081125233322382E-3</c:v>
                </c:pt>
                <c:pt idx="65">
                  <c:v>-2.027113176882267E-2</c:v>
                </c:pt>
                <c:pt idx="66">
                  <c:v>-3.1445734202861786E-2</c:v>
                </c:pt>
                <c:pt idx="67">
                  <c:v>-2.7035778388381004E-2</c:v>
                </c:pt>
                <c:pt idx="68">
                  <c:v>-9.5731783658266068E-3</c:v>
                </c:pt>
                <c:pt idx="69">
                  <c:v>7.2840796783566475E-3</c:v>
                </c:pt>
                <c:pt idx="70">
                  <c:v>2.999630942940712E-2</c:v>
                </c:pt>
                <c:pt idx="71">
                  <c:v>5.7126559317111969E-2</c:v>
                </c:pt>
                <c:pt idx="72">
                  <c:v>3.9731569588184357E-2</c:v>
                </c:pt>
                <c:pt idx="73">
                  <c:v>3.5008929669857025E-2</c:v>
                </c:pt>
                <c:pt idx="74">
                  <c:v>2.499089203774929E-2</c:v>
                </c:pt>
                <c:pt idx="75">
                  <c:v>-1.2611419151653536E-5</c:v>
                </c:pt>
                <c:pt idx="76">
                  <c:v>-1.9237147644162178E-2</c:v>
                </c:pt>
                <c:pt idx="77">
                  <c:v>-1.9219394773244858E-2</c:v>
                </c:pt>
                <c:pt idx="78">
                  <c:v>-2.8970714658498764E-2</c:v>
                </c:pt>
                <c:pt idx="79">
                  <c:v>-3.2291524112224579E-2</c:v>
                </c:pt>
                <c:pt idx="80">
                  <c:v>-5.8538787066936493E-2</c:v>
                </c:pt>
                <c:pt idx="81">
                  <c:v>-4.5164741575717926E-2</c:v>
                </c:pt>
                <c:pt idx="82">
                  <c:v>-1.8838489428162575E-2</c:v>
                </c:pt>
                <c:pt idx="83">
                  <c:v>-3.651296254247427E-3</c:v>
                </c:pt>
                <c:pt idx="84">
                  <c:v>9.3931686133146286E-3</c:v>
                </c:pt>
                <c:pt idx="85">
                  <c:v>2.2765938192605972E-2</c:v>
                </c:pt>
                <c:pt idx="86">
                  <c:v>4.0121857076883316E-2</c:v>
                </c:pt>
                <c:pt idx="87">
                  <c:v>5.3912349045276642E-2</c:v>
                </c:pt>
                <c:pt idx="88">
                  <c:v>-4.4891111552715302E-2</c:v>
                </c:pt>
                <c:pt idx="89">
                  <c:v>-3.098706342279911E-2</c:v>
                </c:pt>
                <c:pt idx="90">
                  <c:v>-7.8930500894784927E-3</c:v>
                </c:pt>
                <c:pt idx="91">
                  <c:v>-3.7496439181268215E-3</c:v>
                </c:pt>
                <c:pt idx="92">
                  <c:v>4.5705568045377731E-3</c:v>
                </c:pt>
                <c:pt idx="93">
                  <c:v>1.6671840101480484E-2</c:v>
                </c:pt>
                <c:pt idx="94">
                  <c:v>3.0934754759073257E-2</c:v>
                </c:pt>
                <c:pt idx="95">
                  <c:v>3.53437140583992E-2</c:v>
                </c:pt>
                <c:pt idx="96">
                  <c:v>-4.0287815034389496E-2</c:v>
                </c:pt>
                <c:pt idx="97">
                  <c:v>-1.2733587063848972E-2</c:v>
                </c:pt>
                <c:pt idx="98">
                  <c:v>1.2721246108412743E-2</c:v>
                </c:pt>
                <c:pt idx="99">
                  <c:v>2.3414963856339455E-2</c:v>
                </c:pt>
                <c:pt idx="100">
                  <c:v>8.8441204279661179E-3</c:v>
                </c:pt>
                <c:pt idx="101">
                  <c:v>2.7945982292294502E-3</c:v>
                </c:pt>
                <c:pt idx="102">
                  <c:v>8.636091835796833E-3</c:v>
                </c:pt>
                <c:pt idx="103">
                  <c:v>-3.3896204549819231E-3</c:v>
                </c:pt>
                <c:pt idx="104">
                  <c:v>-6.5188787877559662E-2</c:v>
                </c:pt>
                <c:pt idx="105">
                  <c:v>-5.3575702011585236E-2</c:v>
                </c:pt>
                <c:pt idx="106">
                  <c:v>-2.2457951679825783E-2</c:v>
                </c:pt>
                <c:pt idx="107">
                  <c:v>7.5054713524878025E-3</c:v>
                </c:pt>
                <c:pt idx="108">
                  <c:v>2.2004289552569389E-2</c:v>
                </c:pt>
                <c:pt idx="109">
                  <c:v>2.7174267917871475E-2</c:v>
                </c:pt>
                <c:pt idx="110">
                  <c:v>3.9757762104272842E-2</c:v>
                </c:pt>
                <c:pt idx="111">
                  <c:v>4.4780649244785309E-2</c:v>
                </c:pt>
                <c:pt idx="112">
                  <c:v>1.9385585561394691E-2</c:v>
                </c:pt>
                <c:pt idx="113">
                  <c:v>2.1269043907523155E-2</c:v>
                </c:pt>
                <c:pt idx="114">
                  <c:v>2.7775799855589867E-2</c:v>
                </c:pt>
                <c:pt idx="115">
                  <c:v>3.3666577190160751E-2</c:v>
                </c:pt>
                <c:pt idx="116">
                  <c:v>2.5165392085909843E-2</c:v>
                </c:pt>
                <c:pt idx="117">
                  <c:v>-7.5102401897311211E-3</c:v>
                </c:pt>
                <c:pt idx="118">
                  <c:v>-4.1966494172811508E-2</c:v>
                </c:pt>
                <c:pt idx="119">
                  <c:v>-7.7785663306713104E-2</c:v>
                </c:pt>
                <c:pt idx="120">
                  <c:v>6.5049894154071808E-2</c:v>
                </c:pt>
                <c:pt idx="121">
                  <c:v>6.4961157739162445E-2</c:v>
                </c:pt>
                <c:pt idx="122">
                  <c:v>5.5223263800144196E-2</c:v>
                </c:pt>
                <c:pt idx="123">
                  <c:v>3.2391276210546494E-2</c:v>
                </c:pt>
                <c:pt idx="124">
                  <c:v>1.9517671316862106E-3</c:v>
                </c:pt>
                <c:pt idx="125">
                  <c:v>-4.5502956956624985E-2</c:v>
                </c:pt>
                <c:pt idx="126">
                  <c:v>-7.8182987868785858E-2</c:v>
                </c:pt>
                <c:pt idx="127">
                  <c:v>-9.5891408622264862E-2</c:v>
                </c:pt>
                <c:pt idx="128">
                  <c:v>-1.8667192198336124E-3</c:v>
                </c:pt>
                <c:pt idx="129">
                  <c:v>-3.0545661225914955E-2</c:v>
                </c:pt>
                <c:pt idx="130">
                  <c:v>-6.3529126346111298E-2</c:v>
                </c:pt>
                <c:pt idx="131">
                  <c:v>-6.3051886856555939E-2</c:v>
                </c:pt>
                <c:pt idx="132">
                  <c:v>-2.8319912031292915E-2</c:v>
                </c:pt>
                <c:pt idx="133">
                  <c:v>4.2141471058130264E-2</c:v>
                </c:pt>
                <c:pt idx="134">
                  <c:v>7.3672331869602203E-2</c:v>
                </c:pt>
                <c:pt idx="135">
                  <c:v>7.1499504148960114E-2</c:v>
                </c:pt>
                <c:pt idx="136">
                  <c:v>-4.8344992101192474E-2</c:v>
                </c:pt>
                <c:pt idx="137">
                  <c:v>-2.4443337693810463E-2</c:v>
                </c:pt>
                <c:pt idx="138">
                  <c:v>-5.7893930934369564E-3</c:v>
                </c:pt>
                <c:pt idx="139">
                  <c:v>2.0132609643042088E-3</c:v>
                </c:pt>
                <c:pt idx="140">
                  <c:v>5.6363772600889206E-3</c:v>
                </c:pt>
                <c:pt idx="141">
                  <c:v>1.1118446476757526E-2</c:v>
                </c:pt>
                <c:pt idx="142">
                  <c:v>2.0216260105371475E-2</c:v>
                </c:pt>
                <c:pt idx="143">
                  <c:v>3.9593376219272614E-2</c:v>
                </c:pt>
                <c:pt idx="144">
                  <c:v>9.7854817286133766E-3</c:v>
                </c:pt>
                <c:pt idx="145">
                  <c:v>-7.6234126463532448E-3</c:v>
                </c:pt>
                <c:pt idx="146">
                  <c:v>-1.5311622992157936E-2</c:v>
                </c:pt>
                <c:pt idx="147">
                  <c:v>-2.0087694749236107E-2</c:v>
                </c:pt>
                <c:pt idx="148">
                  <c:v>-8.796321228146553E-3</c:v>
                </c:pt>
                <c:pt idx="149">
                  <c:v>1.307940948754549E-2</c:v>
                </c:pt>
                <c:pt idx="150">
                  <c:v>1.6005281358957291E-2</c:v>
                </c:pt>
                <c:pt idx="151">
                  <c:v>1.2948877178132534E-2</c:v>
                </c:pt>
                <c:pt idx="152">
                  <c:v>1.8051603808999062E-2</c:v>
                </c:pt>
                <c:pt idx="153">
                  <c:v>1.092927809804678E-2</c:v>
                </c:pt>
                <c:pt idx="154">
                  <c:v>1.4653264079242945E-3</c:v>
                </c:pt>
                <c:pt idx="155">
                  <c:v>-1.2647693045437336E-2</c:v>
                </c:pt>
                <c:pt idx="156">
                  <c:v>-1.186557300388813E-2</c:v>
                </c:pt>
                <c:pt idx="157">
                  <c:v>2.4401294067502022E-3</c:v>
                </c:pt>
                <c:pt idx="158">
                  <c:v>-2.0035160705447197E-3</c:v>
                </c:pt>
                <c:pt idx="159">
                  <c:v>-6.3695544376969337E-3</c:v>
                </c:pt>
                <c:pt idx="160">
                  <c:v>-3.1920872628688812E-2</c:v>
                </c:pt>
                <c:pt idx="161">
                  <c:v>-2.3312652483582497E-3</c:v>
                </c:pt>
                <c:pt idx="162">
                  <c:v>-5.5688031716272235E-4</c:v>
                </c:pt>
                <c:pt idx="163">
                  <c:v>-3.9916089735925198E-3</c:v>
                </c:pt>
                <c:pt idx="164">
                  <c:v>1.5416009351611137E-2</c:v>
                </c:pt>
                <c:pt idx="165">
                  <c:v>3.2368157058954239E-2</c:v>
                </c:pt>
                <c:pt idx="166">
                  <c:v>4.4316994026303291E-3</c:v>
                </c:pt>
                <c:pt idx="167">
                  <c:v>-1.3415240682661533E-2</c:v>
                </c:pt>
                <c:pt idx="168">
                  <c:v>-2.8360893949866295E-2</c:v>
                </c:pt>
                <c:pt idx="169">
                  <c:v>-2.3474792018532753E-2</c:v>
                </c:pt>
                <c:pt idx="170">
                  <c:v>-1.662757433950901E-2</c:v>
                </c:pt>
                <c:pt idx="171">
                  <c:v>-5.5004111491143703E-3</c:v>
                </c:pt>
                <c:pt idx="172">
                  <c:v>4.3764244765043259E-3</c:v>
                </c:pt>
                <c:pt idx="173">
                  <c:v>1.3914708979427814E-2</c:v>
                </c:pt>
                <c:pt idx="174">
                  <c:v>2.5597456842660904E-2</c:v>
                </c:pt>
                <c:pt idx="175">
                  <c:v>3.0075078830122948E-2</c:v>
                </c:pt>
                <c:pt idx="176">
                  <c:v>-1.0870895348489285E-2</c:v>
                </c:pt>
                <c:pt idx="177">
                  <c:v>-1.7173061147332191E-2</c:v>
                </c:pt>
                <c:pt idx="178">
                  <c:v>-2.7592116966843605E-2</c:v>
                </c:pt>
                <c:pt idx="179">
                  <c:v>-2.8253084048628807E-2</c:v>
                </c:pt>
                <c:pt idx="180">
                  <c:v>-7.7701974660158157E-3</c:v>
                </c:pt>
                <c:pt idx="181">
                  <c:v>1.739189401268959E-2</c:v>
                </c:pt>
                <c:pt idx="182">
                  <c:v>4.3002579361200333E-2</c:v>
                </c:pt>
                <c:pt idx="183">
                  <c:v>3.1264878809452057E-2</c:v>
                </c:pt>
                <c:pt idx="184">
                  <c:v>-5.0382227636873722E-3</c:v>
                </c:pt>
                <c:pt idx="185">
                  <c:v>-5.3415382280945778E-3</c:v>
                </c:pt>
                <c:pt idx="186">
                  <c:v>-5.7870685122907162E-3</c:v>
                </c:pt>
                <c:pt idx="187">
                  <c:v>-6.2248758040368557E-3</c:v>
                </c:pt>
                <c:pt idx="188">
                  <c:v>-3.1246434082277119E-4</c:v>
                </c:pt>
                <c:pt idx="189">
                  <c:v>3.2024132087826729E-3</c:v>
                </c:pt>
                <c:pt idx="190">
                  <c:v>6.8058716133236885E-3</c:v>
                </c:pt>
                <c:pt idx="191">
                  <c:v>1.2695885263383389E-2</c:v>
                </c:pt>
                <c:pt idx="192">
                  <c:v>1.0260322131216526E-2</c:v>
                </c:pt>
                <c:pt idx="193">
                  <c:v>6.7340647801756859E-3</c:v>
                </c:pt>
                <c:pt idx="194">
                  <c:v>1.7493253573775291E-2</c:v>
                </c:pt>
                <c:pt idx="195">
                  <c:v>2.6825601235032082E-2</c:v>
                </c:pt>
                <c:pt idx="196">
                  <c:v>1.6251368448138237E-2</c:v>
                </c:pt>
                <c:pt idx="197">
                  <c:v>-6.2926663085818291E-3</c:v>
                </c:pt>
                <c:pt idx="198">
                  <c:v>-2.6433315128087997E-2</c:v>
                </c:pt>
                <c:pt idx="199">
                  <c:v>-4.483862966299057E-2</c:v>
                </c:pt>
                <c:pt idx="200">
                  <c:v>-8.4831630811095238E-3</c:v>
                </c:pt>
                <c:pt idx="201">
                  <c:v>-7.3440456762909889E-3</c:v>
                </c:pt>
                <c:pt idx="202">
                  <c:v>-8.9456681162118912E-3</c:v>
                </c:pt>
                <c:pt idx="203">
                  <c:v>-1.7054429044947028E-3</c:v>
                </c:pt>
                <c:pt idx="204">
                  <c:v>-6.2042940407991409E-3</c:v>
                </c:pt>
                <c:pt idx="205">
                  <c:v>1.7516063526272774E-3</c:v>
                </c:pt>
                <c:pt idx="206">
                  <c:v>1.523322332650423E-2</c:v>
                </c:pt>
                <c:pt idx="207">
                  <c:v>1.56977828592062E-2</c:v>
                </c:pt>
                <c:pt idx="208">
                  <c:v>-6.8283588625490665E-3</c:v>
                </c:pt>
                <c:pt idx="209">
                  <c:v>-2.4521449580788612E-2</c:v>
                </c:pt>
                <c:pt idx="210">
                  <c:v>-3.8353703916072845E-2</c:v>
                </c:pt>
                <c:pt idx="211">
                  <c:v>-3.1184053048491478E-2</c:v>
                </c:pt>
                <c:pt idx="212">
                  <c:v>-1.0875212028622627E-2</c:v>
                </c:pt>
                <c:pt idx="213">
                  <c:v>1.602661982178688E-2</c:v>
                </c:pt>
                <c:pt idx="214">
                  <c:v>4.2840365320444107E-2</c:v>
                </c:pt>
                <c:pt idx="215">
                  <c:v>5.2895791828632355E-2</c:v>
                </c:pt>
                <c:pt idx="216">
                  <c:v>-2.8517743572592735E-2</c:v>
                </c:pt>
                <c:pt idx="217">
                  <c:v>-3.9530821144580841E-2</c:v>
                </c:pt>
                <c:pt idx="218">
                  <c:v>-5.2517645061016083E-2</c:v>
                </c:pt>
                <c:pt idx="219">
                  <c:v>-3.4167591482400894E-2</c:v>
                </c:pt>
                <c:pt idx="220">
                  <c:v>5.0595235079526901E-3</c:v>
                </c:pt>
                <c:pt idx="221">
                  <c:v>5.3541336208581924E-2</c:v>
                </c:pt>
                <c:pt idx="222">
                  <c:v>6.1327610164880753E-2</c:v>
                </c:pt>
                <c:pt idx="223">
                  <c:v>3.4805335104465485E-2</c:v>
                </c:pt>
                <c:pt idx="224">
                  <c:v>1.3230958022177219E-2</c:v>
                </c:pt>
                <c:pt idx="225">
                  <c:v>1.2593857012689114E-2</c:v>
                </c:pt>
                <c:pt idx="226">
                  <c:v>1.4031117781996727E-2</c:v>
                </c:pt>
                <c:pt idx="227">
                  <c:v>6.199235562235117E-3</c:v>
                </c:pt>
                <c:pt idx="228">
                  <c:v>-5.9609580785036087E-3</c:v>
                </c:pt>
                <c:pt idx="229">
                  <c:v>-1.0748530738055706E-2</c:v>
                </c:pt>
                <c:pt idx="230">
                  <c:v>-1.1829043738543987E-2</c:v>
                </c:pt>
                <c:pt idx="231">
                  <c:v>-1.7516637220978737E-2</c:v>
                </c:pt>
                <c:pt idx="232">
                  <c:v>3.5255737602710724E-2</c:v>
                </c:pt>
                <c:pt idx="233">
                  <c:v>2.155282162129879E-2</c:v>
                </c:pt>
                <c:pt idx="234">
                  <c:v>9.1913696378469467E-3</c:v>
                </c:pt>
                <c:pt idx="235">
                  <c:v>-9.8655128385871649E-4</c:v>
                </c:pt>
                <c:pt idx="236">
                  <c:v>-8.9872945100069046E-3</c:v>
                </c:pt>
                <c:pt idx="237">
                  <c:v>-1.5874858945608139E-2</c:v>
                </c:pt>
                <c:pt idx="238">
                  <c:v>-1.9865509122610092E-2</c:v>
                </c:pt>
                <c:pt idx="239">
                  <c:v>-2.0285720005631447E-2</c:v>
                </c:pt>
                <c:pt idx="240">
                  <c:v>-2.9395928606390953E-2</c:v>
                </c:pt>
                <c:pt idx="241">
                  <c:v>2.1155829017516226E-4</c:v>
                </c:pt>
                <c:pt idx="242">
                  <c:v>2.0076392684131861E-3</c:v>
                </c:pt>
                <c:pt idx="243">
                  <c:v>-1.2534056790173054E-2</c:v>
                </c:pt>
                <c:pt idx="244">
                  <c:v>-9.4373691827058792E-3</c:v>
                </c:pt>
                <c:pt idx="245">
                  <c:v>3.8519548252224922E-3</c:v>
                </c:pt>
                <c:pt idx="246">
                  <c:v>5.5211232975125313E-3</c:v>
                </c:pt>
                <c:pt idx="247">
                  <c:v>3.9775080978870392E-2</c:v>
                </c:pt>
                <c:pt idx="248">
                  <c:v>-2.4515291675925255E-2</c:v>
                </c:pt>
                <c:pt idx="249">
                  <c:v>-1.5564628876745701E-2</c:v>
                </c:pt>
                <c:pt idx="250">
                  <c:v>-4.7718225978314877E-3</c:v>
                </c:pt>
                <c:pt idx="251">
                  <c:v>4.1509219445288181E-3</c:v>
                </c:pt>
                <c:pt idx="252">
                  <c:v>8.0801676958799362E-3</c:v>
                </c:pt>
                <c:pt idx="253">
                  <c:v>7.2224484756588936E-3</c:v>
                </c:pt>
                <c:pt idx="254">
                  <c:v>1.0825906880199909E-2</c:v>
                </c:pt>
                <c:pt idx="255">
                  <c:v>1.4572299085557461E-2</c:v>
                </c:pt>
                <c:pt idx="256">
                  <c:v>3.636787086725235E-2</c:v>
                </c:pt>
                <c:pt idx="257">
                  <c:v>2.073233388364315E-2</c:v>
                </c:pt>
                <c:pt idx="258">
                  <c:v>5.8472217060625553E-3</c:v>
                </c:pt>
                <c:pt idx="259">
                  <c:v>-4.0381602011620998E-3</c:v>
                </c:pt>
                <c:pt idx="260">
                  <c:v>-8.4445048123598099E-3</c:v>
                </c:pt>
                <c:pt idx="261">
                  <c:v>-1.2954558245837688E-2</c:v>
                </c:pt>
                <c:pt idx="262">
                  <c:v>-1.6850318759679794E-2</c:v>
                </c:pt>
                <c:pt idx="263">
                  <c:v>-2.0659888163208961E-2</c:v>
                </c:pt>
                <c:pt idx="264">
                  <c:v>4.7358937561511993E-2</c:v>
                </c:pt>
                <c:pt idx="265">
                  <c:v>3.8337849080562592E-2</c:v>
                </c:pt>
                <c:pt idx="266">
                  <c:v>1.8686508759856224E-2</c:v>
                </c:pt>
                <c:pt idx="267">
                  <c:v>-4.3641082011163235E-3</c:v>
                </c:pt>
                <c:pt idx="268">
                  <c:v>-1.1061178520321846E-2</c:v>
                </c:pt>
                <c:pt idx="269">
                  <c:v>-1.4546985737979412E-2</c:v>
                </c:pt>
                <c:pt idx="270">
                  <c:v>-2.3452397435903549E-2</c:v>
                </c:pt>
                <c:pt idx="271">
                  <c:v>-5.0958625972270966E-2</c:v>
                </c:pt>
                <c:pt idx="272">
                  <c:v>8.0396318808197975E-3</c:v>
                </c:pt>
                <c:pt idx="273">
                  <c:v>-7.816636934876442E-4</c:v>
                </c:pt>
                <c:pt idx="274">
                  <c:v>-3.1557620968669653E-3</c:v>
                </c:pt>
                <c:pt idx="275">
                  <c:v>-3.3384612761437893E-3</c:v>
                </c:pt>
                <c:pt idx="276">
                  <c:v>1.3911556452512741E-3</c:v>
                </c:pt>
                <c:pt idx="277">
                  <c:v>-1.6159070655703545E-3</c:v>
                </c:pt>
                <c:pt idx="278">
                  <c:v>-7.6332228491082788E-4</c:v>
                </c:pt>
                <c:pt idx="279">
                  <c:v>2.243283815914765E-4</c:v>
                </c:pt>
                <c:pt idx="280">
                  <c:v>5.3778357803821564E-2</c:v>
                </c:pt>
                <c:pt idx="281">
                  <c:v>3.5995624959468842E-2</c:v>
                </c:pt>
                <c:pt idx="282">
                  <c:v>1.8021797761321068E-2</c:v>
                </c:pt>
                <c:pt idx="283">
                  <c:v>6.4840406412258744E-4</c:v>
                </c:pt>
                <c:pt idx="284">
                  <c:v>-1.1952625587582588E-2</c:v>
                </c:pt>
                <c:pt idx="285">
                  <c:v>-2.346169576048851E-2</c:v>
                </c:pt>
                <c:pt idx="286">
                  <c:v>-3.3715125173330307E-2</c:v>
                </c:pt>
                <c:pt idx="287">
                  <c:v>-3.9314739406108856E-2</c:v>
                </c:pt>
                <c:pt idx="288">
                  <c:v>-3.382773429621011E-4</c:v>
                </c:pt>
                <c:pt idx="289">
                  <c:v>-2.2561082616448402E-2</c:v>
                </c:pt>
                <c:pt idx="290">
                  <c:v>-2.2958690300583839E-2</c:v>
                </c:pt>
                <c:pt idx="291">
                  <c:v>-1.1085753329098225E-2</c:v>
                </c:pt>
                <c:pt idx="292">
                  <c:v>1.9100736826658249E-3</c:v>
                </c:pt>
                <c:pt idx="293">
                  <c:v>-2.7945174952037632E-4</c:v>
                </c:pt>
                <c:pt idx="294">
                  <c:v>1.8139097839593887E-2</c:v>
                </c:pt>
                <c:pt idx="295">
                  <c:v>3.7174083292484283E-2</c:v>
                </c:pt>
                <c:pt idx="296">
                  <c:v>-4.1302017867565155E-2</c:v>
                </c:pt>
                <c:pt idx="297">
                  <c:v>-3.2296754419803619E-2</c:v>
                </c:pt>
                <c:pt idx="298">
                  <c:v>-1.3029122725129128E-2</c:v>
                </c:pt>
                <c:pt idx="299">
                  <c:v>2.7640247717499733E-2</c:v>
                </c:pt>
                <c:pt idx="300">
                  <c:v>-1.7688143998384476E-3</c:v>
                </c:pt>
                <c:pt idx="301">
                  <c:v>3.796862147282809E-4</c:v>
                </c:pt>
                <c:pt idx="302">
                  <c:v>1.5156631357967854E-2</c:v>
                </c:pt>
                <c:pt idx="303">
                  <c:v>4.5220144093036652E-2</c:v>
                </c:pt>
                <c:pt idx="304">
                  <c:v>-1.3427159748971462E-2</c:v>
                </c:pt>
                <c:pt idx="305">
                  <c:v>-8.5992300882935524E-3</c:v>
                </c:pt>
                <c:pt idx="306">
                  <c:v>-4.7300993464887142E-3</c:v>
                </c:pt>
                <c:pt idx="307">
                  <c:v>-4.4791153632104397E-3</c:v>
                </c:pt>
                <c:pt idx="308">
                  <c:v>-7.4680335819721222E-4</c:v>
                </c:pt>
                <c:pt idx="309">
                  <c:v>2.7535306289792061E-3</c:v>
                </c:pt>
                <c:pt idx="310">
                  <c:v>1.1326824314892292E-2</c:v>
                </c:pt>
                <c:pt idx="311">
                  <c:v>1.7902052029967308E-2</c:v>
                </c:pt>
                <c:pt idx="312">
                  <c:v>5.5694468319416046E-2</c:v>
                </c:pt>
                <c:pt idx="313">
                  <c:v>4.613717645406723E-2</c:v>
                </c:pt>
                <c:pt idx="314">
                  <c:v>3.1928218901157379E-2</c:v>
                </c:pt>
                <c:pt idx="315">
                  <c:v>7.0234187878668308E-3</c:v>
                </c:pt>
                <c:pt idx="316">
                  <c:v>-2.0937727764248848E-2</c:v>
                </c:pt>
                <c:pt idx="317">
                  <c:v>-3.6258157342672348E-2</c:v>
                </c:pt>
                <c:pt idx="318">
                  <c:v>-4.0411647409200668E-2</c:v>
                </c:pt>
                <c:pt idx="319">
                  <c:v>-4.3175749480724335E-2</c:v>
                </c:pt>
                <c:pt idx="320">
                  <c:v>2.9853442683815956E-2</c:v>
                </c:pt>
                <c:pt idx="321">
                  <c:v>2.2935202345252037E-2</c:v>
                </c:pt>
                <c:pt idx="322">
                  <c:v>9.4460304826498032E-3</c:v>
                </c:pt>
                <c:pt idx="323">
                  <c:v>-1.8732001772150397E-3</c:v>
                </c:pt>
                <c:pt idx="324">
                  <c:v>-6.1021614819765091E-3</c:v>
                </c:pt>
                <c:pt idx="325">
                  <c:v>-1.1330808512866497E-2</c:v>
                </c:pt>
                <c:pt idx="326">
                  <c:v>-1.809784397482872E-2</c:v>
                </c:pt>
                <c:pt idx="327">
                  <c:v>-2.4830663576722145E-2</c:v>
                </c:pt>
                <c:pt idx="328">
                  <c:v>-4.7046147286891937E-2</c:v>
                </c:pt>
                <c:pt idx="329">
                  <c:v>-2.7746686711907387E-2</c:v>
                </c:pt>
                <c:pt idx="330">
                  <c:v>-2.2467912640422583E-3</c:v>
                </c:pt>
                <c:pt idx="331">
                  <c:v>4.9053903669118881E-2</c:v>
                </c:pt>
                <c:pt idx="332">
                  <c:v>2.1227939054369926E-2</c:v>
                </c:pt>
                <c:pt idx="333">
                  <c:v>4.8410641029477119E-3</c:v>
                </c:pt>
                <c:pt idx="334">
                  <c:v>7.7569233253598213E-3</c:v>
                </c:pt>
                <c:pt idx="335">
                  <c:v>-5.8402055874466896E-3</c:v>
                </c:pt>
                <c:pt idx="336">
                  <c:v>2.0575353875756264E-2</c:v>
                </c:pt>
                <c:pt idx="337">
                  <c:v>1.2850305996835232E-2</c:v>
                </c:pt>
                <c:pt idx="338">
                  <c:v>5.8616162277758121E-3</c:v>
                </c:pt>
                <c:pt idx="339">
                  <c:v>2.3522623814642429E-3</c:v>
                </c:pt>
                <c:pt idx="340">
                  <c:v>-2.566920593380928E-3</c:v>
                </c:pt>
                <c:pt idx="341">
                  <c:v>-9.5806075260043144E-3</c:v>
                </c:pt>
                <c:pt idx="342">
                  <c:v>-1.2408013455569744E-2</c:v>
                </c:pt>
                <c:pt idx="343">
                  <c:v>-1.7083996906876564E-2</c:v>
                </c:pt>
                <c:pt idx="344">
                  <c:v>7.5132377445697784E-2</c:v>
                </c:pt>
                <c:pt idx="345">
                  <c:v>5.2769862115383148E-2</c:v>
                </c:pt>
                <c:pt idx="346">
                  <c:v>2.908853255212307E-2</c:v>
                </c:pt>
                <c:pt idx="347">
                  <c:v>2.8874524869024754E-3</c:v>
                </c:pt>
                <c:pt idx="348">
                  <c:v>-2.2110151126980782E-2</c:v>
                </c:pt>
                <c:pt idx="349">
                  <c:v>-3.4610088914632797E-2</c:v>
                </c:pt>
                <c:pt idx="350">
                  <c:v>-4.6345528215169907E-2</c:v>
                </c:pt>
                <c:pt idx="351">
                  <c:v>-5.6812457740306854E-2</c:v>
                </c:pt>
                <c:pt idx="352">
                  <c:v>-0.11259590834379196</c:v>
                </c:pt>
                <c:pt idx="353">
                  <c:v>-8.4162868559360504E-2</c:v>
                </c:pt>
                <c:pt idx="354">
                  <c:v>-4.804142564535141E-2</c:v>
                </c:pt>
                <c:pt idx="355">
                  <c:v>1.382912159897387E-3</c:v>
                </c:pt>
                <c:pt idx="356">
                  <c:v>4.5330952852964401E-2</c:v>
                </c:pt>
                <c:pt idx="357">
                  <c:v>4.9798551946878433E-2</c:v>
                </c:pt>
                <c:pt idx="358">
                  <c:v>6.8530865013599396E-2</c:v>
                </c:pt>
                <c:pt idx="359">
                  <c:v>7.9756923019886017E-2</c:v>
                </c:pt>
                <c:pt idx="360">
                  <c:v>1.3504314119927585E-4</c:v>
                </c:pt>
                <c:pt idx="361">
                  <c:v>-5.0801876932382584E-4</c:v>
                </c:pt>
                <c:pt idx="362">
                  <c:v>-2.1306218113750219E-3</c:v>
                </c:pt>
                <c:pt idx="363">
                  <c:v>-4.9536498408997431E-5</c:v>
                </c:pt>
                <c:pt idx="364">
                  <c:v>5.4086875170469284E-3</c:v>
                </c:pt>
                <c:pt idx="365">
                  <c:v>4.5461999252438545E-3</c:v>
                </c:pt>
                <c:pt idx="366">
                  <c:v>-2.0595923706423491E-4</c:v>
                </c:pt>
                <c:pt idx="367">
                  <c:v>-7.1957940235733986E-3</c:v>
                </c:pt>
                <c:pt idx="368">
                  <c:v>8.8277764618396759E-2</c:v>
                </c:pt>
                <c:pt idx="369">
                  <c:v>8.0649517476558685E-2</c:v>
                </c:pt>
                <c:pt idx="370">
                  <c:v>6.4856745302677155E-2</c:v>
                </c:pt>
                <c:pt idx="371">
                  <c:v>2.8640890493988991E-2</c:v>
                </c:pt>
                <c:pt idx="372">
                  <c:v>-1.1548982933163643E-2</c:v>
                </c:pt>
                <c:pt idx="373">
                  <c:v>-4.9645300954580307E-2</c:v>
                </c:pt>
                <c:pt idx="374">
                  <c:v>-8.4637276828289032E-2</c:v>
                </c:pt>
                <c:pt idx="375">
                  <c:v>-0.11659335345029831</c:v>
                </c:pt>
                <c:pt idx="376">
                  <c:v>-9.4405924901366234E-3</c:v>
                </c:pt>
                <c:pt idx="377">
                  <c:v>-8.2366252318024635E-3</c:v>
                </c:pt>
                <c:pt idx="378">
                  <c:v>-2.3416662588715553E-2</c:v>
                </c:pt>
                <c:pt idx="379">
                  <c:v>-3.2313559204339981E-2</c:v>
                </c:pt>
                <c:pt idx="380">
                  <c:v>-7.0108044892549515E-3</c:v>
                </c:pt>
                <c:pt idx="381">
                  <c:v>1.488757599145174E-2</c:v>
                </c:pt>
                <c:pt idx="382">
                  <c:v>2.7647498995065689E-2</c:v>
                </c:pt>
                <c:pt idx="383">
                  <c:v>3.7883169949054718E-2</c:v>
                </c:pt>
                <c:pt idx="384">
                  <c:v>-7.1665854193270206E-3</c:v>
                </c:pt>
                <c:pt idx="385">
                  <c:v>-6.742485798895359E-3</c:v>
                </c:pt>
                <c:pt idx="386">
                  <c:v>-5.6442557834088802E-3</c:v>
                </c:pt>
                <c:pt idx="387">
                  <c:v>-7.3270848952233791E-3</c:v>
                </c:pt>
                <c:pt idx="388">
                  <c:v>-2.8556752949953079E-3</c:v>
                </c:pt>
                <c:pt idx="389">
                  <c:v>2.7014957740902901E-3</c:v>
                </c:pt>
                <c:pt idx="390">
                  <c:v>9.970162995159626E-3</c:v>
                </c:pt>
                <c:pt idx="391">
                  <c:v>1.7064427956938744E-2</c:v>
                </c:pt>
                <c:pt idx="392">
                  <c:v>6.55389204621315E-2</c:v>
                </c:pt>
                <c:pt idx="393">
                  <c:v>4.9403421580791473E-2</c:v>
                </c:pt>
                <c:pt idx="394">
                  <c:v>3.2428808510303497E-2</c:v>
                </c:pt>
                <c:pt idx="395">
                  <c:v>1.4665598981082439E-2</c:v>
                </c:pt>
                <c:pt idx="396">
                  <c:v>-2.7603078633546829E-3</c:v>
                </c:pt>
                <c:pt idx="397">
                  <c:v>-3.059866651892662E-2</c:v>
                </c:pt>
                <c:pt idx="398">
                  <c:v>-5.5535580962896347E-2</c:v>
                </c:pt>
                <c:pt idx="399">
                  <c:v>-7.3142193257808685E-2</c:v>
                </c:pt>
                <c:pt idx="400">
                  <c:v>4.381183534860611E-2</c:v>
                </c:pt>
                <c:pt idx="401">
                  <c:v>3.0119648203253746E-2</c:v>
                </c:pt>
                <c:pt idx="402">
                  <c:v>1.7000501975417137E-2</c:v>
                </c:pt>
                <c:pt idx="403">
                  <c:v>3.7336298264563084E-3</c:v>
                </c:pt>
                <c:pt idx="404">
                  <c:v>-7.805483415722847E-3</c:v>
                </c:pt>
                <c:pt idx="405">
                  <c:v>-2.2170331329107285E-2</c:v>
                </c:pt>
                <c:pt idx="406">
                  <c:v>-3.1387593597173691E-2</c:v>
                </c:pt>
                <c:pt idx="407">
                  <c:v>-3.330221027135849E-2</c:v>
                </c:pt>
                <c:pt idx="408">
                  <c:v>3.4039415419101715E-2</c:v>
                </c:pt>
                <c:pt idx="409">
                  <c:v>1.8955579027533531E-2</c:v>
                </c:pt>
                <c:pt idx="410">
                  <c:v>-7.1073113940656185E-3</c:v>
                </c:pt>
                <c:pt idx="411">
                  <c:v>-1.1883382685482502E-2</c:v>
                </c:pt>
                <c:pt idx="412">
                  <c:v>-1.1726396158337593E-2</c:v>
                </c:pt>
                <c:pt idx="413">
                  <c:v>-1.1077071540057659E-2</c:v>
                </c:pt>
                <c:pt idx="414">
                  <c:v>-7.4736131355166435E-3</c:v>
                </c:pt>
                <c:pt idx="415">
                  <c:v>-3.7272211629897356E-3</c:v>
                </c:pt>
                <c:pt idx="416">
                  <c:v>-5.5225701071321964E-3</c:v>
                </c:pt>
                <c:pt idx="417">
                  <c:v>-2.5709951296448708E-3</c:v>
                </c:pt>
                <c:pt idx="418">
                  <c:v>3.0741153750568628E-3</c:v>
                </c:pt>
                <c:pt idx="419">
                  <c:v>-1.7019560327753425E-3</c:v>
                </c:pt>
                <c:pt idx="420">
                  <c:v>-1.5449691563844681E-3</c:v>
                </c:pt>
                <c:pt idx="421">
                  <c:v>-8.9564459631219506E-4</c:v>
                </c:pt>
                <c:pt idx="422">
                  <c:v>2.7078138664364815E-3</c:v>
                </c:pt>
                <c:pt idx="423">
                  <c:v>6.4542060717940331E-3</c:v>
                </c:pt>
              </c:numCache>
            </c:numRef>
          </c:yVal>
          <c:smooth val="0"/>
          <c:extLst>
            <c:ext xmlns:c16="http://schemas.microsoft.com/office/drawing/2014/chart" uri="{C3380CC4-5D6E-409C-BE32-E72D297353CC}">
              <c16:uniqueId val="{00000001-0E44-4C60-970D-42A1945C3D02}"/>
            </c:ext>
          </c:extLst>
        </c:ser>
        <c:dLbls>
          <c:showLegendKey val="0"/>
          <c:showVal val="0"/>
          <c:showCatName val="0"/>
          <c:showSerName val="0"/>
          <c:showPercent val="0"/>
          <c:showBubbleSize val="0"/>
        </c:dLbls>
        <c:axId val="463490432"/>
        <c:axId val="463500800"/>
      </c:scatterChart>
      <c:valAx>
        <c:axId val="463490432"/>
        <c:scaling>
          <c:orientation val="minMax"/>
          <c:max val="0.60000000000000009"/>
          <c:min val="-0.60000000000000009"/>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LiquidLiabilities</a:t>
                </a:r>
                <a:r>
                  <a:rPr lang="en-NZ" sz="800" baseline="0">
                    <a:solidFill>
                      <a:sysClr val="windowText" lastClr="000000"/>
                    </a:solidFill>
                    <a:latin typeface="Times New Roman" panose="02020603050405020304" pitchFamily="18" charset="0"/>
                    <a:cs typeface="Times New Roman" panose="02020603050405020304" pitchFamily="18" charset="0"/>
                  </a:rPr>
                  <a:t> </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3500800"/>
        <c:crosses val="autoZero"/>
        <c:crossBetween val="midCat"/>
      </c:valAx>
      <c:valAx>
        <c:axId val="46350080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3490432"/>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79101357310255"/>
          <c:y val="6.9730586370839939E-2"/>
          <c:w val="0.75412375661877606"/>
          <c:h val="0.77594269812945327"/>
        </c:manualLayout>
      </c:layout>
      <c:stockChart>
        <c:ser>
          <c:idx val="0"/>
          <c:order val="0"/>
          <c:tx>
            <c:strRef>
              <c:f>'Diff GMM Result'!$B$57</c:f>
              <c:strCache>
                <c:ptCount val="1"/>
                <c:pt idx="0">
                  <c:v>dy/dx</c:v>
                </c:pt>
              </c:strCache>
            </c:strRef>
          </c:tx>
          <c:spPr>
            <a:ln w="12700" cap="rnd">
              <a:solidFill>
                <a:schemeClr val="tx1">
                  <a:lumMod val="75000"/>
                  <a:lumOff val="25000"/>
                </a:schemeClr>
              </a:solidFill>
              <a:round/>
            </a:ln>
            <a:effectLst/>
          </c:spPr>
          <c:marker>
            <c:symbol val="circle"/>
            <c:size val="3"/>
            <c:spPr>
              <a:solidFill>
                <a:schemeClr val="tx1">
                  <a:lumMod val="75000"/>
                  <a:lumOff val="25000"/>
                </a:schemeClr>
              </a:solidFill>
              <a:ln w="9525">
                <a:solidFill>
                  <a:schemeClr val="tx1">
                    <a:lumMod val="75000"/>
                    <a:lumOff val="25000"/>
                  </a:schemeClr>
                </a:solidFill>
              </a:ln>
              <a:effectLst/>
            </c:spPr>
          </c:marker>
          <c:cat>
            <c:numRef>
              <c:f>'Diff GMM Result'!$A$58:$A$67</c:f>
              <c:numCache>
                <c:formatCode>General</c:formatCode>
                <c:ptCount val="10"/>
                <c:pt idx="0">
                  <c:v>-1</c:v>
                </c:pt>
                <c:pt idx="1">
                  <c:v>-0.5</c:v>
                </c:pt>
                <c:pt idx="2">
                  <c:v>0</c:v>
                </c:pt>
                <c:pt idx="3">
                  <c:v>0.5</c:v>
                </c:pt>
                <c:pt idx="4">
                  <c:v>1</c:v>
                </c:pt>
                <c:pt idx="5">
                  <c:v>1.5</c:v>
                </c:pt>
                <c:pt idx="6">
                  <c:v>2</c:v>
                </c:pt>
                <c:pt idx="7">
                  <c:v>2.5</c:v>
                </c:pt>
                <c:pt idx="8">
                  <c:v>3</c:v>
                </c:pt>
                <c:pt idx="9">
                  <c:v>3.5</c:v>
                </c:pt>
              </c:numCache>
            </c:numRef>
          </c:cat>
          <c:val>
            <c:numRef>
              <c:f>'Diff GMM Result'!$B$58:$B$67</c:f>
              <c:numCache>
                <c:formatCode>General</c:formatCode>
                <c:ptCount val="10"/>
                <c:pt idx="0">
                  <c:v>-4.0431E-3</c:v>
                </c:pt>
                <c:pt idx="1">
                  <c:v>9.2482999999999992E-3</c:v>
                </c:pt>
                <c:pt idx="2">
                  <c:v>2.2539699999999999E-2</c:v>
                </c:pt>
                <c:pt idx="3">
                  <c:v>3.5831099999999998E-2</c:v>
                </c:pt>
                <c:pt idx="4">
                  <c:v>4.9122399999999997E-2</c:v>
                </c:pt>
                <c:pt idx="5">
                  <c:v>6.2413799999999998E-2</c:v>
                </c:pt>
                <c:pt idx="6">
                  <c:v>7.57052E-2</c:v>
                </c:pt>
                <c:pt idx="7">
                  <c:v>8.8996599999999995E-2</c:v>
                </c:pt>
                <c:pt idx="8">
                  <c:v>0.102288</c:v>
                </c:pt>
                <c:pt idx="9">
                  <c:v>0.1155794</c:v>
                </c:pt>
              </c:numCache>
            </c:numRef>
          </c:val>
          <c:smooth val="0"/>
          <c:extLst>
            <c:ext xmlns:c16="http://schemas.microsoft.com/office/drawing/2014/chart" uri="{C3380CC4-5D6E-409C-BE32-E72D297353CC}">
              <c16:uniqueId val="{00000000-A726-47F5-9341-D5638A5D7E02}"/>
            </c:ext>
          </c:extLst>
        </c:ser>
        <c:ser>
          <c:idx val="1"/>
          <c:order val="1"/>
          <c:tx>
            <c:strRef>
              <c:f>'Diff GMM Result'!$F$57</c:f>
              <c:strCache>
                <c:ptCount val="1"/>
                <c:pt idx="0">
                  <c:v>[95% Conf.</c:v>
                </c:pt>
              </c:strCache>
            </c:strRef>
          </c:tx>
          <c:spPr>
            <a:ln w="25400" cap="rnd">
              <a:noFill/>
              <a:round/>
            </a:ln>
            <a:effectLst/>
          </c:spPr>
          <c:marker>
            <c:symbol val="dash"/>
            <c:size val="3"/>
            <c:spPr>
              <a:solidFill>
                <a:schemeClr val="accent2"/>
              </a:solidFill>
              <a:ln w="9525">
                <a:solidFill>
                  <a:schemeClr val="tx1">
                    <a:lumMod val="75000"/>
                    <a:lumOff val="25000"/>
                  </a:schemeClr>
                </a:solidFill>
              </a:ln>
              <a:effectLst/>
            </c:spPr>
          </c:marker>
          <c:cat>
            <c:numRef>
              <c:f>'Diff GMM Result'!$A$58:$A$67</c:f>
              <c:numCache>
                <c:formatCode>General</c:formatCode>
                <c:ptCount val="10"/>
                <c:pt idx="0">
                  <c:v>-1</c:v>
                </c:pt>
                <c:pt idx="1">
                  <c:v>-0.5</c:v>
                </c:pt>
                <c:pt idx="2">
                  <c:v>0</c:v>
                </c:pt>
                <c:pt idx="3">
                  <c:v>0.5</c:v>
                </c:pt>
                <c:pt idx="4">
                  <c:v>1</c:v>
                </c:pt>
                <c:pt idx="5">
                  <c:v>1.5</c:v>
                </c:pt>
                <c:pt idx="6">
                  <c:v>2</c:v>
                </c:pt>
                <c:pt idx="7">
                  <c:v>2.5</c:v>
                </c:pt>
                <c:pt idx="8">
                  <c:v>3</c:v>
                </c:pt>
                <c:pt idx="9">
                  <c:v>3.5</c:v>
                </c:pt>
              </c:numCache>
            </c:numRef>
          </c:cat>
          <c:val>
            <c:numRef>
              <c:f>'Diff GMM Result'!$F$58:$F$67</c:f>
              <c:numCache>
                <c:formatCode>General</c:formatCode>
                <c:ptCount val="10"/>
                <c:pt idx="0">
                  <c:v>-2.6541599999999999E-2</c:v>
                </c:pt>
                <c:pt idx="1">
                  <c:v>-9.2677999999999996E-3</c:v>
                </c:pt>
                <c:pt idx="2">
                  <c:v>3.4743E-3</c:v>
                </c:pt>
                <c:pt idx="3">
                  <c:v>1.19962E-2</c:v>
                </c:pt>
                <c:pt idx="4">
                  <c:v>1.8192E-2</c:v>
                </c:pt>
                <c:pt idx="5">
                  <c:v>2.3308099999999998E-2</c:v>
                </c:pt>
                <c:pt idx="6">
                  <c:v>2.7895099999999999E-2</c:v>
                </c:pt>
                <c:pt idx="7">
                  <c:v>3.21959E-2</c:v>
                </c:pt>
                <c:pt idx="8">
                  <c:v>3.63273E-2</c:v>
                </c:pt>
                <c:pt idx="9">
                  <c:v>4.0351199999999997E-2</c:v>
                </c:pt>
              </c:numCache>
            </c:numRef>
          </c:val>
          <c:smooth val="0"/>
          <c:extLst>
            <c:ext xmlns:c16="http://schemas.microsoft.com/office/drawing/2014/chart" uri="{C3380CC4-5D6E-409C-BE32-E72D297353CC}">
              <c16:uniqueId val="{00000001-A726-47F5-9341-D5638A5D7E02}"/>
            </c:ext>
          </c:extLst>
        </c:ser>
        <c:ser>
          <c:idx val="2"/>
          <c:order val="2"/>
          <c:tx>
            <c:strRef>
              <c:f>'Diff GMM Result'!$G$57</c:f>
              <c:strCache>
                <c:ptCount val="1"/>
                <c:pt idx="0">
                  <c:v>Interval]</c:v>
                </c:pt>
              </c:strCache>
            </c:strRef>
          </c:tx>
          <c:spPr>
            <a:ln w="25400" cap="rnd">
              <a:noFill/>
              <a:round/>
            </a:ln>
            <a:effectLst/>
          </c:spPr>
          <c:marker>
            <c:symbol val="dot"/>
            <c:size val="3"/>
            <c:spPr>
              <a:solidFill>
                <a:schemeClr val="accent3"/>
              </a:solidFill>
              <a:ln w="9525">
                <a:solidFill>
                  <a:schemeClr val="tx1">
                    <a:lumMod val="75000"/>
                    <a:lumOff val="25000"/>
                  </a:schemeClr>
                </a:solidFill>
              </a:ln>
              <a:effectLst/>
            </c:spPr>
          </c:marker>
          <c:cat>
            <c:numRef>
              <c:f>'Diff GMM Result'!$A$58:$A$67</c:f>
              <c:numCache>
                <c:formatCode>General</c:formatCode>
                <c:ptCount val="10"/>
                <c:pt idx="0">
                  <c:v>-1</c:v>
                </c:pt>
                <c:pt idx="1">
                  <c:v>-0.5</c:v>
                </c:pt>
                <c:pt idx="2">
                  <c:v>0</c:v>
                </c:pt>
                <c:pt idx="3">
                  <c:v>0.5</c:v>
                </c:pt>
                <c:pt idx="4">
                  <c:v>1</c:v>
                </c:pt>
                <c:pt idx="5">
                  <c:v>1.5</c:v>
                </c:pt>
                <c:pt idx="6">
                  <c:v>2</c:v>
                </c:pt>
                <c:pt idx="7">
                  <c:v>2.5</c:v>
                </c:pt>
                <c:pt idx="8">
                  <c:v>3</c:v>
                </c:pt>
                <c:pt idx="9">
                  <c:v>3.5</c:v>
                </c:pt>
              </c:numCache>
            </c:numRef>
          </c:cat>
          <c:val>
            <c:numRef>
              <c:f>'Diff GMM Result'!$G$58:$G$67</c:f>
              <c:numCache>
                <c:formatCode>General</c:formatCode>
                <c:ptCount val="10"/>
                <c:pt idx="0">
                  <c:v>1.84554E-2</c:v>
                </c:pt>
                <c:pt idx="1">
                  <c:v>2.7764400000000002E-2</c:v>
                </c:pt>
                <c:pt idx="2">
                  <c:v>4.1605000000000003E-2</c:v>
                </c:pt>
                <c:pt idx="3">
                  <c:v>5.9665999999999997E-2</c:v>
                </c:pt>
                <c:pt idx="4">
                  <c:v>8.0052899999999996E-2</c:v>
                </c:pt>
                <c:pt idx="5">
                  <c:v>0.1015196</c:v>
                </c:pt>
                <c:pt idx="6">
                  <c:v>0.12351529999999999</c:v>
                </c:pt>
                <c:pt idx="7">
                  <c:v>0.14579729999999999</c:v>
                </c:pt>
                <c:pt idx="8">
                  <c:v>0.1682487</c:v>
                </c:pt>
                <c:pt idx="9">
                  <c:v>0.19080759999999999</c:v>
                </c:pt>
              </c:numCache>
            </c:numRef>
          </c:val>
          <c:smooth val="0"/>
          <c:extLst>
            <c:ext xmlns:c16="http://schemas.microsoft.com/office/drawing/2014/chart" uri="{C3380CC4-5D6E-409C-BE32-E72D297353CC}">
              <c16:uniqueId val="{00000002-A726-47F5-9341-D5638A5D7E0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64741504"/>
        <c:axId val="464743424"/>
      </c:stockChart>
      <c:catAx>
        <c:axId val="46474150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a:solidFill>
                      <a:sysClr val="windowText" lastClr="000000"/>
                    </a:solidFill>
                    <a:latin typeface="Times New Roman" panose="02020603050405020304" pitchFamily="18" charset="0"/>
                    <a:cs typeface="Times New Roman" panose="02020603050405020304" pitchFamily="18" charset="0"/>
                  </a:rPr>
                  <a:t>Log</a:t>
                </a:r>
                <a:r>
                  <a:rPr lang="en-NZ" sz="900" baseline="0">
                    <a:solidFill>
                      <a:sysClr val="windowText" lastClr="000000"/>
                    </a:solidFill>
                    <a:latin typeface="Times New Roman" panose="02020603050405020304" pitchFamily="18" charset="0"/>
                    <a:cs typeface="Times New Roman" panose="02020603050405020304" pitchFamily="18" charset="0"/>
                  </a:rPr>
                  <a:t>FO</a:t>
                </a:r>
                <a:endParaRPr lang="en-NZ"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090314011953325"/>
              <c:y val="0.8837081497934786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743424"/>
        <c:crosses val="autoZero"/>
        <c:auto val="1"/>
        <c:lblAlgn val="ctr"/>
        <c:lblOffset val="100"/>
        <c:noMultiLvlLbl val="0"/>
      </c:catAx>
      <c:valAx>
        <c:axId val="46474342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a:solidFill>
                      <a:sysClr val="windowText" lastClr="000000"/>
                    </a:solidFill>
                    <a:latin typeface="Times New Roman" panose="02020603050405020304" pitchFamily="18" charset="0"/>
                    <a:cs typeface="Times New Roman" panose="02020603050405020304" pitchFamily="18" charset="0"/>
                  </a:rPr>
                  <a:t>d</a:t>
                </a:r>
                <a:r>
                  <a:rPr lang="en-NZ" sz="800" baseline="0">
                    <a:solidFill>
                      <a:sysClr val="windowText" lastClr="000000"/>
                    </a:solidFill>
                    <a:latin typeface="Times New Roman" panose="02020603050405020304" pitchFamily="18" charset="0"/>
                    <a:cs typeface="Times New Roman" panose="02020603050405020304" pitchFamily="18" charset="0"/>
                  </a:rPr>
                  <a:t> GrossGini / d  PrivateCredit</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74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'Diff GMM Result'!$B$77</c:f>
              <c:strCache>
                <c:ptCount val="1"/>
                <c:pt idx="0">
                  <c:v>dy/dx</c:v>
                </c:pt>
              </c:strCache>
            </c:strRef>
          </c:tx>
          <c:spPr>
            <a:ln w="12700" cap="rnd">
              <a:solidFill>
                <a:schemeClr val="tx1">
                  <a:lumMod val="75000"/>
                  <a:lumOff val="25000"/>
                </a:schemeClr>
              </a:solidFill>
              <a:round/>
            </a:ln>
            <a:effectLst/>
          </c:spPr>
          <c:marker>
            <c:symbol val="circle"/>
            <c:size val="3"/>
            <c:spPr>
              <a:solidFill>
                <a:schemeClr val="tx1">
                  <a:lumMod val="75000"/>
                  <a:lumOff val="25000"/>
                </a:schemeClr>
              </a:solidFill>
              <a:ln w="9525">
                <a:solidFill>
                  <a:schemeClr val="tx1">
                    <a:lumMod val="75000"/>
                    <a:lumOff val="25000"/>
                  </a:schemeClr>
                </a:solidFill>
              </a:ln>
              <a:effectLst/>
            </c:spPr>
          </c:marker>
          <c:cat>
            <c:numRef>
              <c:f>'Diff GMM Result'!$A$78:$A$87</c:f>
              <c:numCache>
                <c:formatCode>General</c:formatCode>
                <c:ptCount val="10"/>
                <c:pt idx="0">
                  <c:v>-1</c:v>
                </c:pt>
                <c:pt idx="1">
                  <c:v>-0.5</c:v>
                </c:pt>
                <c:pt idx="2">
                  <c:v>0</c:v>
                </c:pt>
                <c:pt idx="3">
                  <c:v>0.5</c:v>
                </c:pt>
                <c:pt idx="4">
                  <c:v>1</c:v>
                </c:pt>
                <c:pt idx="5">
                  <c:v>1.5</c:v>
                </c:pt>
                <c:pt idx="6">
                  <c:v>2</c:v>
                </c:pt>
                <c:pt idx="7">
                  <c:v>2.5</c:v>
                </c:pt>
                <c:pt idx="8">
                  <c:v>3</c:v>
                </c:pt>
                <c:pt idx="9">
                  <c:v>3.5</c:v>
                </c:pt>
              </c:numCache>
            </c:numRef>
          </c:cat>
          <c:val>
            <c:numRef>
              <c:f>'Diff GMM Result'!$B$78:$B$87</c:f>
              <c:numCache>
                <c:formatCode>General</c:formatCode>
                <c:ptCount val="10"/>
                <c:pt idx="0">
                  <c:v>2.4963900000000001E-2</c:v>
                </c:pt>
                <c:pt idx="1">
                  <c:v>3.27239E-2</c:v>
                </c:pt>
                <c:pt idx="2">
                  <c:v>4.0483999999999999E-2</c:v>
                </c:pt>
                <c:pt idx="3">
                  <c:v>4.8244099999999998E-2</c:v>
                </c:pt>
                <c:pt idx="4">
                  <c:v>5.6004100000000001E-2</c:v>
                </c:pt>
                <c:pt idx="5">
                  <c:v>6.3764199999999993E-2</c:v>
                </c:pt>
                <c:pt idx="6">
                  <c:v>7.1524299999999999E-2</c:v>
                </c:pt>
                <c:pt idx="7">
                  <c:v>7.9284400000000005E-2</c:v>
                </c:pt>
                <c:pt idx="8">
                  <c:v>8.7044399999999994E-2</c:v>
                </c:pt>
                <c:pt idx="9">
                  <c:v>9.48045E-2</c:v>
                </c:pt>
              </c:numCache>
            </c:numRef>
          </c:val>
          <c:smooth val="0"/>
          <c:extLst>
            <c:ext xmlns:c16="http://schemas.microsoft.com/office/drawing/2014/chart" uri="{C3380CC4-5D6E-409C-BE32-E72D297353CC}">
              <c16:uniqueId val="{00000000-0D3A-440C-AB17-7859016BAE65}"/>
            </c:ext>
          </c:extLst>
        </c:ser>
        <c:ser>
          <c:idx val="1"/>
          <c:order val="1"/>
          <c:tx>
            <c:strRef>
              <c:f>'Diff GMM Result'!$F$77</c:f>
              <c:strCache>
                <c:ptCount val="1"/>
                <c:pt idx="0">
                  <c:v>[95% Conf.</c:v>
                </c:pt>
              </c:strCache>
            </c:strRef>
          </c:tx>
          <c:spPr>
            <a:ln w="25400" cap="rnd">
              <a:noFill/>
              <a:round/>
            </a:ln>
            <a:effectLst/>
          </c:spPr>
          <c:marker>
            <c:symbol val="dash"/>
            <c:size val="3"/>
            <c:spPr>
              <a:solidFill>
                <a:schemeClr val="accent2"/>
              </a:solidFill>
              <a:ln w="9525">
                <a:solidFill>
                  <a:schemeClr val="tx1">
                    <a:lumMod val="75000"/>
                    <a:lumOff val="25000"/>
                  </a:schemeClr>
                </a:solidFill>
              </a:ln>
              <a:effectLst/>
            </c:spPr>
          </c:marker>
          <c:cat>
            <c:numRef>
              <c:f>'Diff GMM Result'!$A$78:$A$87</c:f>
              <c:numCache>
                <c:formatCode>General</c:formatCode>
                <c:ptCount val="10"/>
                <c:pt idx="0">
                  <c:v>-1</c:v>
                </c:pt>
                <c:pt idx="1">
                  <c:v>-0.5</c:v>
                </c:pt>
                <c:pt idx="2">
                  <c:v>0</c:v>
                </c:pt>
                <c:pt idx="3">
                  <c:v>0.5</c:v>
                </c:pt>
                <c:pt idx="4">
                  <c:v>1</c:v>
                </c:pt>
                <c:pt idx="5">
                  <c:v>1.5</c:v>
                </c:pt>
                <c:pt idx="6">
                  <c:v>2</c:v>
                </c:pt>
                <c:pt idx="7">
                  <c:v>2.5</c:v>
                </c:pt>
                <c:pt idx="8">
                  <c:v>3</c:v>
                </c:pt>
                <c:pt idx="9">
                  <c:v>3.5</c:v>
                </c:pt>
              </c:numCache>
            </c:numRef>
          </c:cat>
          <c:val>
            <c:numRef>
              <c:f>'Diff GMM Result'!$F$78:$F$87</c:f>
              <c:numCache>
                <c:formatCode>General</c:formatCode>
                <c:ptCount val="10"/>
                <c:pt idx="0">
                  <c:v>-1.24008E-2</c:v>
                </c:pt>
                <c:pt idx="1">
                  <c:v>-2.8299000000000002E-3</c:v>
                </c:pt>
                <c:pt idx="2">
                  <c:v>5.3198000000000004E-3</c:v>
                </c:pt>
                <c:pt idx="3">
                  <c:v>1.20023E-2</c:v>
                </c:pt>
                <c:pt idx="4">
                  <c:v>1.73402E-2</c:v>
                </c:pt>
                <c:pt idx="5">
                  <c:v>2.1564300000000002E-2</c:v>
                </c:pt>
                <c:pt idx="6">
                  <c:v>2.4927499999999998E-2</c:v>
                </c:pt>
                <c:pt idx="7">
                  <c:v>2.7649300000000002E-2</c:v>
                </c:pt>
                <c:pt idx="8">
                  <c:v>2.9899100000000001E-2</c:v>
                </c:pt>
                <c:pt idx="9">
                  <c:v>3.1800500000000002E-2</c:v>
                </c:pt>
              </c:numCache>
            </c:numRef>
          </c:val>
          <c:smooth val="0"/>
          <c:extLst>
            <c:ext xmlns:c16="http://schemas.microsoft.com/office/drawing/2014/chart" uri="{C3380CC4-5D6E-409C-BE32-E72D297353CC}">
              <c16:uniqueId val="{00000001-0D3A-440C-AB17-7859016BAE65}"/>
            </c:ext>
          </c:extLst>
        </c:ser>
        <c:ser>
          <c:idx val="2"/>
          <c:order val="2"/>
          <c:tx>
            <c:strRef>
              <c:f>'Diff GMM Result'!$G$77</c:f>
              <c:strCache>
                <c:ptCount val="1"/>
                <c:pt idx="0">
                  <c:v>Interval]</c:v>
                </c:pt>
              </c:strCache>
            </c:strRef>
          </c:tx>
          <c:spPr>
            <a:ln w="25400" cap="rnd">
              <a:noFill/>
              <a:round/>
            </a:ln>
            <a:effectLst/>
          </c:spPr>
          <c:marker>
            <c:symbol val="dot"/>
            <c:size val="3"/>
            <c:spPr>
              <a:solidFill>
                <a:schemeClr val="accent3"/>
              </a:solidFill>
              <a:ln w="9525">
                <a:solidFill>
                  <a:schemeClr val="tx1">
                    <a:lumMod val="75000"/>
                    <a:lumOff val="25000"/>
                  </a:schemeClr>
                </a:solidFill>
              </a:ln>
              <a:effectLst/>
            </c:spPr>
          </c:marker>
          <c:cat>
            <c:numRef>
              <c:f>'Diff GMM Result'!$A$78:$A$87</c:f>
              <c:numCache>
                <c:formatCode>General</c:formatCode>
                <c:ptCount val="10"/>
                <c:pt idx="0">
                  <c:v>-1</c:v>
                </c:pt>
                <c:pt idx="1">
                  <c:v>-0.5</c:v>
                </c:pt>
                <c:pt idx="2">
                  <c:v>0</c:v>
                </c:pt>
                <c:pt idx="3">
                  <c:v>0.5</c:v>
                </c:pt>
                <c:pt idx="4">
                  <c:v>1</c:v>
                </c:pt>
                <c:pt idx="5">
                  <c:v>1.5</c:v>
                </c:pt>
                <c:pt idx="6">
                  <c:v>2</c:v>
                </c:pt>
                <c:pt idx="7">
                  <c:v>2.5</c:v>
                </c:pt>
                <c:pt idx="8">
                  <c:v>3</c:v>
                </c:pt>
                <c:pt idx="9">
                  <c:v>3.5</c:v>
                </c:pt>
              </c:numCache>
            </c:numRef>
          </c:cat>
          <c:val>
            <c:numRef>
              <c:f>'Diff GMM Result'!$G$78:$G$87</c:f>
              <c:numCache>
                <c:formatCode>General</c:formatCode>
                <c:ptCount val="10"/>
                <c:pt idx="0">
                  <c:v>6.2328500000000002E-2</c:v>
                </c:pt>
                <c:pt idx="1">
                  <c:v>6.8277699999999997E-2</c:v>
                </c:pt>
                <c:pt idx="2">
                  <c:v>7.5648199999999999E-2</c:v>
                </c:pt>
                <c:pt idx="3">
                  <c:v>8.44858E-2</c:v>
                </c:pt>
                <c:pt idx="4">
                  <c:v>9.4668100000000005E-2</c:v>
                </c:pt>
                <c:pt idx="5">
                  <c:v>0.10596419999999999</c:v>
                </c:pt>
                <c:pt idx="6">
                  <c:v>0.11812110000000001</c:v>
                </c:pt>
                <c:pt idx="7">
                  <c:v>0.13091939999999999</c:v>
                </c:pt>
                <c:pt idx="8">
                  <c:v>0.14418980000000001</c:v>
                </c:pt>
                <c:pt idx="9">
                  <c:v>0.15780849999999999</c:v>
                </c:pt>
              </c:numCache>
            </c:numRef>
          </c:val>
          <c:smooth val="0"/>
          <c:extLst>
            <c:ext xmlns:c16="http://schemas.microsoft.com/office/drawing/2014/chart" uri="{C3380CC4-5D6E-409C-BE32-E72D297353CC}">
              <c16:uniqueId val="{00000002-0D3A-440C-AB17-7859016BAE65}"/>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82351360"/>
        <c:axId val="482357632"/>
      </c:stockChart>
      <c:catAx>
        <c:axId val="48235136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a:solidFill>
                      <a:sysClr val="windowText" lastClr="000000"/>
                    </a:solidFill>
                    <a:latin typeface="Times New Roman" panose="02020603050405020304" pitchFamily="18" charset="0"/>
                    <a:cs typeface="Times New Roman" panose="02020603050405020304" pitchFamily="18" charset="0"/>
                  </a:rPr>
                  <a:t>Log</a:t>
                </a:r>
                <a:r>
                  <a:rPr lang="en-NZ" sz="900" baseline="0">
                    <a:solidFill>
                      <a:sysClr val="windowText" lastClr="000000"/>
                    </a:solidFill>
                    <a:latin typeface="Times New Roman" panose="02020603050405020304" pitchFamily="18" charset="0"/>
                    <a:cs typeface="Times New Roman" panose="02020603050405020304" pitchFamily="18" charset="0"/>
                  </a:rPr>
                  <a:t>FO</a:t>
                </a:r>
                <a:endParaRPr lang="en-NZ"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0788872437022583"/>
              <c:y val="0.8740635136485376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2357632"/>
        <c:crosses val="autoZero"/>
        <c:auto val="1"/>
        <c:lblAlgn val="ctr"/>
        <c:lblOffset val="100"/>
        <c:noMultiLvlLbl val="0"/>
      </c:catAx>
      <c:valAx>
        <c:axId val="482357632"/>
        <c:scaling>
          <c:orientation val="minMax"/>
          <c:max val="0.16000000000000003"/>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a:solidFill>
                      <a:sysClr val="windowText" lastClr="000000"/>
                    </a:solidFill>
                    <a:latin typeface="Times New Roman" panose="02020603050405020304" pitchFamily="18" charset="0"/>
                    <a:cs typeface="Times New Roman" panose="02020603050405020304" pitchFamily="18" charset="0"/>
                  </a:rPr>
                  <a:t>d</a:t>
                </a:r>
                <a:r>
                  <a:rPr lang="en-NZ" sz="800" baseline="0">
                    <a:solidFill>
                      <a:sysClr val="windowText" lastClr="000000"/>
                    </a:solidFill>
                    <a:latin typeface="Times New Roman" panose="02020603050405020304" pitchFamily="18" charset="0"/>
                    <a:cs typeface="Times New Roman" panose="02020603050405020304" pitchFamily="18" charset="0"/>
                  </a:rPr>
                  <a:t> logGini / d log LiquidLiabilities</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2351360"/>
        <c:crosses val="autoZero"/>
        <c:crossBetween val="between"/>
        <c:majorUnit val="4.0000000000000008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27915221223135"/>
          <c:y val="6.8090374497059736E-2"/>
          <c:w val="0.72952177176928901"/>
          <c:h val="0.80501392757660184"/>
        </c:manualLayout>
      </c:layout>
      <c:stockChart>
        <c:ser>
          <c:idx val="0"/>
          <c:order val="0"/>
          <c:tx>
            <c:strRef>
              <c:f>'Diff GMM Result'!$B$57</c:f>
              <c:strCache>
                <c:ptCount val="1"/>
                <c:pt idx="0">
                  <c:v>dy/dx</c:v>
                </c:pt>
              </c:strCache>
            </c:strRef>
          </c:tx>
          <c:spPr>
            <a:ln w="12700" cap="rnd">
              <a:solidFill>
                <a:schemeClr val="tx1">
                  <a:lumMod val="75000"/>
                  <a:lumOff val="25000"/>
                </a:schemeClr>
              </a:solidFill>
              <a:round/>
            </a:ln>
            <a:effectLst/>
          </c:spPr>
          <c:marker>
            <c:symbol val="circle"/>
            <c:size val="3"/>
            <c:spPr>
              <a:solidFill>
                <a:schemeClr val="tx1">
                  <a:lumMod val="75000"/>
                  <a:lumOff val="25000"/>
                </a:schemeClr>
              </a:solidFill>
              <a:ln w="9525">
                <a:solidFill>
                  <a:schemeClr val="tx1">
                    <a:lumMod val="75000"/>
                    <a:lumOff val="25000"/>
                  </a:schemeClr>
                </a:solidFill>
              </a:ln>
              <a:effectLst/>
            </c:spPr>
          </c:marker>
          <c:cat>
            <c:numRef>
              <c:f>'Diff GMM Result'!$K$58:$K$64</c:f>
              <c:numCache>
                <c:formatCode>General</c:formatCode>
                <c:ptCount val="7"/>
                <c:pt idx="0">
                  <c:v>3</c:v>
                </c:pt>
                <c:pt idx="1">
                  <c:v>3.5</c:v>
                </c:pt>
                <c:pt idx="2">
                  <c:v>4</c:v>
                </c:pt>
                <c:pt idx="3">
                  <c:v>4.5</c:v>
                </c:pt>
                <c:pt idx="4">
                  <c:v>5</c:v>
                </c:pt>
                <c:pt idx="5">
                  <c:v>5.5</c:v>
                </c:pt>
                <c:pt idx="6">
                  <c:v>6</c:v>
                </c:pt>
              </c:numCache>
            </c:numRef>
          </c:cat>
          <c:val>
            <c:numRef>
              <c:f>'Diff GMM Result'!$L$58:$L$64</c:f>
              <c:numCache>
                <c:formatCode>General</c:formatCode>
                <c:ptCount val="7"/>
                <c:pt idx="0">
                  <c:v>-3.9072200000000001E-2</c:v>
                </c:pt>
                <c:pt idx="1">
                  <c:v>-1.86131E-2</c:v>
                </c:pt>
                <c:pt idx="2">
                  <c:v>1.8461E-3</c:v>
                </c:pt>
                <c:pt idx="3">
                  <c:v>2.2305200000000001E-2</c:v>
                </c:pt>
                <c:pt idx="4">
                  <c:v>4.2764400000000001E-2</c:v>
                </c:pt>
                <c:pt idx="5">
                  <c:v>6.3223500000000002E-2</c:v>
                </c:pt>
                <c:pt idx="6">
                  <c:v>8.3682599999999996E-2</c:v>
                </c:pt>
              </c:numCache>
            </c:numRef>
          </c:val>
          <c:smooth val="0"/>
          <c:extLst>
            <c:ext xmlns:c16="http://schemas.microsoft.com/office/drawing/2014/chart" uri="{C3380CC4-5D6E-409C-BE32-E72D297353CC}">
              <c16:uniqueId val="{00000000-04CA-43A8-AF4D-FF92B2187663}"/>
            </c:ext>
          </c:extLst>
        </c:ser>
        <c:ser>
          <c:idx val="1"/>
          <c:order val="1"/>
          <c:tx>
            <c:strRef>
              <c:f>'Diff GMM Result'!$F$57</c:f>
              <c:strCache>
                <c:ptCount val="1"/>
                <c:pt idx="0">
                  <c:v>[95% Conf.</c:v>
                </c:pt>
              </c:strCache>
            </c:strRef>
          </c:tx>
          <c:spPr>
            <a:ln w="25400" cap="rnd">
              <a:noFill/>
              <a:round/>
            </a:ln>
            <a:effectLst/>
          </c:spPr>
          <c:marker>
            <c:symbol val="dash"/>
            <c:size val="3"/>
            <c:spPr>
              <a:solidFill>
                <a:schemeClr val="accent2"/>
              </a:solidFill>
              <a:ln w="9525">
                <a:solidFill>
                  <a:schemeClr val="tx1">
                    <a:lumMod val="75000"/>
                    <a:lumOff val="25000"/>
                  </a:schemeClr>
                </a:solidFill>
              </a:ln>
              <a:effectLst/>
            </c:spPr>
          </c:marker>
          <c:cat>
            <c:numRef>
              <c:f>'Diff GMM Result'!$K$58:$K$64</c:f>
              <c:numCache>
                <c:formatCode>General</c:formatCode>
                <c:ptCount val="7"/>
                <c:pt idx="0">
                  <c:v>3</c:v>
                </c:pt>
                <c:pt idx="1">
                  <c:v>3.5</c:v>
                </c:pt>
                <c:pt idx="2">
                  <c:v>4</c:v>
                </c:pt>
                <c:pt idx="3">
                  <c:v>4.5</c:v>
                </c:pt>
                <c:pt idx="4">
                  <c:v>5</c:v>
                </c:pt>
                <c:pt idx="5">
                  <c:v>5.5</c:v>
                </c:pt>
                <c:pt idx="6">
                  <c:v>6</c:v>
                </c:pt>
              </c:numCache>
            </c:numRef>
          </c:cat>
          <c:val>
            <c:numRef>
              <c:f>'Diff GMM Result'!$P$58:$P$64</c:f>
              <c:numCache>
                <c:formatCode>General</c:formatCode>
                <c:ptCount val="7"/>
                <c:pt idx="0">
                  <c:v>-7.9444600000000004E-2</c:v>
                </c:pt>
                <c:pt idx="1">
                  <c:v>-4.3596200000000002E-2</c:v>
                </c:pt>
                <c:pt idx="2">
                  <c:v>-1.40874E-2</c:v>
                </c:pt>
                <c:pt idx="3">
                  <c:v>-4.7839999999999997E-4</c:v>
                </c:pt>
                <c:pt idx="4">
                  <c:v>5.0841000000000003E-3</c:v>
                </c:pt>
                <c:pt idx="5">
                  <c:v>8.8543000000000007E-3</c:v>
                </c:pt>
                <c:pt idx="6">
                  <c:v>1.2074700000000001E-2</c:v>
                </c:pt>
              </c:numCache>
            </c:numRef>
          </c:val>
          <c:smooth val="0"/>
          <c:extLst>
            <c:ext xmlns:c16="http://schemas.microsoft.com/office/drawing/2014/chart" uri="{C3380CC4-5D6E-409C-BE32-E72D297353CC}">
              <c16:uniqueId val="{00000001-04CA-43A8-AF4D-FF92B2187663}"/>
            </c:ext>
          </c:extLst>
        </c:ser>
        <c:ser>
          <c:idx val="2"/>
          <c:order val="2"/>
          <c:tx>
            <c:strRef>
              <c:f>'Diff GMM Result'!$G$57</c:f>
              <c:strCache>
                <c:ptCount val="1"/>
                <c:pt idx="0">
                  <c:v>Interval]</c:v>
                </c:pt>
              </c:strCache>
            </c:strRef>
          </c:tx>
          <c:spPr>
            <a:ln w="25400" cap="rnd">
              <a:noFill/>
              <a:round/>
            </a:ln>
            <a:effectLst/>
          </c:spPr>
          <c:marker>
            <c:symbol val="dot"/>
            <c:size val="3"/>
            <c:spPr>
              <a:solidFill>
                <a:schemeClr val="accent3"/>
              </a:solidFill>
              <a:ln w="9525">
                <a:solidFill>
                  <a:schemeClr val="tx1">
                    <a:lumMod val="75000"/>
                    <a:lumOff val="25000"/>
                  </a:schemeClr>
                </a:solidFill>
              </a:ln>
              <a:effectLst/>
            </c:spPr>
          </c:marker>
          <c:cat>
            <c:numRef>
              <c:f>'Diff GMM Result'!$K$58:$K$64</c:f>
              <c:numCache>
                <c:formatCode>General</c:formatCode>
                <c:ptCount val="7"/>
                <c:pt idx="0">
                  <c:v>3</c:v>
                </c:pt>
                <c:pt idx="1">
                  <c:v>3.5</c:v>
                </c:pt>
                <c:pt idx="2">
                  <c:v>4</c:v>
                </c:pt>
                <c:pt idx="3">
                  <c:v>4.5</c:v>
                </c:pt>
                <c:pt idx="4">
                  <c:v>5</c:v>
                </c:pt>
                <c:pt idx="5">
                  <c:v>5.5</c:v>
                </c:pt>
                <c:pt idx="6">
                  <c:v>6</c:v>
                </c:pt>
              </c:numCache>
            </c:numRef>
          </c:cat>
          <c:val>
            <c:numRef>
              <c:f>'Diff GMM Result'!$Q$58:$Q$64</c:f>
              <c:numCache>
                <c:formatCode>General</c:formatCode>
                <c:ptCount val="7"/>
                <c:pt idx="0">
                  <c:v>1.3002000000000001E-3</c:v>
                </c:pt>
                <c:pt idx="1">
                  <c:v>6.3699999999999998E-3</c:v>
                </c:pt>
                <c:pt idx="2">
                  <c:v>1.77796E-2</c:v>
                </c:pt>
                <c:pt idx="3">
                  <c:v>4.5088799999999998E-2</c:v>
                </c:pt>
                <c:pt idx="4">
                  <c:v>8.0444600000000005E-2</c:v>
                </c:pt>
                <c:pt idx="5">
                  <c:v>0.11759260000000001</c:v>
                </c:pt>
                <c:pt idx="6">
                  <c:v>0.1552906</c:v>
                </c:pt>
              </c:numCache>
            </c:numRef>
          </c:val>
          <c:smooth val="0"/>
          <c:extLst>
            <c:ext xmlns:c16="http://schemas.microsoft.com/office/drawing/2014/chart" uri="{C3380CC4-5D6E-409C-BE32-E72D297353CC}">
              <c16:uniqueId val="{00000002-04CA-43A8-AF4D-FF92B218766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64756096"/>
        <c:axId val="475248128"/>
      </c:stockChart>
      <c:catAx>
        <c:axId val="4647560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a:solidFill>
                      <a:sysClr val="windowText" lastClr="000000"/>
                    </a:solidFill>
                    <a:latin typeface="Times New Roman" panose="02020603050405020304" pitchFamily="18" charset="0"/>
                    <a:cs typeface="Times New Roman" panose="02020603050405020304" pitchFamily="18" charset="0"/>
                  </a:rPr>
                  <a:t>Log</a:t>
                </a:r>
                <a:r>
                  <a:rPr lang="en-NZ" sz="900" baseline="0">
                    <a:solidFill>
                      <a:sysClr val="windowText" lastClr="000000"/>
                    </a:solidFill>
                    <a:latin typeface="Times New Roman" panose="02020603050405020304" pitchFamily="18" charset="0"/>
                    <a:cs typeface="Times New Roman" panose="02020603050405020304" pitchFamily="18" charset="0"/>
                  </a:rPr>
                  <a:t>TO</a:t>
                </a:r>
                <a:endParaRPr lang="en-NZ"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248128"/>
        <c:crosses val="autoZero"/>
        <c:auto val="1"/>
        <c:lblAlgn val="ctr"/>
        <c:lblOffset val="100"/>
        <c:noMultiLvlLbl val="0"/>
      </c:catAx>
      <c:valAx>
        <c:axId val="4752481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a:solidFill>
                      <a:sysClr val="windowText" lastClr="000000"/>
                    </a:solidFill>
                    <a:latin typeface="Times New Roman" panose="02020603050405020304" pitchFamily="18" charset="0"/>
                    <a:cs typeface="Times New Roman" panose="02020603050405020304" pitchFamily="18" charset="0"/>
                  </a:rPr>
                  <a:t>d</a:t>
                </a:r>
                <a:r>
                  <a:rPr lang="en-NZ" sz="900" baseline="0">
                    <a:solidFill>
                      <a:sysClr val="windowText" lastClr="000000"/>
                    </a:solidFill>
                    <a:latin typeface="Times New Roman" panose="02020603050405020304" pitchFamily="18" charset="0"/>
                    <a:cs typeface="Times New Roman" panose="02020603050405020304" pitchFamily="18" charset="0"/>
                  </a:rPr>
                  <a:t> logGini / d </a:t>
                </a:r>
                <a:r>
                  <a:rPr lang="en-NZ" sz="900" b="0" i="0" u="none" strike="noStrike" baseline="0">
                    <a:effectLst/>
                  </a:rPr>
                  <a:t>PrivateCredit</a:t>
                </a:r>
                <a:endParaRPr lang="en-NZ"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684989764771634E-2"/>
              <c:y val="0.13090362311953346"/>
            </c:manualLayout>
          </c:layout>
          <c:overlay val="0"/>
          <c:spPr>
            <a:noFill/>
            <a:ln>
              <a:noFill/>
            </a:ln>
            <a:effectLst/>
          </c:sp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756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27915221223135"/>
          <c:y val="6.8090374497059736E-2"/>
          <c:w val="0.72952177176928901"/>
          <c:h val="0.78644382544103997"/>
        </c:manualLayout>
      </c:layout>
      <c:stockChart>
        <c:ser>
          <c:idx val="0"/>
          <c:order val="0"/>
          <c:tx>
            <c:strRef>
              <c:f>'Diff GMM Result'!$B$57</c:f>
              <c:strCache>
                <c:ptCount val="1"/>
                <c:pt idx="0">
                  <c:v>dy/dx</c:v>
                </c:pt>
              </c:strCache>
            </c:strRef>
          </c:tx>
          <c:spPr>
            <a:ln w="12700" cap="rnd">
              <a:solidFill>
                <a:schemeClr val="tx1">
                  <a:lumMod val="75000"/>
                  <a:lumOff val="25000"/>
                </a:schemeClr>
              </a:solidFill>
              <a:round/>
            </a:ln>
            <a:effectLst/>
          </c:spPr>
          <c:marker>
            <c:symbol val="circle"/>
            <c:size val="3"/>
            <c:spPr>
              <a:solidFill>
                <a:schemeClr val="tx1">
                  <a:lumMod val="75000"/>
                  <a:lumOff val="25000"/>
                </a:schemeClr>
              </a:solidFill>
              <a:ln w="9525">
                <a:solidFill>
                  <a:schemeClr val="tx1">
                    <a:lumMod val="75000"/>
                    <a:lumOff val="25000"/>
                  </a:schemeClr>
                </a:solidFill>
              </a:ln>
              <a:effectLst/>
            </c:spPr>
          </c:marker>
          <c:cat>
            <c:numRef>
              <c:f>'Diff GMM Result'!$K$71:$K$77</c:f>
              <c:numCache>
                <c:formatCode>General</c:formatCode>
                <c:ptCount val="7"/>
                <c:pt idx="0">
                  <c:v>3</c:v>
                </c:pt>
                <c:pt idx="1">
                  <c:v>3.5</c:v>
                </c:pt>
                <c:pt idx="2">
                  <c:v>4</c:v>
                </c:pt>
                <c:pt idx="3">
                  <c:v>4.5</c:v>
                </c:pt>
                <c:pt idx="4">
                  <c:v>5</c:v>
                </c:pt>
                <c:pt idx="5">
                  <c:v>5.5</c:v>
                </c:pt>
                <c:pt idx="6">
                  <c:v>6</c:v>
                </c:pt>
              </c:numCache>
            </c:numRef>
          </c:cat>
          <c:val>
            <c:numRef>
              <c:f>'Diff GMM Result'!$L$71:$L$77</c:f>
              <c:numCache>
                <c:formatCode>General</c:formatCode>
                <c:ptCount val="7"/>
                <c:pt idx="0">
                  <c:v>-1.3314100000000001E-2</c:v>
                </c:pt>
                <c:pt idx="1">
                  <c:v>2.0241E-3</c:v>
                </c:pt>
                <c:pt idx="2">
                  <c:v>1.73624E-2</c:v>
                </c:pt>
                <c:pt idx="3">
                  <c:v>3.2700699999999999E-2</c:v>
                </c:pt>
                <c:pt idx="4">
                  <c:v>4.8038999999999998E-2</c:v>
                </c:pt>
                <c:pt idx="5">
                  <c:v>6.3377199999999995E-2</c:v>
                </c:pt>
                <c:pt idx="6">
                  <c:v>7.8715499999999994E-2</c:v>
                </c:pt>
              </c:numCache>
            </c:numRef>
          </c:val>
          <c:smooth val="0"/>
          <c:extLst>
            <c:ext xmlns:c16="http://schemas.microsoft.com/office/drawing/2014/chart" uri="{C3380CC4-5D6E-409C-BE32-E72D297353CC}">
              <c16:uniqueId val="{00000000-4942-4FB9-BE87-6C72099DF813}"/>
            </c:ext>
          </c:extLst>
        </c:ser>
        <c:ser>
          <c:idx val="1"/>
          <c:order val="1"/>
          <c:tx>
            <c:strRef>
              <c:f>'Diff GMM Result'!$F$57</c:f>
              <c:strCache>
                <c:ptCount val="1"/>
                <c:pt idx="0">
                  <c:v>[95% Conf.</c:v>
                </c:pt>
              </c:strCache>
            </c:strRef>
          </c:tx>
          <c:spPr>
            <a:ln w="25400" cap="rnd">
              <a:noFill/>
              <a:round/>
            </a:ln>
            <a:effectLst/>
          </c:spPr>
          <c:marker>
            <c:symbol val="dash"/>
            <c:size val="3"/>
            <c:spPr>
              <a:solidFill>
                <a:schemeClr val="accent2"/>
              </a:solidFill>
              <a:ln w="9525">
                <a:solidFill>
                  <a:schemeClr val="tx1">
                    <a:lumMod val="75000"/>
                    <a:lumOff val="25000"/>
                  </a:schemeClr>
                </a:solidFill>
              </a:ln>
              <a:effectLst/>
            </c:spPr>
          </c:marker>
          <c:cat>
            <c:numRef>
              <c:f>'Diff GMM Result'!$K$71:$K$77</c:f>
              <c:numCache>
                <c:formatCode>General</c:formatCode>
                <c:ptCount val="7"/>
                <c:pt idx="0">
                  <c:v>3</c:v>
                </c:pt>
                <c:pt idx="1">
                  <c:v>3.5</c:v>
                </c:pt>
                <c:pt idx="2">
                  <c:v>4</c:v>
                </c:pt>
                <c:pt idx="3">
                  <c:v>4.5</c:v>
                </c:pt>
                <c:pt idx="4">
                  <c:v>5</c:v>
                </c:pt>
                <c:pt idx="5">
                  <c:v>5.5</c:v>
                </c:pt>
                <c:pt idx="6">
                  <c:v>6</c:v>
                </c:pt>
              </c:numCache>
            </c:numRef>
          </c:cat>
          <c:val>
            <c:numRef>
              <c:f>'Diff GMM Result'!$P$71:$P$77</c:f>
              <c:numCache>
                <c:formatCode>General</c:formatCode>
                <c:ptCount val="7"/>
                <c:pt idx="0">
                  <c:v>-5.6151800000000002E-2</c:v>
                </c:pt>
                <c:pt idx="1">
                  <c:v>-3.3744799999999998E-2</c:v>
                </c:pt>
                <c:pt idx="2">
                  <c:v>-1.5817399999999999E-2</c:v>
                </c:pt>
                <c:pt idx="3">
                  <c:v>-3.3482E-3</c:v>
                </c:pt>
                <c:pt idx="4">
                  <c:v>4.7345E-3</c:v>
                </c:pt>
                <c:pt idx="5">
                  <c:v>1.01967E-2</c:v>
                </c:pt>
                <c:pt idx="6">
                  <c:v>1.42314E-2</c:v>
                </c:pt>
              </c:numCache>
            </c:numRef>
          </c:val>
          <c:smooth val="0"/>
          <c:extLst>
            <c:ext xmlns:c16="http://schemas.microsoft.com/office/drawing/2014/chart" uri="{C3380CC4-5D6E-409C-BE32-E72D297353CC}">
              <c16:uniqueId val="{00000001-4942-4FB9-BE87-6C72099DF813}"/>
            </c:ext>
          </c:extLst>
        </c:ser>
        <c:ser>
          <c:idx val="2"/>
          <c:order val="2"/>
          <c:tx>
            <c:strRef>
              <c:f>'Diff GMM Result'!$G$57</c:f>
              <c:strCache>
                <c:ptCount val="1"/>
                <c:pt idx="0">
                  <c:v>Interval]</c:v>
                </c:pt>
              </c:strCache>
            </c:strRef>
          </c:tx>
          <c:spPr>
            <a:ln w="25400" cap="rnd">
              <a:noFill/>
              <a:round/>
            </a:ln>
            <a:effectLst/>
          </c:spPr>
          <c:marker>
            <c:symbol val="dot"/>
            <c:size val="3"/>
            <c:spPr>
              <a:solidFill>
                <a:schemeClr val="accent3"/>
              </a:solidFill>
              <a:ln w="9525">
                <a:solidFill>
                  <a:schemeClr val="tx1">
                    <a:lumMod val="75000"/>
                    <a:lumOff val="25000"/>
                  </a:schemeClr>
                </a:solidFill>
              </a:ln>
              <a:effectLst/>
            </c:spPr>
          </c:marker>
          <c:cat>
            <c:numRef>
              <c:f>'Diff GMM Result'!$K$71:$K$77</c:f>
              <c:numCache>
                <c:formatCode>General</c:formatCode>
                <c:ptCount val="7"/>
                <c:pt idx="0">
                  <c:v>3</c:v>
                </c:pt>
                <c:pt idx="1">
                  <c:v>3.5</c:v>
                </c:pt>
                <c:pt idx="2">
                  <c:v>4</c:v>
                </c:pt>
                <c:pt idx="3">
                  <c:v>4.5</c:v>
                </c:pt>
                <c:pt idx="4">
                  <c:v>5</c:v>
                </c:pt>
                <c:pt idx="5">
                  <c:v>5.5</c:v>
                </c:pt>
                <c:pt idx="6">
                  <c:v>6</c:v>
                </c:pt>
              </c:numCache>
            </c:numRef>
          </c:cat>
          <c:val>
            <c:numRef>
              <c:f>'Diff GMM Result'!$Q$71:$Q$77</c:f>
              <c:numCache>
                <c:formatCode>General</c:formatCode>
                <c:ptCount val="7"/>
                <c:pt idx="0">
                  <c:v>2.9523500000000001E-2</c:v>
                </c:pt>
                <c:pt idx="1">
                  <c:v>3.7793100000000003E-2</c:v>
                </c:pt>
                <c:pt idx="2">
                  <c:v>5.0542200000000002E-2</c:v>
                </c:pt>
                <c:pt idx="3">
                  <c:v>6.8749599999999994E-2</c:v>
                </c:pt>
                <c:pt idx="4">
                  <c:v>9.1343400000000005E-2</c:v>
                </c:pt>
                <c:pt idx="5">
                  <c:v>0.1165578</c:v>
                </c:pt>
                <c:pt idx="6">
                  <c:v>0.14319960000000001</c:v>
                </c:pt>
              </c:numCache>
            </c:numRef>
          </c:val>
          <c:smooth val="0"/>
          <c:extLst>
            <c:ext xmlns:c16="http://schemas.microsoft.com/office/drawing/2014/chart" uri="{C3380CC4-5D6E-409C-BE32-E72D297353CC}">
              <c16:uniqueId val="{00000002-4942-4FB9-BE87-6C72099DF81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83783424"/>
        <c:axId val="483785344"/>
      </c:stockChart>
      <c:catAx>
        <c:axId val="48378342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a:solidFill>
                      <a:sysClr val="windowText" lastClr="000000"/>
                    </a:solidFill>
                    <a:latin typeface="Times New Roman" panose="02020603050405020304" pitchFamily="18" charset="0"/>
                    <a:cs typeface="Times New Roman" panose="02020603050405020304" pitchFamily="18" charset="0"/>
                  </a:rPr>
                  <a:t>Log</a:t>
                </a:r>
                <a:r>
                  <a:rPr lang="en-NZ" sz="900" baseline="0">
                    <a:solidFill>
                      <a:sysClr val="windowText" lastClr="000000"/>
                    </a:solidFill>
                    <a:latin typeface="Times New Roman" panose="02020603050405020304" pitchFamily="18" charset="0"/>
                    <a:cs typeface="Times New Roman" panose="02020603050405020304" pitchFamily="18" charset="0"/>
                  </a:rPr>
                  <a:t>TO</a:t>
                </a:r>
                <a:endParaRPr lang="en-NZ"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3785344"/>
        <c:crosses val="autoZero"/>
        <c:auto val="1"/>
        <c:lblAlgn val="ctr"/>
        <c:lblOffset val="100"/>
        <c:noMultiLvlLbl val="0"/>
      </c:catAx>
      <c:valAx>
        <c:axId val="48378534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900">
                    <a:solidFill>
                      <a:sysClr val="windowText" lastClr="000000"/>
                    </a:solidFill>
                    <a:latin typeface="Times New Roman" panose="02020603050405020304" pitchFamily="18" charset="0"/>
                    <a:cs typeface="Times New Roman" panose="02020603050405020304" pitchFamily="18" charset="0"/>
                  </a:rPr>
                  <a:t>d</a:t>
                </a:r>
                <a:r>
                  <a:rPr lang="en-NZ" sz="900" baseline="0">
                    <a:solidFill>
                      <a:sysClr val="windowText" lastClr="000000"/>
                    </a:solidFill>
                    <a:latin typeface="Times New Roman" panose="02020603050405020304" pitchFamily="18" charset="0"/>
                    <a:cs typeface="Times New Roman" panose="02020603050405020304" pitchFamily="18" charset="0"/>
                  </a:rPr>
                  <a:t> logGini /   d LiquidLiabilities</a:t>
                </a:r>
                <a:endParaRPr lang="en-NZ"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3783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63813158452686"/>
          <c:y val="7.3235685752330221E-2"/>
          <c:w val="0.70672398540711667"/>
          <c:h val="0.73160300701426972"/>
        </c:manualLayout>
      </c:layout>
      <c:scatterChart>
        <c:scatterStyle val="lineMarker"/>
        <c:varyColors val="0"/>
        <c:ser>
          <c:idx val="0"/>
          <c:order val="0"/>
          <c:tx>
            <c:strRef>
              <c:f>Sheet1!$H$1</c:f>
              <c:strCache>
                <c:ptCount val="1"/>
                <c:pt idx="0">
                  <c:v>FD2Res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Sheet1!$H$2:$H$569</c:f>
              <c:numCache>
                <c:formatCode>0.00</c:formatCode>
                <c:ptCount val="568"/>
                <c:pt idx="0">
                  <c:v>-0.17423327267169952</c:v>
                </c:pt>
                <c:pt idx="1">
                  <c:v>0.11452185362577438</c:v>
                </c:pt>
                <c:pt idx="2">
                  <c:v>0.13383954763412476</c:v>
                </c:pt>
                <c:pt idx="3">
                  <c:v>0.10209105908870697</c:v>
                </c:pt>
                <c:pt idx="4">
                  <c:v>0.11877858638763428</c:v>
                </c:pt>
                <c:pt idx="5">
                  <c:v>-0.12788091599941254</c:v>
                </c:pt>
                <c:pt idx="6">
                  <c:v>-5.1799047738313675E-2</c:v>
                </c:pt>
                <c:pt idx="7">
                  <c:v>-0.11531780660152435</c:v>
                </c:pt>
                <c:pt idx="8">
                  <c:v>-0.34901130199432373</c:v>
                </c:pt>
                <c:pt idx="9">
                  <c:v>-0.36800780892372131</c:v>
                </c:pt>
                <c:pt idx="10">
                  <c:v>-3.9594504982233047E-2</c:v>
                </c:pt>
                <c:pt idx="11">
                  <c:v>-4.1670124977827072E-2</c:v>
                </c:pt>
                <c:pt idx="12">
                  <c:v>0.1331845223903656</c:v>
                </c:pt>
                <c:pt idx="13">
                  <c:v>-3.8521666079759598E-2</c:v>
                </c:pt>
                <c:pt idx="14">
                  <c:v>0.2319171279668808</c:v>
                </c:pt>
                <c:pt idx="15">
                  <c:v>0.47170376777648926</c:v>
                </c:pt>
                <c:pt idx="16">
                  <c:v>-0.1290268748998642</c:v>
                </c:pt>
                <c:pt idx="17">
                  <c:v>-8.7402857840061188E-2</c:v>
                </c:pt>
                <c:pt idx="18">
                  <c:v>-9.1879822313785553E-2</c:v>
                </c:pt>
                <c:pt idx="19">
                  <c:v>-4.0021102875471115E-2</c:v>
                </c:pt>
                <c:pt idx="20">
                  <c:v>7.6209515333175659E-2</c:v>
                </c:pt>
                <c:pt idx="21">
                  <c:v>8.7784990668296814E-2</c:v>
                </c:pt>
                <c:pt idx="22">
                  <c:v>8.9331008493900299E-2</c:v>
                </c:pt>
                <c:pt idx="23">
                  <c:v>9.5005139708518982E-2</c:v>
                </c:pt>
                <c:pt idx="24">
                  <c:v>0.26724791526794434</c:v>
                </c:pt>
                <c:pt idx="25">
                  <c:v>0.2054874449968338</c:v>
                </c:pt>
                <c:pt idx="26">
                  <c:v>-0.12525340914726257</c:v>
                </c:pt>
                <c:pt idx="27">
                  <c:v>-9.8337098956108093E-2</c:v>
                </c:pt>
                <c:pt idx="28">
                  <c:v>-2.1566657349467278E-2</c:v>
                </c:pt>
                <c:pt idx="29">
                  <c:v>-3.3409614115953445E-2</c:v>
                </c:pt>
                <c:pt idx="30">
                  <c:v>-8.187856525182724E-2</c:v>
                </c:pt>
                <c:pt idx="31">
                  <c:v>-0.11229003965854645</c:v>
                </c:pt>
                <c:pt idx="32">
                  <c:v>-6.1627376824617386E-2</c:v>
                </c:pt>
                <c:pt idx="33">
                  <c:v>-3.7870921194553375E-2</c:v>
                </c:pt>
                <c:pt idx="34">
                  <c:v>1.9013907760381699E-2</c:v>
                </c:pt>
                <c:pt idx="35">
                  <c:v>9.1161087155342102E-2</c:v>
                </c:pt>
                <c:pt idx="36">
                  <c:v>5.1507923752069473E-2</c:v>
                </c:pt>
                <c:pt idx="37">
                  <c:v>-1.0665195994079113E-2</c:v>
                </c:pt>
                <c:pt idx="38">
                  <c:v>-1.4180799014866352E-2</c:v>
                </c:pt>
                <c:pt idx="39">
                  <c:v>-3.7338625639677048E-2</c:v>
                </c:pt>
                <c:pt idx="40">
                  <c:v>-0.35428747534751892</c:v>
                </c:pt>
                <c:pt idx="41">
                  <c:v>-0.36201894283294678</c:v>
                </c:pt>
                <c:pt idx="42">
                  <c:v>-4.8608366400003433E-2</c:v>
                </c:pt>
                <c:pt idx="43">
                  <c:v>0.1065964549779892</c:v>
                </c:pt>
                <c:pt idx="44">
                  <c:v>0.1181563138961792</c:v>
                </c:pt>
                <c:pt idx="45">
                  <c:v>0.17186178267002106</c:v>
                </c:pt>
                <c:pt idx="46">
                  <c:v>0.19231630861759186</c:v>
                </c:pt>
                <c:pt idx="47">
                  <c:v>0.17598392069339752</c:v>
                </c:pt>
                <c:pt idx="48">
                  <c:v>0.30009648203849792</c:v>
                </c:pt>
                <c:pt idx="49">
                  <c:v>-0.513935387134552</c:v>
                </c:pt>
                <c:pt idx="50">
                  <c:v>-0.2717747688293457</c:v>
                </c:pt>
                <c:pt idx="51">
                  <c:v>-5.302877351641655E-2</c:v>
                </c:pt>
                <c:pt idx="52">
                  <c:v>0.10075753927230835</c:v>
                </c:pt>
                <c:pt idx="53">
                  <c:v>8.116932213306427E-2</c:v>
                </c:pt>
                <c:pt idx="54">
                  <c:v>0.18955595791339874</c:v>
                </c:pt>
                <c:pt idx="55">
                  <c:v>0.16715963184833527</c:v>
                </c:pt>
                <c:pt idx="56">
                  <c:v>3.6467742174863815E-2</c:v>
                </c:pt>
                <c:pt idx="57">
                  <c:v>0.15825451910495758</c:v>
                </c:pt>
                <c:pt idx="58">
                  <c:v>0.10835643857717514</c:v>
                </c:pt>
                <c:pt idx="59">
                  <c:v>-4.0032606571912766E-2</c:v>
                </c:pt>
                <c:pt idx="60">
                  <c:v>-6.8277686834335327E-2</c:v>
                </c:pt>
                <c:pt idx="61">
                  <c:v>-0.19137223064899445</c:v>
                </c:pt>
                <c:pt idx="62">
                  <c:v>-5.3458888083696365E-2</c:v>
                </c:pt>
                <c:pt idx="63">
                  <c:v>5.0062704831361771E-2</c:v>
                </c:pt>
                <c:pt idx="64">
                  <c:v>-0.18887795507907867</c:v>
                </c:pt>
                <c:pt idx="65">
                  <c:v>-0.17550654709339142</c:v>
                </c:pt>
                <c:pt idx="66">
                  <c:v>-7.0547707378864288E-2</c:v>
                </c:pt>
                <c:pt idx="67">
                  <c:v>-3.4314703196287155E-2</c:v>
                </c:pt>
                <c:pt idx="68">
                  <c:v>3.4155908972024918E-2</c:v>
                </c:pt>
                <c:pt idx="69">
                  <c:v>9.8583057522773743E-2</c:v>
                </c:pt>
                <c:pt idx="70">
                  <c:v>0.13991589844226837</c:v>
                </c:pt>
                <c:pt idx="71">
                  <c:v>0.1965920478105545</c:v>
                </c:pt>
                <c:pt idx="72">
                  <c:v>-0.25129705667495728</c:v>
                </c:pt>
                <c:pt idx="73">
                  <c:v>-0.24487696588039398</c:v>
                </c:pt>
                <c:pt idx="74">
                  <c:v>7.9226158559322357E-3</c:v>
                </c:pt>
                <c:pt idx="75">
                  <c:v>0.18434454500675201</c:v>
                </c:pt>
                <c:pt idx="76">
                  <c:v>0.13701477646827698</c:v>
                </c:pt>
                <c:pt idx="77">
                  <c:v>0.18402020633220673</c:v>
                </c:pt>
                <c:pt idx="78">
                  <c:v>-1.5677172690629959E-2</c:v>
                </c:pt>
                <c:pt idx="79">
                  <c:v>-1.4509684406220913E-3</c:v>
                </c:pt>
                <c:pt idx="80">
                  <c:v>-0.31315919756889343</c:v>
                </c:pt>
                <c:pt idx="81">
                  <c:v>-0.10346437245607376</c:v>
                </c:pt>
                <c:pt idx="82">
                  <c:v>-8.9059539139270782E-2</c:v>
                </c:pt>
                <c:pt idx="83">
                  <c:v>-5.3857218474149704E-2</c:v>
                </c:pt>
                <c:pt idx="84">
                  <c:v>0.28182554244995117</c:v>
                </c:pt>
                <c:pt idx="85">
                  <c:v>0.23676587641239166</c:v>
                </c:pt>
                <c:pt idx="86">
                  <c:v>4.9688946455717087E-2</c:v>
                </c:pt>
                <c:pt idx="87">
                  <c:v>-8.7400507181882858E-3</c:v>
                </c:pt>
                <c:pt idx="88">
                  <c:v>4.64218370616436E-2</c:v>
                </c:pt>
                <c:pt idx="89">
                  <c:v>0.1443345695734024</c:v>
                </c:pt>
                <c:pt idx="90">
                  <c:v>-1.2910041958093643E-2</c:v>
                </c:pt>
                <c:pt idx="91">
                  <c:v>9.7710061818361282E-3</c:v>
                </c:pt>
                <c:pt idx="92">
                  <c:v>-7.7023714780807495E-2</c:v>
                </c:pt>
                <c:pt idx="93">
                  <c:v>-0.10165782272815704</c:v>
                </c:pt>
                <c:pt idx="94">
                  <c:v>1.9372623413801193E-2</c:v>
                </c:pt>
                <c:pt idx="95">
                  <c:v>-2.8308464214205742E-2</c:v>
                </c:pt>
                <c:pt idx="96">
                  <c:v>8.7615236639976501E-2</c:v>
                </c:pt>
                <c:pt idx="97">
                  <c:v>0.30463260412216187</c:v>
                </c:pt>
                <c:pt idx="98">
                  <c:v>0.10090159624814987</c:v>
                </c:pt>
                <c:pt idx="99">
                  <c:v>-0.17587991058826447</c:v>
                </c:pt>
                <c:pt idx="100">
                  <c:v>-0.20398002862930298</c:v>
                </c:pt>
                <c:pt idx="101">
                  <c:v>-0.13456372916698456</c:v>
                </c:pt>
                <c:pt idx="102">
                  <c:v>8.7462170049548149E-3</c:v>
                </c:pt>
                <c:pt idx="103">
                  <c:v>1.2528019025921822E-2</c:v>
                </c:pt>
                <c:pt idx="104">
                  <c:v>-0.1997598260641098</c:v>
                </c:pt>
                <c:pt idx="105">
                  <c:v>-3.4748472273349762E-2</c:v>
                </c:pt>
                <c:pt idx="106">
                  <c:v>3.6625053733587265E-2</c:v>
                </c:pt>
                <c:pt idx="107">
                  <c:v>6.1309296637773514E-2</c:v>
                </c:pt>
                <c:pt idx="108">
                  <c:v>-3.5828020423650742E-2</c:v>
                </c:pt>
                <c:pt idx="109">
                  <c:v>4.7897201031446457E-2</c:v>
                </c:pt>
                <c:pt idx="110">
                  <c:v>5.1047783344984055E-2</c:v>
                </c:pt>
                <c:pt idx="111">
                  <c:v>7.3456987738609314E-2</c:v>
                </c:pt>
                <c:pt idx="112">
                  <c:v>0.10407565534114838</c:v>
                </c:pt>
                <c:pt idx="113">
                  <c:v>-5.1682539284229279E-2</c:v>
                </c:pt>
                <c:pt idx="114">
                  <c:v>-5.3723815828561783E-2</c:v>
                </c:pt>
                <c:pt idx="115">
                  <c:v>-0.20144052803516388</c:v>
                </c:pt>
                <c:pt idx="116">
                  <c:v>-7.5628340244293213E-2</c:v>
                </c:pt>
                <c:pt idx="117">
                  <c:v>8.7656214833259583E-2</c:v>
                </c:pt>
                <c:pt idx="118">
                  <c:v>9.2397041618824005E-2</c:v>
                </c:pt>
                <c:pt idx="119">
                  <c:v>9.8346307873725891E-2</c:v>
                </c:pt>
                <c:pt idx="120">
                  <c:v>0.49202051758766174</c:v>
                </c:pt>
                <c:pt idx="121">
                  <c:v>0.47560727596282959</c:v>
                </c:pt>
                <c:pt idx="122">
                  <c:v>-0.18717008829116821</c:v>
                </c:pt>
                <c:pt idx="123">
                  <c:v>-0.37052297592163086</c:v>
                </c:pt>
                <c:pt idx="124">
                  <c:v>-0.3404310941696167</c:v>
                </c:pt>
                <c:pt idx="125">
                  <c:v>-0.32585203647613525</c:v>
                </c:pt>
                <c:pt idx="126">
                  <c:v>-0.20715950429439545</c:v>
                </c:pt>
                <c:pt idx="127">
                  <c:v>0.46350792050361633</c:v>
                </c:pt>
                <c:pt idx="128">
                  <c:v>0.44960889220237732</c:v>
                </c:pt>
                <c:pt idx="129">
                  <c:v>-0.26255983114242554</c:v>
                </c:pt>
                <c:pt idx="130">
                  <c:v>-5.7503823190927505E-2</c:v>
                </c:pt>
                <c:pt idx="131">
                  <c:v>4.5035291463136673E-2</c:v>
                </c:pt>
                <c:pt idx="132">
                  <c:v>1.7421545460820198E-2</c:v>
                </c:pt>
                <c:pt idx="133">
                  <c:v>-2.2059367969632149E-2</c:v>
                </c:pt>
                <c:pt idx="134">
                  <c:v>-8.7006144225597382E-2</c:v>
                </c:pt>
                <c:pt idx="135">
                  <c:v>-8.2936570048332214E-2</c:v>
                </c:pt>
                <c:pt idx="136">
                  <c:v>0.15947170555591583</c:v>
                </c:pt>
                <c:pt idx="137">
                  <c:v>-3.3987541683018208E-3</c:v>
                </c:pt>
                <c:pt idx="138">
                  <c:v>3.117915615439415E-2</c:v>
                </c:pt>
                <c:pt idx="139">
                  <c:v>1.0004537180066109E-2</c:v>
                </c:pt>
                <c:pt idx="140">
                  <c:v>-3.7801112979650497E-2</c:v>
                </c:pt>
                <c:pt idx="141">
                  <c:v>-7.4434354901313782E-2</c:v>
                </c:pt>
                <c:pt idx="142">
                  <c:v>-3.9065796881914139E-2</c:v>
                </c:pt>
                <c:pt idx="143">
                  <c:v>-4.5955371111631393E-2</c:v>
                </c:pt>
                <c:pt idx="144">
                  <c:v>4.4766973704099655E-2</c:v>
                </c:pt>
                <c:pt idx="145">
                  <c:v>5.603935569524765E-2</c:v>
                </c:pt>
                <c:pt idx="146">
                  <c:v>-4.8054132610559464E-2</c:v>
                </c:pt>
                <c:pt idx="147">
                  <c:v>-2.1008117124438286E-2</c:v>
                </c:pt>
                <c:pt idx="148">
                  <c:v>-2.6144472882151604E-2</c:v>
                </c:pt>
                <c:pt idx="149">
                  <c:v>-7.7168522402644157E-3</c:v>
                </c:pt>
                <c:pt idx="150">
                  <c:v>5.7834791950881481E-3</c:v>
                </c:pt>
                <c:pt idx="151">
                  <c:v>-3.6662346683442593E-3</c:v>
                </c:pt>
                <c:pt idx="152">
                  <c:v>0.22080038487911224</c:v>
                </c:pt>
                <c:pt idx="153">
                  <c:v>0.3175625205039978</c:v>
                </c:pt>
                <c:pt idx="154">
                  <c:v>0.19911623001098633</c:v>
                </c:pt>
                <c:pt idx="155">
                  <c:v>4.8319865018129349E-2</c:v>
                </c:pt>
                <c:pt idx="156">
                  <c:v>-0.19827514886856079</c:v>
                </c:pt>
                <c:pt idx="157">
                  <c:v>-0.18037299811840057</c:v>
                </c:pt>
                <c:pt idx="158">
                  <c:v>-0.17730991542339325</c:v>
                </c:pt>
                <c:pt idx="159">
                  <c:v>-0.22984091937541962</c:v>
                </c:pt>
                <c:pt idx="160">
                  <c:v>0.16576708853244781</c:v>
                </c:pt>
                <c:pt idx="161">
                  <c:v>-9.933248907327652E-2</c:v>
                </c:pt>
                <c:pt idx="162">
                  <c:v>-0.10317216068506241</c:v>
                </c:pt>
                <c:pt idx="163">
                  <c:v>-0.12647871673107147</c:v>
                </c:pt>
                <c:pt idx="164">
                  <c:v>-8.394971489906311E-2</c:v>
                </c:pt>
                <c:pt idx="165">
                  <c:v>1.6752345487475395E-2</c:v>
                </c:pt>
                <c:pt idx="166">
                  <c:v>0.10567257553339005</c:v>
                </c:pt>
                <c:pt idx="167">
                  <c:v>0.12474106252193451</c:v>
                </c:pt>
                <c:pt idx="168">
                  <c:v>0.15768475830554962</c:v>
                </c:pt>
                <c:pt idx="169">
                  <c:v>5.8149717748165131E-2</c:v>
                </c:pt>
                <c:pt idx="170">
                  <c:v>7.3761425912380219E-2</c:v>
                </c:pt>
                <c:pt idx="171">
                  <c:v>0.18962980806827545</c:v>
                </c:pt>
                <c:pt idx="172">
                  <c:v>6.0518655925989151E-2</c:v>
                </c:pt>
                <c:pt idx="173">
                  <c:v>-0.16713745892047882</c:v>
                </c:pt>
                <c:pt idx="174">
                  <c:v>-0.25055095553398132</c:v>
                </c:pt>
                <c:pt idx="175">
                  <c:v>-0.12205596268177032</c:v>
                </c:pt>
                <c:pt idx="176">
                  <c:v>9.9687110632658005E-3</c:v>
                </c:pt>
                <c:pt idx="177">
                  <c:v>-0.11895237118005753</c:v>
                </c:pt>
                <c:pt idx="178">
                  <c:v>-0.25245288014411926</c:v>
                </c:pt>
                <c:pt idx="179">
                  <c:v>6.570984423160553E-2</c:v>
                </c:pt>
                <c:pt idx="180">
                  <c:v>8.0583482980728149E-2</c:v>
                </c:pt>
                <c:pt idx="181">
                  <c:v>0.11309735476970673</c:v>
                </c:pt>
                <c:pt idx="182">
                  <c:v>6.8311966955661774E-2</c:v>
                </c:pt>
                <c:pt idx="183">
                  <c:v>3.3733893185853958E-2</c:v>
                </c:pt>
                <c:pt idx="184">
                  <c:v>9.7498610615730286E-2</c:v>
                </c:pt>
                <c:pt idx="185">
                  <c:v>-8.3495236933231354E-2</c:v>
                </c:pt>
                <c:pt idx="186">
                  <c:v>-0.11152604967355728</c:v>
                </c:pt>
                <c:pt idx="187">
                  <c:v>-1.5560610219836235E-2</c:v>
                </c:pt>
                <c:pt idx="188">
                  <c:v>1.0259779170155525E-2</c:v>
                </c:pt>
                <c:pt idx="189">
                  <c:v>6.328098475933075E-2</c:v>
                </c:pt>
                <c:pt idx="190">
                  <c:v>1.7460387200117111E-2</c:v>
                </c:pt>
                <c:pt idx="191">
                  <c:v>2.2082136943936348E-2</c:v>
                </c:pt>
                <c:pt idx="192">
                  <c:v>1.0791851207613945E-2</c:v>
                </c:pt>
                <c:pt idx="193">
                  <c:v>3.2209895551204681E-2</c:v>
                </c:pt>
                <c:pt idx="194">
                  <c:v>-9.3792833387851715E-2</c:v>
                </c:pt>
                <c:pt idx="195">
                  <c:v>-1.3620002195239067E-2</c:v>
                </c:pt>
                <c:pt idx="196">
                  <c:v>2.2464783862233162E-2</c:v>
                </c:pt>
                <c:pt idx="197">
                  <c:v>4.0709774941205978E-2</c:v>
                </c:pt>
                <c:pt idx="198">
                  <c:v>3.5800144542008638E-3</c:v>
                </c:pt>
                <c:pt idx="199">
                  <c:v>-2.3434883914887905E-3</c:v>
                </c:pt>
                <c:pt idx="200">
                  <c:v>-0.4061238169670105</c:v>
                </c:pt>
                <c:pt idx="201">
                  <c:v>-0.11331341415643692</c:v>
                </c:pt>
                <c:pt idx="202">
                  <c:v>-3.3593807369470596E-2</c:v>
                </c:pt>
                <c:pt idx="203">
                  <c:v>3.3634323626756668E-2</c:v>
                </c:pt>
                <c:pt idx="204">
                  <c:v>0.1898968517780304</c:v>
                </c:pt>
                <c:pt idx="205">
                  <c:v>0.24490503966808319</c:v>
                </c:pt>
                <c:pt idx="206">
                  <c:v>8.7835468351840973E-2</c:v>
                </c:pt>
                <c:pt idx="207">
                  <c:v>-3.2406575046479702E-3</c:v>
                </c:pt>
                <c:pt idx="208">
                  <c:v>-0.36079230904579163</c:v>
                </c:pt>
                <c:pt idx="209">
                  <c:v>-0.4084126353263855</c:v>
                </c:pt>
                <c:pt idx="210">
                  <c:v>-0.32897007465362549</c:v>
                </c:pt>
                <c:pt idx="211">
                  <c:v>-7.8829839825630188E-2</c:v>
                </c:pt>
                <c:pt idx="212">
                  <c:v>0.13414722681045532</c:v>
                </c:pt>
                <c:pt idx="213">
                  <c:v>0.14215643703937531</c:v>
                </c:pt>
                <c:pt idx="214">
                  <c:v>0.33606308698654175</c:v>
                </c:pt>
                <c:pt idx="215">
                  <c:v>0.56463807821273804</c:v>
                </c:pt>
                <c:pt idx="216">
                  <c:v>-0.28732776641845703</c:v>
                </c:pt>
                <c:pt idx="217">
                  <c:v>-0.27402499318122864</c:v>
                </c:pt>
                <c:pt idx="218">
                  <c:v>-0.14280173182487488</c:v>
                </c:pt>
                <c:pt idx="219">
                  <c:v>-0.11339227855205536</c:v>
                </c:pt>
                <c:pt idx="220">
                  <c:v>9.4222754240036011E-2</c:v>
                </c:pt>
                <c:pt idx="221">
                  <c:v>0.2200922816991806</c:v>
                </c:pt>
                <c:pt idx="222">
                  <c:v>0.21782051026821136</c:v>
                </c:pt>
                <c:pt idx="223">
                  <c:v>0.28541123867034912</c:v>
                </c:pt>
                <c:pt idx="224">
                  <c:v>-0.19241137802600861</c:v>
                </c:pt>
                <c:pt idx="225">
                  <c:v>-0.27144360542297363</c:v>
                </c:pt>
                <c:pt idx="226">
                  <c:v>0.19174724817276001</c:v>
                </c:pt>
                <c:pt idx="227">
                  <c:v>8.5509166121482849E-2</c:v>
                </c:pt>
                <c:pt idx="228">
                  <c:v>0.10291385650634766</c:v>
                </c:pt>
                <c:pt idx="229">
                  <c:v>0.12125135958194733</c:v>
                </c:pt>
                <c:pt idx="230">
                  <c:v>8.8043101131916046E-2</c:v>
                </c:pt>
                <c:pt idx="231">
                  <c:v>-0.12560974061489105</c:v>
                </c:pt>
                <c:pt idx="232">
                  <c:v>-5.1535356789827347E-2</c:v>
                </c:pt>
                <c:pt idx="233">
                  <c:v>4.3577872216701508E-2</c:v>
                </c:pt>
                <c:pt idx="234">
                  <c:v>0.16620424389839172</c:v>
                </c:pt>
                <c:pt idx="235">
                  <c:v>0.12000425159931183</c:v>
                </c:pt>
                <c:pt idx="236">
                  <c:v>2.0661087706685066E-2</c:v>
                </c:pt>
                <c:pt idx="237">
                  <c:v>-4.4518012553453445E-2</c:v>
                </c:pt>
                <c:pt idx="238">
                  <c:v>-9.1384314000606537E-2</c:v>
                </c:pt>
                <c:pt idx="239">
                  <c:v>-0.16300977766513824</c:v>
                </c:pt>
                <c:pt idx="240">
                  <c:v>-0.30680915713310242</c:v>
                </c:pt>
                <c:pt idx="241">
                  <c:v>8.2842104136943817E-2</c:v>
                </c:pt>
                <c:pt idx="242">
                  <c:v>9.0158276259899139E-2</c:v>
                </c:pt>
                <c:pt idx="243">
                  <c:v>8.649502694606781E-2</c:v>
                </c:pt>
                <c:pt idx="244">
                  <c:v>0.11889100074768066</c:v>
                </c:pt>
                <c:pt idx="245">
                  <c:v>-3.7903664633631706E-3</c:v>
                </c:pt>
                <c:pt idx="246">
                  <c:v>-1.7801631242036819E-2</c:v>
                </c:pt>
                <c:pt idx="247">
                  <c:v>-4.9985270947217941E-2</c:v>
                </c:pt>
                <c:pt idx="248">
                  <c:v>0.1207437664270401</c:v>
                </c:pt>
                <c:pt idx="249">
                  <c:v>1.5440425835549831E-2</c:v>
                </c:pt>
                <c:pt idx="250">
                  <c:v>-2.9947970062494278E-2</c:v>
                </c:pt>
                <c:pt idx="251">
                  <c:v>-3.2502572983503342E-2</c:v>
                </c:pt>
                <c:pt idx="252">
                  <c:v>-4.6320236288011074E-3</c:v>
                </c:pt>
                <c:pt idx="253">
                  <c:v>6.4135774970054626E-2</c:v>
                </c:pt>
                <c:pt idx="254">
                  <c:v>-2.371944859623909E-2</c:v>
                </c:pt>
                <c:pt idx="255">
                  <c:v>-0.10951794683933258</c:v>
                </c:pt>
                <c:pt idx="256">
                  <c:v>0.35239344835281372</c:v>
                </c:pt>
                <c:pt idx="257">
                  <c:v>0.47764042019844055</c:v>
                </c:pt>
                <c:pt idx="258">
                  <c:v>0.29500874876976013</c:v>
                </c:pt>
                <c:pt idx="259">
                  <c:v>0.12522591650485992</c:v>
                </c:pt>
                <c:pt idx="260">
                  <c:v>-0.1096782386302948</c:v>
                </c:pt>
                <c:pt idx="261">
                  <c:v>-0.39423128962516785</c:v>
                </c:pt>
                <c:pt idx="262">
                  <c:v>-0.34533724188804626</c:v>
                </c:pt>
                <c:pt idx="263">
                  <c:v>-0.40102177858352661</c:v>
                </c:pt>
                <c:pt idx="264">
                  <c:v>-0.14905263483524323</c:v>
                </c:pt>
                <c:pt idx="265">
                  <c:v>-0.10309679061174393</c:v>
                </c:pt>
                <c:pt idx="266">
                  <c:v>1.6185041517019272E-2</c:v>
                </c:pt>
                <c:pt idx="267">
                  <c:v>7.4640318751335144E-2</c:v>
                </c:pt>
                <c:pt idx="268">
                  <c:v>9.0539157390594482E-2</c:v>
                </c:pt>
                <c:pt idx="269">
                  <c:v>7.9925969243049622E-2</c:v>
                </c:pt>
                <c:pt idx="270">
                  <c:v>4.2861532419919968E-2</c:v>
                </c:pt>
                <c:pt idx="271">
                  <c:v>-5.2002590149641037E-2</c:v>
                </c:pt>
                <c:pt idx="272">
                  <c:v>-0.23829059302806854</c:v>
                </c:pt>
                <c:pt idx="273">
                  <c:v>-0.11921725422143936</c:v>
                </c:pt>
                <c:pt idx="274">
                  <c:v>-3.7829194217920303E-2</c:v>
                </c:pt>
                <c:pt idx="275">
                  <c:v>1.9485967233777046E-2</c:v>
                </c:pt>
                <c:pt idx="276">
                  <c:v>0.21197333931922913</c:v>
                </c:pt>
                <c:pt idx="277">
                  <c:v>0.26820126175880432</c:v>
                </c:pt>
                <c:pt idx="278">
                  <c:v>0.11105255037546158</c:v>
                </c:pt>
                <c:pt idx="279">
                  <c:v>-0.21537609398365021</c:v>
                </c:pt>
                <c:pt idx="280">
                  <c:v>-4.2610961943864822E-2</c:v>
                </c:pt>
                <c:pt idx="281">
                  <c:v>-4.0570862591266632E-2</c:v>
                </c:pt>
                <c:pt idx="282">
                  <c:v>-0.13753777742385864</c:v>
                </c:pt>
                <c:pt idx="283">
                  <c:v>-0.14112855494022369</c:v>
                </c:pt>
                <c:pt idx="284">
                  <c:v>-9.2316985130310059E-2</c:v>
                </c:pt>
                <c:pt idx="285">
                  <c:v>-7.3829768225550652E-3</c:v>
                </c:pt>
                <c:pt idx="286">
                  <c:v>7.8335769474506378E-2</c:v>
                </c:pt>
                <c:pt idx="287">
                  <c:v>0.38321235775947571</c:v>
                </c:pt>
                <c:pt idx="288">
                  <c:v>4.1260819882154465E-2</c:v>
                </c:pt>
                <c:pt idx="289">
                  <c:v>-0.16641302406787872</c:v>
                </c:pt>
                <c:pt idx="290">
                  <c:v>-7.9879648983478546E-2</c:v>
                </c:pt>
                <c:pt idx="291">
                  <c:v>-2.4220062419772148E-2</c:v>
                </c:pt>
                <c:pt idx="292">
                  <c:v>1.7190517857670784E-2</c:v>
                </c:pt>
                <c:pt idx="293">
                  <c:v>6.7683055996894836E-2</c:v>
                </c:pt>
                <c:pt idx="294">
                  <c:v>7.0860810577869415E-2</c:v>
                </c:pt>
                <c:pt idx="295">
                  <c:v>7.3517516255378723E-2</c:v>
                </c:pt>
                <c:pt idx="296">
                  <c:v>0.14442123472690582</c:v>
                </c:pt>
                <c:pt idx="297">
                  <c:v>0.19464142620563507</c:v>
                </c:pt>
                <c:pt idx="298">
                  <c:v>0.12692227959632874</c:v>
                </c:pt>
                <c:pt idx="299">
                  <c:v>6.6581442952156067E-2</c:v>
                </c:pt>
                <c:pt idx="300">
                  <c:v>-3.9587881416082382E-2</c:v>
                </c:pt>
                <c:pt idx="301">
                  <c:v>-0.16091050207614899</c:v>
                </c:pt>
                <c:pt idx="302">
                  <c:v>-0.18719841539859772</c:v>
                </c:pt>
                <c:pt idx="303">
                  <c:v>-0.14486958086490631</c:v>
                </c:pt>
                <c:pt idx="304">
                  <c:v>0.17613895237445831</c:v>
                </c:pt>
                <c:pt idx="305">
                  <c:v>0.22787858545780182</c:v>
                </c:pt>
                <c:pt idx="306">
                  <c:v>9.8952852189540863E-2</c:v>
                </c:pt>
                <c:pt idx="307">
                  <c:v>-3.1667780131101608E-3</c:v>
                </c:pt>
                <c:pt idx="308">
                  <c:v>-0.1029338538646698</c:v>
                </c:pt>
                <c:pt idx="309">
                  <c:v>-0.12340231239795685</c:v>
                </c:pt>
                <c:pt idx="310">
                  <c:v>-0.11096151918172836</c:v>
                </c:pt>
                <c:pt idx="311">
                  <c:v>-0.16250593960285187</c:v>
                </c:pt>
                <c:pt idx="312">
                  <c:v>4.2193900793790817E-2</c:v>
                </c:pt>
                <c:pt idx="313">
                  <c:v>5.4818831384181976E-2</c:v>
                </c:pt>
                <c:pt idx="314">
                  <c:v>-1.0629866272211075E-2</c:v>
                </c:pt>
                <c:pt idx="315">
                  <c:v>1.5652971342206001E-2</c:v>
                </c:pt>
                <c:pt idx="316">
                  <c:v>-6.0997512191534042E-2</c:v>
                </c:pt>
                <c:pt idx="317">
                  <c:v>-2.9272573068737984E-2</c:v>
                </c:pt>
                <c:pt idx="318">
                  <c:v>2.5250773876905441E-2</c:v>
                </c:pt>
                <c:pt idx="319">
                  <c:v>-3.7016522139310837E-2</c:v>
                </c:pt>
                <c:pt idx="320">
                  <c:v>-0.42080587148666382</c:v>
                </c:pt>
                <c:pt idx="321">
                  <c:v>-0.1928548663854599</c:v>
                </c:pt>
                <c:pt idx="322">
                  <c:v>7.9958043992519379E-2</c:v>
                </c:pt>
                <c:pt idx="323">
                  <c:v>-1.7537219449877739E-2</c:v>
                </c:pt>
                <c:pt idx="324">
                  <c:v>-0.18897435069084167</c:v>
                </c:pt>
                <c:pt idx="325">
                  <c:v>-0.10586567223072052</c:v>
                </c:pt>
                <c:pt idx="326">
                  <c:v>0.35170832276344299</c:v>
                </c:pt>
                <c:pt idx="327">
                  <c:v>0.49437159299850464</c:v>
                </c:pt>
                <c:pt idx="328">
                  <c:v>7.0505514740943909E-2</c:v>
                </c:pt>
                <c:pt idx="329">
                  <c:v>5.7904325425624847E-2</c:v>
                </c:pt>
                <c:pt idx="330">
                  <c:v>3.607645258307457E-2</c:v>
                </c:pt>
                <c:pt idx="331">
                  <c:v>6.9231227040290833E-2</c:v>
                </c:pt>
                <c:pt idx="332">
                  <c:v>-9.2622667551040649E-2</c:v>
                </c:pt>
                <c:pt idx="333">
                  <c:v>-0.16263236105442047</c:v>
                </c:pt>
                <c:pt idx="334">
                  <c:v>-0.14440061151981354</c:v>
                </c:pt>
                <c:pt idx="335">
                  <c:v>0.1659381240606308</c:v>
                </c:pt>
                <c:pt idx="336">
                  <c:v>0.22737903892993927</c:v>
                </c:pt>
                <c:pt idx="337">
                  <c:v>0.19525517523288727</c:v>
                </c:pt>
                <c:pt idx="338">
                  <c:v>-7.0920325815677643E-3</c:v>
                </c:pt>
                <c:pt idx="339">
                  <c:v>-0.10255478322505951</c:v>
                </c:pt>
                <c:pt idx="340">
                  <c:v>-3.5901393741369247E-2</c:v>
                </c:pt>
                <c:pt idx="341">
                  <c:v>1.8253011628985405E-2</c:v>
                </c:pt>
                <c:pt idx="342">
                  <c:v>-0.11018344014883041</c:v>
                </c:pt>
                <c:pt idx="343">
                  <c:v>-0.18515558540821075</c:v>
                </c:pt>
                <c:pt idx="344">
                  <c:v>0.11942507326602936</c:v>
                </c:pt>
                <c:pt idx="345">
                  <c:v>0.21838302910327911</c:v>
                </c:pt>
                <c:pt idx="346">
                  <c:v>-4.5765135437250137E-2</c:v>
                </c:pt>
                <c:pt idx="347">
                  <c:v>-1.8729371950030327E-2</c:v>
                </c:pt>
                <c:pt idx="348">
                  <c:v>-6.1028029769659042E-2</c:v>
                </c:pt>
                <c:pt idx="349">
                  <c:v>-9.3263164162635803E-2</c:v>
                </c:pt>
                <c:pt idx="350">
                  <c:v>-7.693924754858017E-2</c:v>
                </c:pt>
                <c:pt idx="351">
                  <c:v>-4.2083155363798141E-2</c:v>
                </c:pt>
                <c:pt idx="352">
                  <c:v>-0.52078640460968018</c:v>
                </c:pt>
                <c:pt idx="353">
                  <c:v>-0.48922890424728394</c:v>
                </c:pt>
                <c:pt idx="354">
                  <c:v>-0.25219810009002686</c:v>
                </c:pt>
                <c:pt idx="355">
                  <c:v>0.16172902286052704</c:v>
                </c:pt>
                <c:pt idx="356">
                  <c:v>0.2232094407081604</c:v>
                </c:pt>
                <c:pt idx="357">
                  <c:v>0.31712013483047485</c:v>
                </c:pt>
                <c:pt idx="358">
                  <c:v>0.28752273321151733</c:v>
                </c:pt>
                <c:pt idx="359">
                  <c:v>0.27263209223747253</c:v>
                </c:pt>
                <c:pt idx="360">
                  <c:v>8.1356599926948547E-2</c:v>
                </c:pt>
                <c:pt idx="361">
                  <c:v>0.13245917856693268</c:v>
                </c:pt>
                <c:pt idx="362">
                  <c:v>9.2196069657802582E-2</c:v>
                </c:pt>
                <c:pt idx="363">
                  <c:v>1.6604797914624214E-2</c:v>
                </c:pt>
                <c:pt idx="364">
                  <c:v>-0.1149267852306366</c:v>
                </c:pt>
                <c:pt idx="365">
                  <c:v>-1.9476132467389107E-2</c:v>
                </c:pt>
                <c:pt idx="366">
                  <c:v>-2.7648050338029861E-2</c:v>
                </c:pt>
                <c:pt idx="367">
                  <c:v>-0.16056568920612335</c:v>
                </c:pt>
                <c:pt idx="368">
                  <c:v>-0.13241751492023468</c:v>
                </c:pt>
                <c:pt idx="369">
                  <c:v>-0.20432056486606598</c:v>
                </c:pt>
                <c:pt idx="370">
                  <c:v>-1.1179033666849136E-2</c:v>
                </c:pt>
                <c:pt idx="371">
                  <c:v>-0.24129153788089752</c:v>
                </c:pt>
                <c:pt idx="372">
                  <c:v>9.5230359584093094E-3</c:v>
                </c:pt>
                <c:pt idx="373">
                  <c:v>0.19400753080844879</c:v>
                </c:pt>
                <c:pt idx="374">
                  <c:v>0.21816684305667877</c:v>
                </c:pt>
                <c:pt idx="375">
                  <c:v>0.1675112396478653</c:v>
                </c:pt>
                <c:pt idx="376">
                  <c:v>-4.3932307511568069E-2</c:v>
                </c:pt>
                <c:pt idx="377">
                  <c:v>-8.6147703230381012E-2</c:v>
                </c:pt>
                <c:pt idx="378">
                  <c:v>-4.6022746711969376E-2</c:v>
                </c:pt>
                <c:pt idx="379">
                  <c:v>3.4739453345537186E-2</c:v>
                </c:pt>
                <c:pt idx="380">
                  <c:v>4.0540788322687149E-2</c:v>
                </c:pt>
                <c:pt idx="381">
                  <c:v>4.5740466564893723E-2</c:v>
                </c:pt>
                <c:pt idx="382">
                  <c:v>5.7319145649671555E-2</c:v>
                </c:pt>
                <c:pt idx="383">
                  <c:v>-2.2370941005647182E-3</c:v>
                </c:pt>
                <c:pt idx="384">
                  <c:v>0.2184271365404129</c:v>
                </c:pt>
                <c:pt idx="385">
                  <c:v>0.14066900312900543</c:v>
                </c:pt>
                <c:pt idx="386">
                  <c:v>1.3232912868261337E-2</c:v>
                </c:pt>
                <c:pt idx="387">
                  <c:v>1.9426513463258743E-3</c:v>
                </c:pt>
                <c:pt idx="388">
                  <c:v>-9.064134955406189E-2</c:v>
                </c:pt>
                <c:pt idx="389">
                  <c:v>-8.6273506283760071E-2</c:v>
                </c:pt>
                <c:pt idx="390">
                  <c:v>-0.13072414696216583</c:v>
                </c:pt>
                <c:pt idx="391">
                  <c:v>-6.6632702946662903E-2</c:v>
                </c:pt>
                <c:pt idx="392">
                  <c:v>0.10610415041446686</c:v>
                </c:pt>
                <c:pt idx="393">
                  <c:v>0.14319391548633575</c:v>
                </c:pt>
                <c:pt idx="394">
                  <c:v>4.8047330230474472E-2</c:v>
                </c:pt>
                <c:pt idx="395">
                  <c:v>-8.8676642626523972E-3</c:v>
                </c:pt>
                <c:pt idx="396">
                  <c:v>7.7316374517977238E-4</c:v>
                </c:pt>
                <c:pt idx="397">
                  <c:v>-1.6993062570691109E-2</c:v>
                </c:pt>
                <c:pt idx="398">
                  <c:v>-9.8060034215450287E-2</c:v>
                </c:pt>
                <c:pt idx="399">
                  <c:v>-0.17419780790805817</c:v>
                </c:pt>
                <c:pt idx="400">
                  <c:v>5.5698882788419724E-2</c:v>
                </c:pt>
                <c:pt idx="401">
                  <c:v>4.6519480645656586E-2</c:v>
                </c:pt>
                <c:pt idx="402">
                  <c:v>5.1561381667852402E-2</c:v>
                </c:pt>
                <c:pt idx="403">
                  <c:v>0.17290528118610382</c:v>
                </c:pt>
                <c:pt idx="404">
                  <c:v>7.3794573545455933E-2</c:v>
                </c:pt>
                <c:pt idx="405">
                  <c:v>-0.1286928802728653</c:v>
                </c:pt>
                <c:pt idx="406">
                  <c:v>-0.14515484869480133</c:v>
                </c:pt>
                <c:pt idx="407">
                  <c:v>-0.12663187086582184</c:v>
                </c:pt>
                <c:pt idx="408">
                  <c:v>1.1511756107211113E-2</c:v>
                </c:pt>
                <c:pt idx="409">
                  <c:v>0.11401023715734482</c:v>
                </c:pt>
                <c:pt idx="410">
                  <c:v>0.20127293467521667</c:v>
                </c:pt>
                <c:pt idx="411">
                  <c:v>0.10839678347110748</c:v>
                </c:pt>
                <c:pt idx="412">
                  <c:v>8.1814676523208618E-2</c:v>
                </c:pt>
                <c:pt idx="413">
                  <c:v>8.958977647125721E-3</c:v>
                </c:pt>
                <c:pt idx="414">
                  <c:v>-0.22498150169849396</c:v>
                </c:pt>
                <c:pt idx="415">
                  <c:v>-0.30098384618759155</c:v>
                </c:pt>
                <c:pt idx="416">
                  <c:v>-0.18711142241954803</c:v>
                </c:pt>
                <c:pt idx="417">
                  <c:v>0.14474929869174957</c:v>
                </c:pt>
                <c:pt idx="418">
                  <c:v>0.1036817654967308</c:v>
                </c:pt>
                <c:pt idx="419">
                  <c:v>-7.0370659232139587E-2</c:v>
                </c:pt>
                <c:pt idx="420">
                  <c:v>-7.9037755727767944E-2</c:v>
                </c:pt>
                <c:pt idx="421">
                  <c:v>-1.7236309126019478E-2</c:v>
                </c:pt>
                <c:pt idx="422">
                  <c:v>6.4191378653049469E-2</c:v>
                </c:pt>
                <c:pt idx="423">
                  <c:v>4.1133690625429153E-2</c:v>
                </c:pt>
                <c:pt idx="424">
                  <c:v>-1.5060179866850376E-3</c:v>
                </c:pt>
                <c:pt idx="425">
                  <c:v>0.14437080919742584</c:v>
                </c:pt>
                <c:pt idx="426">
                  <c:v>8.1857047975063324E-2</c:v>
                </c:pt>
                <c:pt idx="427">
                  <c:v>-4.4259648770093918E-2</c:v>
                </c:pt>
                <c:pt idx="428">
                  <c:v>-8.8112324476242065E-2</c:v>
                </c:pt>
                <c:pt idx="429">
                  <c:v>-5.6119401007890701E-2</c:v>
                </c:pt>
                <c:pt idx="430">
                  <c:v>-1.5458901412785053E-2</c:v>
                </c:pt>
                <c:pt idx="431">
                  <c:v>-2.0771576091647148E-2</c:v>
                </c:pt>
                <c:pt idx="432">
                  <c:v>-0.18366537988185883</c:v>
                </c:pt>
                <c:pt idx="433">
                  <c:v>-6.2856592237949371E-2</c:v>
                </c:pt>
                <c:pt idx="434">
                  <c:v>5.6718848645687103E-3</c:v>
                </c:pt>
                <c:pt idx="435">
                  <c:v>-3.2534163445234299E-2</c:v>
                </c:pt>
                <c:pt idx="436">
                  <c:v>7.5536691583693027E-3</c:v>
                </c:pt>
                <c:pt idx="437">
                  <c:v>4.8275332897901535E-2</c:v>
                </c:pt>
                <c:pt idx="438">
                  <c:v>9.0103603899478912E-2</c:v>
                </c:pt>
                <c:pt idx="439">
                  <c:v>0.12745164334774017</c:v>
                </c:pt>
                <c:pt idx="440">
                  <c:v>0.1184975653886795</c:v>
                </c:pt>
                <c:pt idx="441">
                  <c:v>0.10008206218481064</c:v>
                </c:pt>
                <c:pt idx="442">
                  <c:v>7.6260767877101898E-2</c:v>
                </c:pt>
                <c:pt idx="443">
                  <c:v>4.8769969493150711E-2</c:v>
                </c:pt>
                <c:pt idx="444">
                  <c:v>-5.8101094327867031E-3</c:v>
                </c:pt>
                <c:pt idx="445">
                  <c:v>-5.2167017012834549E-2</c:v>
                </c:pt>
                <c:pt idx="446">
                  <c:v>-0.1258968859910965</c:v>
                </c:pt>
                <c:pt idx="447">
                  <c:v>-0.15973635017871857</c:v>
                </c:pt>
                <c:pt idx="448">
                  <c:v>0.28983837366104126</c:v>
                </c:pt>
                <c:pt idx="449">
                  <c:v>9.8431132733821869E-2</c:v>
                </c:pt>
                <c:pt idx="450">
                  <c:v>-0.11235133558511734</c:v>
                </c:pt>
                <c:pt idx="451">
                  <c:v>-0.31223806738853455</c:v>
                </c:pt>
                <c:pt idx="452">
                  <c:v>-0.45779535174369812</c:v>
                </c:pt>
                <c:pt idx="453">
                  <c:v>4.9496691673994064E-2</c:v>
                </c:pt>
                <c:pt idx="454">
                  <c:v>0.18627230823040009</c:v>
                </c:pt>
                <c:pt idx="455">
                  <c:v>0.25834625959396362</c:v>
                </c:pt>
                <c:pt idx="456">
                  <c:v>6.7582592368125916E-2</c:v>
                </c:pt>
                <c:pt idx="457">
                  <c:v>0.12756769359111786</c:v>
                </c:pt>
                <c:pt idx="458">
                  <c:v>-4.9422983080148697E-2</c:v>
                </c:pt>
                <c:pt idx="459">
                  <c:v>-3.4708451479673386E-2</c:v>
                </c:pt>
                <c:pt idx="460">
                  <c:v>-5.7994898408651352E-2</c:v>
                </c:pt>
                <c:pt idx="461">
                  <c:v>5.2582742646336555E-3</c:v>
                </c:pt>
                <c:pt idx="462">
                  <c:v>-2.5100160390138626E-2</c:v>
                </c:pt>
                <c:pt idx="463">
                  <c:v>-3.3182065933942795E-2</c:v>
                </c:pt>
                <c:pt idx="464">
                  <c:v>-9.3047782778739929E-2</c:v>
                </c:pt>
                <c:pt idx="465">
                  <c:v>9.7057603299617767E-2</c:v>
                </c:pt>
                <c:pt idx="466">
                  <c:v>7.6314292848110199E-2</c:v>
                </c:pt>
                <c:pt idx="467">
                  <c:v>2.9686110094189644E-2</c:v>
                </c:pt>
                <c:pt idx="468">
                  <c:v>-1.6747681424021721E-2</c:v>
                </c:pt>
                <c:pt idx="469">
                  <c:v>2.6047272607684135E-2</c:v>
                </c:pt>
                <c:pt idx="470">
                  <c:v>-7.0021939463913441E-3</c:v>
                </c:pt>
                <c:pt idx="471">
                  <c:v>-0.11230762302875519</c:v>
                </c:pt>
                <c:pt idx="472">
                  <c:v>0.16159035265445709</c:v>
                </c:pt>
                <c:pt idx="473">
                  <c:v>0.20617122948169708</c:v>
                </c:pt>
                <c:pt idx="474">
                  <c:v>0.16320493817329407</c:v>
                </c:pt>
                <c:pt idx="475">
                  <c:v>5.2734453231096268E-2</c:v>
                </c:pt>
                <c:pt idx="476">
                  <c:v>-1.318695954978466E-2</c:v>
                </c:pt>
                <c:pt idx="477">
                  <c:v>-7.8486457467079163E-2</c:v>
                </c:pt>
                <c:pt idx="478">
                  <c:v>-0.22817720472812653</c:v>
                </c:pt>
                <c:pt idx="479">
                  <c:v>-0.26385033130645752</c:v>
                </c:pt>
                <c:pt idx="480">
                  <c:v>-1.5490936115384102E-2</c:v>
                </c:pt>
                <c:pt idx="481">
                  <c:v>-9.9172569811344147E-2</c:v>
                </c:pt>
                <c:pt idx="482">
                  <c:v>-8.8743604719638824E-2</c:v>
                </c:pt>
                <c:pt idx="483">
                  <c:v>-7.3275431990623474E-2</c:v>
                </c:pt>
                <c:pt idx="484">
                  <c:v>-2.3128954693675041E-2</c:v>
                </c:pt>
                <c:pt idx="485">
                  <c:v>0.10874371230602264</c:v>
                </c:pt>
                <c:pt idx="486">
                  <c:v>0.10474172979593277</c:v>
                </c:pt>
                <c:pt idx="487">
                  <c:v>8.6326047778129578E-2</c:v>
                </c:pt>
                <c:pt idx="488">
                  <c:v>0.1781821995973587</c:v>
                </c:pt>
                <c:pt idx="489">
                  <c:v>0.17738033831119537</c:v>
                </c:pt>
                <c:pt idx="490">
                  <c:v>-0.14015808701515198</c:v>
                </c:pt>
                <c:pt idx="491">
                  <c:v>-0.16500578820705414</c:v>
                </c:pt>
                <c:pt idx="492">
                  <c:v>-7.8067988157272339E-2</c:v>
                </c:pt>
                <c:pt idx="493">
                  <c:v>3.9583723992109299E-2</c:v>
                </c:pt>
                <c:pt idx="494">
                  <c:v>-4.1593391448259354E-2</c:v>
                </c:pt>
                <c:pt idx="495">
                  <c:v>2.9678987339138985E-2</c:v>
                </c:pt>
                <c:pt idx="496">
                  <c:v>2.0414425060153008E-2</c:v>
                </c:pt>
                <c:pt idx="497">
                  <c:v>0.22230054438114166</c:v>
                </c:pt>
                <c:pt idx="498">
                  <c:v>0.1922203004360199</c:v>
                </c:pt>
                <c:pt idx="499">
                  <c:v>0.11746300756931305</c:v>
                </c:pt>
                <c:pt idx="500">
                  <c:v>-0.10224148631095886</c:v>
                </c:pt>
                <c:pt idx="501">
                  <c:v>-0.21541662514209747</c:v>
                </c:pt>
                <c:pt idx="502">
                  <c:v>-9.8453126847743988E-2</c:v>
                </c:pt>
                <c:pt idx="503">
                  <c:v>-0.13628704845905304</c:v>
                </c:pt>
                <c:pt idx="504">
                  <c:v>-4.9228120595216751E-2</c:v>
                </c:pt>
                <c:pt idx="505">
                  <c:v>-2.740643173456192E-2</c:v>
                </c:pt>
                <c:pt idx="506">
                  <c:v>3.0283298343420029E-2</c:v>
                </c:pt>
                <c:pt idx="507">
                  <c:v>-5.0641130656003952E-3</c:v>
                </c:pt>
                <c:pt idx="508">
                  <c:v>-3.8704600185155869E-2</c:v>
                </c:pt>
                <c:pt idx="509">
                  <c:v>4.2405169457197189E-2</c:v>
                </c:pt>
                <c:pt idx="510">
                  <c:v>4.1937988251447678E-2</c:v>
                </c:pt>
                <c:pt idx="511">
                  <c:v>5.7768099941313267E-3</c:v>
                </c:pt>
                <c:pt idx="512">
                  <c:v>3.2463144510984421E-2</c:v>
                </c:pt>
                <c:pt idx="513">
                  <c:v>1.3685486279428005E-2</c:v>
                </c:pt>
                <c:pt idx="514">
                  <c:v>7.5491033494472504E-2</c:v>
                </c:pt>
                <c:pt idx="515">
                  <c:v>-6.1663728207349777E-2</c:v>
                </c:pt>
                <c:pt idx="516">
                  <c:v>-2.1426358725875616E-3</c:v>
                </c:pt>
                <c:pt idx="517">
                  <c:v>4.8276226967573166E-2</c:v>
                </c:pt>
                <c:pt idx="518">
                  <c:v>-3.8296777755022049E-2</c:v>
                </c:pt>
                <c:pt idx="519">
                  <c:v>-6.7812755703926086E-2</c:v>
                </c:pt>
                <c:pt idx="520">
                  <c:v>0.41380706429481506</c:v>
                </c:pt>
                <c:pt idx="521">
                  <c:v>-9.1860897839069366E-2</c:v>
                </c:pt>
                <c:pt idx="522">
                  <c:v>-0.22086650133132935</c:v>
                </c:pt>
                <c:pt idx="523">
                  <c:v>-0.10017873346805573</c:v>
                </c:pt>
                <c:pt idx="524">
                  <c:v>4.2480830103158951E-2</c:v>
                </c:pt>
                <c:pt idx="525">
                  <c:v>8.7920323014259338E-2</c:v>
                </c:pt>
                <c:pt idx="526">
                  <c:v>-9.0858833864331245E-3</c:v>
                </c:pt>
                <c:pt idx="527">
                  <c:v>-0.12221620976924896</c:v>
                </c:pt>
                <c:pt idx="528">
                  <c:v>-6.4575180411338806E-2</c:v>
                </c:pt>
                <c:pt idx="529">
                  <c:v>-5.6019206531345844E-3</c:v>
                </c:pt>
                <c:pt idx="530">
                  <c:v>9.1698907315731049E-2</c:v>
                </c:pt>
                <c:pt idx="531">
                  <c:v>0.15361030399799347</c:v>
                </c:pt>
                <c:pt idx="532">
                  <c:v>9.956786036491394E-2</c:v>
                </c:pt>
                <c:pt idx="533">
                  <c:v>2.5050463154911995E-3</c:v>
                </c:pt>
                <c:pt idx="534">
                  <c:v>-0.18744029104709625</c:v>
                </c:pt>
                <c:pt idx="535">
                  <c:v>-8.9764729142189026E-2</c:v>
                </c:pt>
                <c:pt idx="536">
                  <c:v>-0.3284798264503479</c:v>
                </c:pt>
                <c:pt idx="537">
                  <c:v>-0.49157652258872986</c:v>
                </c:pt>
                <c:pt idx="538">
                  <c:v>-0.12093047052621841</c:v>
                </c:pt>
                <c:pt idx="539">
                  <c:v>0.34464886784553528</c:v>
                </c:pt>
                <c:pt idx="540">
                  <c:v>0.42556968331336975</c:v>
                </c:pt>
                <c:pt idx="541">
                  <c:v>0.10635749995708466</c:v>
                </c:pt>
                <c:pt idx="542">
                  <c:v>0.20038585364818573</c:v>
                </c:pt>
                <c:pt idx="543">
                  <c:v>-0.13597507774829865</c:v>
                </c:pt>
                <c:pt idx="544">
                  <c:v>3.1241042539477348E-2</c:v>
                </c:pt>
                <c:pt idx="545">
                  <c:v>-5.5551012046635151E-3</c:v>
                </c:pt>
                <c:pt idx="546">
                  <c:v>0.24990808963775635</c:v>
                </c:pt>
                <c:pt idx="547">
                  <c:v>0.14605371654033661</c:v>
                </c:pt>
                <c:pt idx="548">
                  <c:v>-5.4439004510641098E-2</c:v>
                </c:pt>
                <c:pt idx="549">
                  <c:v>-0.14337866008281708</c:v>
                </c:pt>
                <c:pt idx="550">
                  <c:v>-0.11437254399061203</c:v>
                </c:pt>
                <c:pt idx="551">
                  <c:v>-0.10945753753185272</c:v>
                </c:pt>
                <c:pt idx="552">
                  <c:v>8.6064651608467102E-2</c:v>
                </c:pt>
                <c:pt idx="553">
                  <c:v>0.10961606353521347</c:v>
                </c:pt>
                <c:pt idx="554">
                  <c:v>5.147489532828331E-2</c:v>
                </c:pt>
                <c:pt idx="555">
                  <c:v>6.8169999867677689E-3</c:v>
                </c:pt>
                <c:pt idx="556">
                  <c:v>-5.636898335069418E-3</c:v>
                </c:pt>
                <c:pt idx="557">
                  <c:v>-4.3950993567705154E-2</c:v>
                </c:pt>
                <c:pt idx="558">
                  <c:v>-7.932504266500473E-2</c:v>
                </c:pt>
                <c:pt idx="559">
                  <c:v>-0.12505967915058136</c:v>
                </c:pt>
                <c:pt idx="560">
                  <c:v>0.27973487973213196</c:v>
                </c:pt>
                <c:pt idx="561">
                  <c:v>0.34688210487365723</c:v>
                </c:pt>
                <c:pt idx="562">
                  <c:v>0.13663703203201294</c:v>
                </c:pt>
                <c:pt idx="563">
                  <c:v>-3.9242874830961227E-2</c:v>
                </c:pt>
                <c:pt idx="564">
                  <c:v>-4.1908737272024155E-2</c:v>
                </c:pt>
                <c:pt idx="565">
                  <c:v>-0.18777512013912201</c:v>
                </c:pt>
                <c:pt idx="566">
                  <c:v>-0.24278722703456879</c:v>
                </c:pt>
                <c:pt idx="567">
                  <c:v>-0.25154003500938416</c:v>
                </c:pt>
              </c:numCache>
            </c:numRef>
          </c:xVal>
          <c:yVal>
            <c:numRef>
              <c:f>Sheet1!$F$2:$F$569</c:f>
              <c:numCache>
                <c:formatCode>0.00</c:formatCode>
                <c:ptCount val="568"/>
                <c:pt idx="0">
                  <c:v>-1.0719946585595608E-2</c:v>
                </c:pt>
                <c:pt idx="1">
                  <c:v>-1.4814593829214573E-2</c:v>
                </c:pt>
                <c:pt idx="2">
                  <c:v>-1.3328457251191139E-2</c:v>
                </c:pt>
                <c:pt idx="3">
                  <c:v>-9.7012268379330635E-3</c:v>
                </c:pt>
                <c:pt idx="4">
                  <c:v>-5.1962025463581085E-4</c:v>
                </c:pt>
                <c:pt idx="5">
                  <c:v>7.016901858150959E-3</c:v>
                </c:pt>
                <c:pt idx="6">
                  <c:v>1.6778472810983658E-2</c:v>
                </c:pt>
                <c:pt idx="7">
                  <c:v>2.5288468226790428E-2</c:v>
                </c:pt>
                <c:pt idx="8">
                  <c:v>2.3888299241662025E-2</c:v>
                </c:pt>
                <c:pt idx="9">
                  <c:v>3.4271381795406342E-2</c:v>
                </c:pt>
                <c:pt idx="10">
                  <c:v>2.1963572129607201E-2</c:v>
                </c:pt>
                <c:pt idx="11">
                  <c:v>3.7645348347723484E-3</c:v>
                </c:pt>
                <c:pt idx="12">
                  <c:v>-1.9319521263241768E-2</c:v>
                </c:pt>
                <c:pt idx="13">
                  <c:v>-3.3299561589956284E-2</c:v>
                </c:pt>
                <c:pt idx="14">
                  <c:v>-2.3400183767080307E-2</c:v>
                </c:pt>
                <c:pt idx="15">
                  <c:v>-7.8685218468308449E-3</c:v>
                </c:pt>
                <c:pt idx="16">
                  <c:v>-2.8542211279273033E-2</c:v>
                </c:pt>
                <c:pt idx="17">
                  <c:v>-1.2457110919058323E-2</c:v>
                </c:pt>
                <c:pt idx="18">
                  <c:v>3.0270575080066919E-3</c:v>
                </c:pt>
                <c:pt idx="19">
                  <c:v>3.3214184804819524E-4</c:v>
                </c:pt>
                <c:pt idx="20">
                  <c:v>1.1819731444120407E-3</c:v>
                </c:pt>
                <c:pt idx="21">
                  <c:v>5.9776352718472481E-3</c:v>
                </c:pt>
                <c:pt idx="22">
                  <c:v>1.3710503466427326E-2</c:v>
                </c:pt>
                <c:pt idx="23">
                  <c:v>1.6770010814070702E-2</c:v>
                </c:pt>
                <c:pt idx="24">
                  <c:v>-8.503635972738266E-2</c:v>
                </c:pt>
                <c:pt idx="25">
                  <c:v>-7.079971581697464E-2</c:v>
                </c:pt>
                <c:pt idx="26">
                  <c:v>-4.6690039336681366E-2</c:v>
                </c:pt>
                <c:pt idx="27">
                  <c:v>-1.4085416682064533E-2</c:v>
                </c:pt>
                <c:pt idx="28">
                  <c:v>2.9709799215197563E-2</c:v>
                </c:pt>
                <c:pt idx="29">
                  <c:v>5.6193206459283829E-2</c:v>
                </c:pt>
                <c:pt idx="30">
                  <c:v>6.381545215845108E-2</c:v>
                </c:pt>
                <c:pt idx="31">
                  <c:v>6.68930783867836E-2</c:v>
                </c:pt>
                <c:pt idx="32">
                  <c:v>-1.2179574929177761E-2</c:v>
                </c:pt>
                <c:pt idx="33">
                  <c:v>2.4669086560606956E-3</c:v>
                </c:pt>
                <c:pt idx="34">
                  <c:v>3.0306039843708277E-3</c:v>
                </c:pt>
                <c:pt idx="35">
                  <c:v>-3.7996820174157619E-3</c:v>
                </c:pt>
                <c:pt idx="36">
                  <c:v>-1.259269006550312E-2</c:v>
                </c:pt>
                <c:pt idx="37">
                  <c:v>-5.7385219261050224E-3</c:v>
                </c:pt>
                <c:pt idx="38">
                  <c:v>1.2194608338177204E-2</c:v>
                </c:pt>
                <c:pt idx="39">
                  <c:v>1.661834679543972E-2</c:v>
                </c:pt>
                <c:pt idx="40">
                  <c:v>-1.9547552801668644E-3</c:v>
                </c:pt>
                <c:pt idx="41">
                  <c:v>3.0564423650503159E-4</c:v>
                </c:pt>
                <c:pt idx="42">
                  <c:v>-5.3995259804651141E-4</c:v>
                </c:pt>
                <c:pt idx="43">
                  <c:v>7.8963726991787553E-4</c:v>
                </c:pt>
                <c:pt idx="44">
                  <c:v>2.6842188090085983E-3</c:v>
                </c:pt>
                <c:pt idx="45">
                  <c:v>7.2595936944708228E-4</c:v>
                </c:pt>
                <c:pt idx="46">
                  <c:v>-9.0625422308221459E-4</c:v>
                </c:pt>
                <c:pt idx="47">
                  <c:v>-1.1044975835829973E-3</c:v>
                </c:pt>
                <c:pt idx="48">
                  <c:v>-4.0112309157848358E-2</c:v>
                </c:pt>
                <c:pt idx="49">
                  <c:v>-3.6711074411869049E-2</c:v>
                </c:pt>
                <c:pt idx="50">
                  <c:v>-2.9767775908112526E-2</c:v>
                </c:pt>
                <c:pt idx="51">
                  <c:v>-1.7775153741240501E-2</c:v>
                </c:pt>
                <c:pt idx="52">
                  <c:v>-4.1043628007173538E-3</c:v>
                </c:pt>
                <c:pt idx="53">
                  <c:v>1.5016202814877033E-2</c:v>
                </c:pt>
                <c:pt idx="54">
                  <c:v>4.3205145746469498E-2</c:v>
                </c:pt>
                <c:pt idx="55">
                  <c:v>7.0249326527118683E-2</c:v>
                </c:pt>
                <c:pt idx="56">
                  <c:v>5.7191051542758942E-2</c:v>
                </c:pt>
                <c:pt idx="57">
                  <c:v>7.6113097369670868E-2</c:v>
                </c:pt>
                <c:pt idx="58">
                  <c:v>8.1791587173938751E-2</c:v>
                </c:pt>
                <c:pt idx="59">
                  <c:v>5.5098887532949448E-2</c:v>
                </c:pt>
                <c:pt idx="60">
                  <c:v>1.1421186849474907E-2</c:v>
                </c:pt>
                <c:pt idx="61">
                  <c:v>-5.511036142706871E-2</c:v>
                </c:pt>
                <c:pt idx="62">
                  <c:v>-9.8102949559688568E-2</c:v>
                </c:pt>
                <c:pt idx="63">
                  <c:v>-0.12840250134468079</c:v>
                </c:pt>
                <c:pt idx="64">
                  <c:v>6.9280005991458893E-2</c:v>
                </c:pt>
                <c:pt idx="65">
                  <c:v>5.1346592605113983E-2</c:v>
                </c:pt>
                <c:pt idx="66">
                  <c:v>3.1988747417926788E-2</c:v>
                </c:pt>
                <c:pt idx="67">
                  <c:v>1.0295446030795574E-2</c:v>
                </c:pt>
                <c:pt idx="68">
                  <c:v>-1.8583612516522408E-2</c:v>
                </c:pt>
                <c:pt idx="69">
                  <c:v>-4.4924225658178329E-2</c:v>
                </c:pt>
                <c:pt idx="70">
                  <c:v>-5.7161297649145126E-2</c:v>
                </c:pt>
                <c:pt idx="71">
                  <c:v>-4.2241655290126801E-2</c:v>
                </c:pt>
                <c:pt idx="72">
                  <c:v>2.483157254755497E-2</c:v>
                </c:pt>
                <c:pt idx="73">
                  <c:v>1.3592950068414211E-2</c:v>
                </c:pt>
                <c:pt idx="74">
                  <c:v>5.1611126400530338E-3</c:v>
                </c:pt>
                <c:pt idx="75">
                  <c:v>-1.7833759775385261E-3</c:v>
                </c:pt>
                <c:pt idx="76">
                  <c:v>-4.524843767285347E-3</c:v>
                </c:pt>
                <c:pt idx="77">
                  <c:v>-6.0549033805727959E-3</c:v>
                </c:pt>
                <c:pt idx="78">
                  <c:v>-1.2685562483966351E-2</c:v>
                </c:pt>
                <c:pt idx="79">
                  <c:v>-1.8536949530243874E-2</c:v>
                </c:pt>
                <c:pt idx="80">
                  <c:v>3.1116395257413387E-3</c:v>
                </c:pt>
                <c:pt idx="81">
                  <c:v>1.2566959485411644E-3</c:v>
                </c:pt>
                <c:pt idx="82">
                  <c:v>-3.442109446041286E-4</c:v>
                </c:pt>
                <c:pt idx="83">
                  <c:v>-4.045968409627676E-3</c:v>
                </c:pt>
                <c:pt idx="84">
                  <c:v>-2.8160978108644485E-3</c:v>
                </c:pt>
                <c:pt idx="85">
                  <c:v>-2.4343880795640871E-5</c:v>
                </c:pt>
                <c:pt idx="86">
                  <c:v>3.638015768956393E-4</c:v>
                </c:pt>
                <c:pt idx="87">
                  <c:v>2.4984839837998152E-3</c:v>
                </c:pt>
                <c:pt idx="88">
                  <c:v>-6.081125233322382E-3</c:v>
                </c:pt>
                <c:pt idx="89">
                  <c:v>-2.027113176882267E-2</c:v>
                </c:pt>
                <c:pt idx="90">
                  <c:v>-3.1445734202861786E-2</c:v>
                </c:pt>
                <c:pt idx="91">
                  <c:v>-2.7035778388381004E-2</c:v>
                </c:pt>
                <c:pt idx="92">
                  <c:v>-9.5731783658266068E-3</c:v>
                </c:pt>
                <c:pt idx="93">
                  <c:v>7.2840796783566475E-3</c:v>
                </c:pt>
                <c:pt idx="94">
                  <c:v>2.999630942940712E-2</c:v>
                </c:pt>
                <c:pt idx="95">
                  <c:v>5.7126559317111969E-2</c:v>
                </c:pt>
                <c:pt idx="96">
                  <c:v>3.9731569588184357E-2</c:v>
                </c:pt>
                <c:pt idx="97">
                  <c:v>3.5008929669857025E-2</c:v>
                </c:pt>
                <c:pt idx="98">
                  <c:v>2.499089203774929E-2</c:v>
                </c:pt>
                <c:pt idx="99">
                  <c:v>-1.2611419151653536E-5</c:v>
                </c:pt>
                <c:pt idx="100">
                  <c:v>-1.9237147644162178E-2</c:v>
                </c:pt>
                <c:pt idx="101">
                  <c:v>-1.9219394773244858E-2</c:v>
                </c:pt>
                <c:pt idx="102">
                  <c:v>-2.8970714658498764E-2</c:v>
                </c:pt>
                <c:pt idx="103">
                  <c:v>-3.2291524112224579E-2</c:v>
                </c:pt>
                <c:pt idx="104">
                  <c:v>-0.10766168683767319</c:v>
                </c:pt>
                <c:pt idx="105">
                  <c:v>-6.8456657230854034E-2</c:v>
                </c:pt>
                <c:pt idx="106">
                  <c:v>-4.4097243808209896E-3</c:v>
                </c:pt>
                <c:pt idx="107">
                  <c:v>3.3951994031667709E-2</c:v>
                </c:pt>
                <c:pt idx="108">
                  <c:v>4.8855166882276535E-2</c:v>
                </c:pt>
                <c:pt idx="109">
                  <c:v>4.7190401703119278E-2</c:v>
                </c:pt>
                <c:pt idx="110">
                  <c:v>2.1011088043451309E-2</c:v>
                </c:pt>
                <c:pt idx="111">
                  <c:v>2.9519414529204369E-2</c:v>
                </c:pt>
                <c:pt idx="112">
                  <c:v>-5.8538787066936493E-2</c:v>
                </c:pt>
                <c:pt idx="113">
                  <c:v>-4.5164741575717926E-2</c:v>
                </c:pt>
                <c:pt idx="114">
                  <c:v>-1.8838489428162575E-2</c:v>
                </c:pt>
                <c:pt idx="115">
                  <c:v>-3.651296254247427E-3</c:v>
                </c:pt>
                <c:pt idx="116">
                  <c:v>9.3931686133146286E-3</c:v>
                </c:pt>
                <c:pt idx="117">
                  <c:v>2.2765938192605972E-2</c:v>
                </c:pt>
                <c:pt idx="118">
                  <c:v>4.0121857076883316E-2</c:v>
                </c:pt>
                <c:pt idx="119">
                  <c:v>5.3912349045276642E-2</c:v>
                </c:pt>
                <c:pt idx="120">
                  <c:v>2.481372095644474E-2</c:v>
                </c:pt>
                <c:pt idx="121">
                  <c:v>2.0825644955039024E-2</c:v>
                </c:pt>
                <c:pt idx="122">
                  <c:v>8.2136150449514389E-3</c:v>
                </c:pt>
                <c:pt idx="123">
                  <c:v>-1.0442708618938923E-2</c:v>
                </c:pt>
                <c:pt idx="124">
                  <c:v>1.9754065200686455E-2</c:v>
                </c:pt>
                <c:pt idx="125">
                  <c:v>6.1218785122036934E-3</c:v>
                </c:pt>
                <c:pt idx="126">
                  <c:v>-1.8177744001150131E-2</c:v>
                </c:pt>
                <c:pt idx="127">
                  <c:v>-5.1108472049236298E-2</c:v>
                </c:pt>
                <c:pt idx="128">
                  <c:v>-4.4891111552715302E-2</c:v>
                </c:pt>
                <c:pt idx="129">
                  <c:v>-3.098706342279911E-2</c:v>
                </c:pt>
                <c:pt idx="130">
                  <c:v>-7.8930500894784927E-3</c:v>
                </c:pt>
                <c:pt idx="131">
                  <c:v>-3.7496439181268215E-3</c:v>
                </c:pt>
                <c:pt idx="132">
                  <c:v>4.5705568045377731E-3</c:v>
                </c:pt>
                <c:pt idx="133">
                  <c:v>1.6671840101480484E-2</c:v>
                </c:pt>
                <c:pt idx="134">
                  <c:v>3.0934754759073257E-2</c:v>
                </c:pt>
                <c:pt idx="135">
                  <c:v>3.53437140583992E-2</c:v>
                </c:pt>
                <c:pt idx="136">
                  <c:v>-4.0287815034389496E-2</c:v>
                </c:pt>
                <c:pt idx="137">
                  <c:v>-1.2733587063848972E-2</c:v>
                </c:pt>
                <c:pt idx="138">
                  <c:v>1.2721246108412743E-2</c:v>
                </c:pt>
                <c:pt idx="139">
                  <c:v>2.3414963856339455E-2</c:v>
                </c:pt>
                <c:pt idx="140">
                  <c:v>8.8441204279661179E-3</c:v>
                </c:pt>
                <c:pt idx="141">
                  <c:v>2.7945982292294502E-3</c:v>
                </c:pt>
                <c:pt idx="142">
                  <c:v>8.636091835796833E-3</c:v>
                </c:pt>
                <c:pt idx="143">
                  <c:v>-3.3896204549819231E-3</c:v>
                </c:pt>
                <c:pt idx="144">
                  <c:v>-6.5188787877559662E-2</c:v>
                </c:pt>
                <c:pt idx="145">
                  <c:v>-5.3575702011585236E-2</c:v>
                </c:pt>
                <c:pt idx="146">
                  <c:v>-2.2457951679825783E-2</c:v>
                </c:pt>
                <c:pt idx="147">
                  <c:v>7.5054713524878025E-3</c:v>
                </c:pt>
                <c:pt idx="148">
                  <c:v>2.2004289552569389E-2</c:v>
                </c:pt>
                <c:pt idx="149">
                  <c:v>2.7174267917871475E-2</c:v>
                </c:pt>
                <c:pt idx="150">
                  <c:v>3.9757762104272842E-2</c:v>
                </c:pt>
                <c:pt idx="151">
                  <c:v>4.4780649244785309E-2</c:v>
                </c:pt>
                <c:pt idx="152">
                  <c:v>1.9385585561394691E-2</c:v>
                </c:pt>
                <c:pt idx="153">
                  <c:v>2.1269043907523155E-2</c:v>
                </c:pt>
                <c:pt idx="154">
                  <c:v>2.7775799855589867E-2</c:v>
                </c:pt>
                <c:pt idx="155">
                  <c:v>3.3666577190160751E-2</c:v>
                </c:pt>
                <c:pt idx="156">
                  <c:v>2.5165392085909843E-2</c:v>
                </c:pt>
                <c:pt idx="157">
                  <c:v>-7.5102401897311211E-3</c:v>
                </c:pt>
                <c:pt idx="158">
                  <c:v>-4.1966494172811508E-2</c:v>
                </c:pt>
                <c:pt idx="159">
                  <c:v>-7.7785663306713104E-2</c:v>
                </c:pt>
                <c:pt idx="160">
                  <c:v>6.5049894154071808E-2</c:v>
                </c:pt>
                <c:pt idx="161">
                  <c:v>6.4961157739162445E-2</c:v>
                </c:pt>
                <c:pt idx="162">
                  <c:v>5.5223263800144196E-2</c:v>
                </c:pt>
                <c:pt idx="163">
                  <c:v>3.2391276210546494E-2</c:v>
                </c:pt>
                <c:pt idx="164">
                  <c:v>1.9517671316862106E-3</c:v>
                </c:pt>
                <c:pt idx="165">
                  <c:v>-4.5502956956624985E-2</c:v>
                </c:pt>
                <c:pt idx="166">
                  <c:v>-7.8182987868785858E-2</c:v>
                </c:pt>
                <c:pt idx="167">
                  <c:v>-9.5891408622264862E-2</c:v>
                </c:pt>
                <c:pt idx="168">
                  <c:v>-1.8112054094672203E-2</c:v>
                </c:pt>
                <c:pt idx="169">
                  <c:v>-1.2834467925131321E-2</c:v>
                </c:pt>
                <c:pt idx="170">
                  <c:v>-1.3074005022644997E-2</c:v>
                </c:pt>
                <c:pt idx="171">
                  <c:v>-2.1593963727355003E-2</c:v>
                </c:pt>
                <c:pt idx="172">
                  <c:v>-1.7693089321255684E-2</c:v>
                </c:pt>
                <c:pt idx="173">
                  <c:v>7.320706732571125E-3</c:v>
                </c:pt>
                <c:pt idx="174">
                  <c:v>4.1098896414041519E-2</c:v>
                </c:pt>
                <c:pt idx="175">
                  <c:v>3.4887976944446564E-2</c:v>
                </c:pt>
                <c:pt idx="176">
                  <c:v>-1.8667192198336124E-3</c:v>
                </c:pt>
                <c:pt idx="177">
                  <c:v>-3.0545661225914955E-2</c:v>
                </c:pt>
                <c:pt idx="178">
                  <c:v>-6.3529126346111298E-2</c:v>
                </c:pt>
                <c:pt idx="179">
                  <c:v>-6.3051886856555939E-2</c:v>
                </c:pt>
                <c:pt idx="180">
                  <c:v>-2.8319912031292915E-2</c:v>
                </c:pt>
                <c:pt idx="181">
                  <c:v>4.2141471058130264E-2</c:v>
                </c:pt>
                <c:pt idx="182">
                  <c:v>7.3672331869602203E-2</c:v>
                </c:pt>
                <c:pt idx="183">
                  <c:v>7.1499504148960114E-2</c:v>
                </c:pt>
                <c:pt idx="184">
                  <c:v>-4.8344992101192474E-2</c:v>
                </c:pt>
                <c:pt idx="185">
                  <c:v>-2.4443337693810463E-2</c:v>
                </c:pt>
                <c:pt idx="186">
                  <c:v>-5.7893930934369564E-3</c:v>
                </c:pt>
                <c:pt idx="187">
                  <c:v>2.0132609643042088E-3</c:v>
                </c:pt>
                <c:pt idx="188">
                  <c:v>5.6363772600889206E-3</c:v>
                </c:pt>
                <c:pt idx="189">
                  <c:v>1.1118446476757526E-2</c:v>
                </c:pt>
                <c:pt idx="190">
                  <c:v>2.0216260105371475E-2</c:v>
                </c:pt>
                <c:pt idx="191">
                  <c:v>3.9593376219272614E-2</c:v>
                </c:pt>
                <c:pt idx="192">
                  <c:v>9.7854817286133766E-3</c:v>
                </c:pt>
                <c:pt idx="193">
                  <c:v>-7.6234126463532448E-3</c:v>
                </c:pt>
                <c:pt idx="194">
                  <c:v>-1.5311622992157936E-2</c:v>
                </c:pt>
                <c:pt idx="195">
                  <c:v>-2.0087694749236107E-2</c:v>
                </c:pt>
                <c:pt idx="196">
                  <c:v>-8.796321228146553E-3</c:v>
                </c:pt>
                <c:pt idx="197">
                  <c:v>1.307940948754549E-2</c:v>
                </c:pt>
                <c:pt idx="198">
                  <c:v>1.6005281358957291E-2</c:v>
                </c:pt>
                <c:pt idx="199">
                  <c:v>1.2948877178132534E-2</c:v>
                </c:pt>
                <c:pt idx="200">
                  <c:v>1.8051603808999062E-2</c:v>
                </c:pt>
                <c:pt idx="201">
                  <c:v>1.092927809804678E-2</c:v>
                </c:pt>
                <c:pt idx="202">
                  <c:v>1.4653264079242945E-3</c:v>
                </c:pt>
                <c:pt idx="203">
                  <c:v>-1.2647693045437336E-2</c:v>
                </c:pt>
                <c:pt idx="204">
                  <c:v>-1.186557300388813E-2</c:v>
                </c:pt>
                <c:pt idx="205">
                  <c:v>2.4401294067502022E-3</c:v>
                </c:pt>
                <c:pt idx="206">
                  <c:v>-2.0035160705447197E-3</c:v>
                </c:pt>
                <c:pt idx="207">
                  <c:v>-6.3695544376969337E-3</c:v>
                </c:pt>
                <c:pt idx="208">
                  <c:v>-3.1920872628688812E-2</c:v>
                </c:pt>
                <c:pt idx="209">
                  <c:v>-2.3312652483582497E-3</c:v>
                </c:pt>
                <c:pt idx="210">
                  <c:v>-5.5688031716272235E-4</c:v>
                </c:pt>
                <c:pt idx="211">
                  <c:v>-3.9916089735925198E-3</c:v>
                </c:pt>
                <c:pt idx="212">
                  <c:v>1.5416009351611137E-2</c:v>
                </c:pt>
                <c:pt idx="213">
                  <c:v>3.2368157058954239E-2</c:v>
                </c:pt>
                <c:pt idx="214">
                  <c:v>4.4316994026303291E-3</c:v>
                </c:pt>
                <c:pt idx="215">
                  <c:v>-1.3415240682661533E-2</c:v>
                </c:pt>
                <c:pt idx="216">
                  <c:v>-2.8360893949866295E-2</c:v>
                </c:pt>
                <c:pt idx="217">
                  <c:v>-2.3474792018532753E-2</c:v>
                </c:pt>
                <c:pt idx="218">
                  <c:v>-1.662757433950901E-2</c:v>
                </c:pt>
                <c:pt idx="219">
                  <c:v>-5.5004111491143703E-3</c:v>
                </c:pt>
                <c:pt idx="220">
                  <c:v>4.3764244765043259E-3</c:v>
                </c:pt>
                <c:pt idx="221">
                  <c:v>1.3914708979427814E-2</c:v>
                </c:pt>
                <c:pt idx="222">
                  <c:v>2.5597456842660904E-2</c:v>
                </c:pt>
                <c:pt idx="223">
                  <c:v>3.0075078830122948E-2</c:v>
                </c:pt>
                <c:pt idx="224">
                  <c:v>-1.0870895348489285E-2</c:v>
                </c:pt>
                <c:pt idx="225">
                  <c:v>-1.7173061147332191E-2</c:v>
                </c:pt>
                <c:pt idx="226">
                  <c:v>-2.7592116966843605E-2</c:v>
                </c:pt>
                <c:pt idx="227">
                  <c:v>-2.8253084048628807E-2</c:v>
                </c:pt>
                <c:pt idx="228">
                  <c:v>-7.7701974660158157E-3</c:v>
                </c:pt>
                <c:pt idx="229">
                  <c:v>1.739189401268959E-2</c:v>
                </c:pt>
                <c:pt idx="230">
                  <c:v>4.3002579361200333E-2</c:v>
                </c:pt>
                <c:pt idx="231">
                  <c:v>3.1264878809452057E-2</c:v>
                </c:pt>
                <c:pt idx="232">
                  <c:v>-5.0382227636873722E-3</c:v>
                </c:pt>
                <c:pt idx="233">
                  <c:v>-5.3415382280945778E-3</c:v>
                </c:pt>
                <c:pt idx="234">
                  <c:v>-5.7870685122907162E-3</c:v>
                </c:pt>
                <c:pt idx="235">
                  <c:v>-6.2248758040368557E-3</c:v>
                </c:pt>
                <c:pt idx="236">
                  <c:v>-3.1246434082277119E-4</c:v>
                </c:pt>
                <c:pt idx="237">
                  <c:v>3.2024132087826729E-3</c:v>
                </c:pt>
                <c:pt idx="238">
                  <c:v>6.8058716133236885E-3</c:v>
                </c:pt>
                <c:pt idx="239">
                  <c:v>1.2695885263383389E-2</c:v>
                </c:pt>
                <c:pt idx="240">
                  <c:v>1.0260322131216526E-2</c:v>
                </c:pt>
                <c:pt idx="241">
                  <c:v>6.7340647801756859E-3</c:v>
                </c:pt>
                <c:pt idx="242">
                  <c:v>1.7493253573775291E-2</c:v>
                </c:pt>
                <c:pt idx="243">
                  <c:v>2.6825601235032082E-2</c:v>
                </c:pt>
                <c:pt idx="244">
                  <c:v>1.6251368448138237E-2</c:v>
                </c:pt>
                <c:pt idx="245">
                  <c:v>-6.2926663085818291E-3</c:v>
                </c:pt>
                <c:pt idx="246">
                  <c:v>-2.6433315128087997E-2</c:v>
                </c:pt>
                <c:pt idx="247">
                  <c:v>-4.483862966299057E-2</c:v>
                </c:pt>
                <c:pt idx="248">
                  <c:v>-8.4831630811095238E-3</c:v>
                </c:pt>
                <c:pt idx="249">
                  <c:v>-7.3440456762909889E-3</c:v>
                </c:pt>
                <c:pt idx="250">
                  <c:v>-8.9456681162118912E-3</c:v>
                </c:pt>
                <c:pt idx="251">
                  <c:v>-1.7054429044947028E-3</c:v>
                </c:pt>
                <c:pt idx="252">
                  <c:v>-6.2042940407991409E-3</c:v>
                </c:pt>
                <c:pt idx="253">
                  <c:v>1.7516063526272774E-3</c:v>
                </c:pt>
                <c:pt idx="254">
                  <c:v>1.523322332650423E-2</c:v>
                </c:pt>
                <c:pt idx="255">
                  <c:v>1.56977828592062E-2</c:v>
                </c:pt>
                <c:pt idx="256">
                  <c:v>-6.8283588625490665E-3</c:v>
                </c:pt>
                <c:pt idx="257">
                  <c:v>-2.4521449580788612E-2</c:v>
                </c:pt>
                <c:pt idx="258">
                  <c:v>-3.8353703916072845E-2</c:v>
                </c:pt>
                <c:pt idx="259">
                  <c:v>-3.1184053048491478E-2</c:v>
                </c:pt>
                <c:pt idx="260">
                  <c:v>-1.0875212028622627E-2</c:v>
                </c:pt>
                <c:pt idx="261">
                  <c:v>1.602661982178688E-2</c:v>
                </c:pt>
                <c:pt idx="262">
                  <c:v>4.2840365320444107E-2</c:v>
                </c:pt>
                <c:pt idx="263">
                  <c:v>5.2895791828632355E-2</c:v>
                </c:pt>
                <c:pt idx="264">
                  <c:v>-7.6632730662822723E-2</c:v>
                </c:pt>
                <c:pt idx="265">
                  <c:v>-6.2718905508518219E-2</c:v>
                </c:pt>
                <c:pt idx="266">
                  <c:v>-4.0049038827419281E-2</c:v>
                </c:pt>
                <c:pt idx="267">
                  <c:v>-2.265488263219595E-3</c:v>
                </c:pt>
                <c:pt idx="268">
                  <c:v>1.7506672069430351E-2</c:v>
                </c:pt>
                <c:pt idx="269">
                  <c:v>4.0673438459634781E-2</c:v>
                </c:pt>
                <c:pt idx="270">
                  <c:v>5.7935658842325211E-2</c:v>
                </c:pt>
                <c:pt idx="271">
                  <c:v>6.5550394356250763E-2</c:v>
                </c:pt>
                <c:pt idx="272">
                  <c:v>-2.8517743572592735E-2</c:v>
                </c:pt>
                <c:pt idx="273">
                  <c:v>-3.9530821144580841E-2</c:v>
                </c:pt>
                <c:pt idx="274">
                  <c:v>-5.2517645061016083E-2</c:v>
                </c:pt>
                <c:pt idx="275">
                  <c:v>-3.4167591482400894E-2</c:v>
                </c:pt>
                <c:pt idx="276">
                  <c:v>5.0595235079526901E-3</c:v>
                </c:pt>
                <c:pt idx="277">
                  <c:v>5.3541336208581924E-2</c:v>
                </c:pt>
                <c:pt idx="278">
                  <c:v>6.1327610164880753E-2</c:v>
                </c:pt>
                <c:pt idx="279">
                  <c:v>3.4805335104465485E-2</c:v>
                </c:pt>
                <c:pt idx="280">
                  <c:v>6.6579677164554596E-2</c:v>
                </c:pt>
                <c:pt idx="281">
                  <c:v>4.8741869628429413E-2</c:v>
                </c:pt>
                <c:pt idx="282">
                  <c:v>3.0703430995345116E-2</c:v>
                </c:pt>
                <c:pt idx="283">
                  <c:v>9.4967437908053398E-3</c:v>
                </c:pt>
                <c:pt idx="284">
                  <c:v>-1.1656122282147408E-2</c:v>
                </c:pt>
                <c:pt idx="285">
                  <c:v>-3.8298811763525009E-2</c:v>
                </c:pt>
                <c:pt idx="286">
                  <c:v>-5.5463042110204697E-2</c:v>
                </c:pt>
                <c:pt idx="287">
                  <c:v>-5.0103746354579926E-2</c:v>
                </c:pt>
                <c:pt idx="288">
                  <c:v>-3.1295321881771088E-2</c:v>
                </c:pt>
                <c:pt idx="289">
                  <c:v>-2.6250192895531654E-2</c:v>
                </c:pt>
                <c:pt idx="290">
                  <c:v>-2.1396154537796974E-2</c:v>
                </c:pt>
                <c:pt idx="291">
                  <c:v>-1.3783995993435383E-2</c:v>
                </c:pt>
                <c:pt idx="292">
                  <c:v>-1.3627009466290474E-2</c:v>
                </c:pt>
                <c:pt idx="293">
                  <c:v>1.9580470398068428E-3</c:v>
                </c:pt>
                <c:pt idx="294">
                  <c:v>4.1303310543298721E-2</c:v>
                </c:pt>
                <c:pt idx="295">
                  <c:v>6.309131532907486E-2</c:v>
                </c:pt>
                <c:pt idx="296">
                  <c:v>1.3230958022177219E-2</c:v>
                </c:pt>
                <c:pt idx="297">
                  <c:v>1.2593857012689114E-2</c:v>
                </c:pt>
                <c:pt idx="298">
                  <c:v>1.4031117781996727E-2</c:v>
                </c:pt>
                <c:pt idx="299">
                  <c:v>6.199235562235117E-3</c:v>
                </c:pt>
                <c:pt idx="300">
                  <c:v>-5.9609580785036087E-3</c:v>
                </c:pt>
                <c:pt idx="301">
                  <c:v>-1.0748530738055706E-2</c:v>
                </c:pt>
                <c:pt idx="302">
                  <c:v>-1.1829043738543987E-2</c:v>
                </c:pt>
                <c:pt idx="303">
                  <c:v>-1.7516637220978737E-2</c:v>
                </c:pt>
                <c:pt idx="304">
                  <c:v>-5.3957395255565643E-2</c:v>
                </c:pt>
                <c:pt idx="305">
                  <c:v>-3.7662006914615631E-2</c:v>
                </c:pt>
                <c:pt idx="306">
                  <c:v>-2.5803470984101295E-2</c:v>
                </c:pt>
                <c:pt idx="307">
                  <c:v>-2.685234509408474E-2</c:v>
                </c:pt>
                <c:pt idx="308">
                  <c:v>-9.8715908825397491E-4</c:v>
                </c:pt>
                <c:pt idx="309">
                  <c:v>3.52785624563694E-2</c:v>
                </c:pt>
                <c:pt idx="310">
                  <c:v>4.932427778840065E-2</c:v>
                </c:pt>
                <c:pt idx="311">
                  <c:v>6.0659535229206085E-2</c:v>
                </c:pt>
                <c:pt idx="312">
                  <c:v>3.5255737602710724E-2</c:v>
                </c:pt>
                <c:pt idx="313">
                  <c:v>2.155282162129879E-2</c:v>
                </c:pt>
                <c:pt idx="314">
                  <c:v>9.1913696378469467E-3</c:v>
                </c:pt>
                <c:pt idx="315">
                  <c:v>-9.8655128385871649E-4</c:v>
                </c:pt>
                <c:pt idx="316">
                  <c:v>-8.9872945100069046E-3</c:v>
                </c:pt>
                <c:pt idx="317">
                  <c:v>-1.5874858945608139E-2</c:v>
                </c:pt>
                <c:pt idx="318">
                  <c:v>-1.9865509122610092E-2</c:v>
                </c:pt>
                <c:pt idx="319">
                  <c:v>-2.0285720005631447E-2</c:v>
                </c:pt>
                <c:pt idx="320">
                  <c:v>-2.9395928606390953E-2</c:v>
                </c:pt>
                <c:pt idx="321">
                  <c:v>2.1155829017516226E-4</c:v>
                </c:pt>
                <c:pt idx="322">
                  <c:v>2.0076392684131861E-3</c:v>
                </c:pt>
                <c:pt idx="323">
                  <c:v>-1.2534056790173054E-2</c:v>
                </c:pt>
                <c:pt idx="324">
                  <c:v>-9.4373691827058792E-3</c:v>
                </c:pt>
                <c:pt idx="325">
                  <c:v>3.8519548252224922E-3</c:v>
                </c:pt>
                <c:pt idx="326">
                  <c:v>5.5211232975125313E-3</c:v>
                </c:pt>
                <c:pt idx="327">
                  <c:v>3.9775080978870392E-2</c:v>
                </c:pt>
                <c:pt idx="328">
                  <c:v>-2.4515291675925255E-2</c:v>
                </c:pt>
                <c:pt idx="329">
                  <c:v>-1.5564628876745701E-2</c:v>
                </c:pt>
                <c:pt idx="330">
                  <c:v>-4.7718225978314877E-3</c:v>
                </c:pt>
                <c:pt idx="331">
                  <c:v>4.1509219445288181E-3</c:v>
                </c:pt>
                <c:pt idx="332">
                  <c:v>8.0801676958799362E-3</c:v>
                </c:pt>
                <c:pt idx="333">
                  <c:v>7.2224484756588936E-3</c:v>
                </c:pt>
                <c:pt idx="334">
                  <c:v>1.0825906880199909E-2</c:v>
                </c:pt>
                <c:pt idx="335">
                  <c:v>1.4572299085557461E-2</c:v>
                </c:pt>
                <c:pt idx="336">
                  <c:v>3.636787086725235E-2</c:v>
                </c:pt>
                <c:pt idx="337">
                  <c:v>2.073233388364315E-2</c:v>
                </c:pt>
                <c:pt idx="338">
                  <c:v>5.8472217060625553E-3</c:v>
                </c:pt>
                <c:pt idx="339">
                  <c:v>-4.0381602011620998E-3</c:v>
                </c:pt>
                <c:pt idx="340">
                  <c:v>-8.4445048123598099E-3</c:v>
                </c:pt>
                <c:pt idx="341">
                  <c:v>-1.2954558245837688E-2</c:v>
                </c:pt>
                <c:pt idx="342">
                  <c:v>-1.6850318759679794E-2</c:v>
                </c:pt>
                <c:pt idx="343">
                  <c:v>-2.0659888163208961E-2</c:v>
                </c:pt>
                <c:pt idx="344">
                  <c:v>4.7358937561511993E-2</c:v>
                </c:pt>
                <c:pt idx="345">
                  <c:v>3.8337849080562592E-2</c:v>
                </c:pt>
                <c:pt idx="346">
                  <c:v>1.8686508759856224E-2</c:v>
                </c:pt>
                <c:pt idx="347">
                  <c:v>-4.3641082011163235E-3</c:v>
                </c:pt>
                <c:pt idx="348">
                  <c:v>-1.1061178520321846E-2</c:v>
                </c:pt>
                <c:pt idx="349">
                  <c:v>-1.4546985737979412E-2</c:v>
                </c:pt>
                <c:pt idx="350">
                  <c:v>-2.3452397435903549E-2</c:v>
                </c:pt>
                <c:pt idx="351">
                  <c:v>-5.0958625972270966E-2</c:v>
                </c:pt>
                <c:pt idx="352">
                  <c:v>8.0396318808197975E-3</c:v>
                </c:pt>
                <c:pt idx="353">
                  <c:v>-7.816636934876442E-4</c:v>
                </c:pt>
                <c:pt idx="354">
                  <c:v>-3.1557620968669653E-3</c:v>
                </c:pt>
                <c:pt idx="355">
                  <c:v>-3.3384612761437893E-3</c:v>
                </c:pt>
                <c:pt idx="356">
                  <c:v>1.3911556452512741E-3</c:v>
                </c:pt>
                <c:pt idx="357">
                  <c:v>-1.6159070655703545E-3</c:v>
                </c:pt>
                <c:pt idx="358">
                  <c:v>-7.6332228491082788E-4</c:v>
                </c:pt>
                <c:pt idx="359">
                  <c:v>2.243283815914765E-4</c:v>
                </c:pt>
                <c:pt idx="360">
                  <c:v>5.3778357803821564E-2</c:v>
                </c:pt>
                <c:pt idx="361">
                  <c:v>3.5995624959468842E-2</c:v>
                </c:pt>
                <c:pt idx="362">
                  <c:v>1.8021797761321068E-2</c:v>
                </c:pt>
                <c:pt idx="363">
                  <c:v>6.4840406412258744E-4</c:v>
                </c:pt>
                <c:pt idx="364">
                  <c:v>-1.1952625587582588E-2</c:v>
                </c:pt>
                <c:pt idx="365">
                  <c:v>-2.346169576048851E-2</c:v>
                </c:pt>
                <c:pt idx="366">
                  <c:v>-3.3715125173330307E-2</c:v>
                </c:pt>
                <c:pt idx="367">
                  <c:v>-3.9314739406108856E-2</c:v>
                </c:pt>
                <c:pt idx="368">
                  <c:v>2.9673108831048012E-2</c:v>
                </c:pt>
                <c:pt idx="369">
                  <c:v>1.9142588600516319E-2</c:v>
                </c:pt>
                <c:pt idx="370">
                  <c:v>4.1509033180773258E-3</c:v>
                </c:pt>
                <c:pt idx="371">
                  <c:v>-5.7514063082635403E-3</c:v>
                </c:pt>
                <c:pt idx="372">
                  <c:v>-6.3289869576692581E-3</c:v>
                </c:pt>
                <c:pt idx="373">
                  <c:v>-9.3601299449801445E-3</c:v>
                </c:pt>
                <c:pt idx="374">
                  <c:v>-1.3158614747226238E-2</c:v>
                </c:pt>
                <c:pt idx="375">
                  <c:v>-1.836746372282505E-2</c:v>
                </c:pt>
                <c:pt idx="376">
                  <c:v>-3.382773429621011E-4</c:v>
                </c:pt>
                <c:pt idx="377">
                  <c:v>-2.2561082616448402E-2</c:v>
                </c:pt>
                <c:pt idx="378">
                  <c:v>-2.2958690300583839E-2</c:v>
                </c:pt>
                <c:pt idx="379">
                  <c:v>-1.1085753329098225E-2</c:v>
                </c:pt>
                <c:pt idx="380">
                  <c:v>1.9100736826658249E-3</c:v>
                </c:pt>
                <c:pt idx="381">
                  <c:v>-2.7945174952037632E-4</c:v>
                </c:pt>
                <c:pt idx="382">
                  <c:v>1.8139097839593887E-2</c:v>
                </c:pt>
                <c:pt idx="383">
                  <c:v>3.7174083292484283E-2</c:v>
                </c:pt>
                <c:pt idx="384">
                  <c:v>-4.1302017867565155E-2</c:v>
                </c:pt>
                <c:pt idx="385">
                  <c:v>-3.2296754419803619E-2</c:v>
                </c:pt>
                <c:pt idx="386">
                  <c:v>-1.3029122725129128E-2</c:v>
                </c:pt>
                <c:pt idx="387">
                  <c:v>2.7640247717499733E-2</c:v>
                </c:pt>
                <c:pt idx="388">
                  <c:v>-1.7688143998384476E-3</c:v>
                </c:pt>
                <c:pt idx="389">
                  <c:v>3.796862147282809E-4</c:v>
                </c:pt>
                <c:pt idx="390">
                  <c:v>1.5156631357967854E-2</c:v>
                </c:pt>
                <c:pt idx="391">
                  <c:v>4.5220144093036652E-2</c:v>
                </c:pt>
                <c:pt idx="392">
                  <c:v>-1.3427159748971462E-2</c:v>
                </c:pt>
                <c:pt idx="393">
                  <c:v>-8.5992300882935524E-3</c:v>
                </c:pt>
                <c:pt idx="394">
                  <c:v>-4.7300993464887142E-3</c:v>
                </c:pt>
                <c:pt idx="395">
                  <c:v>-4.4791153632104397E-3</c:v>
                </c:pt>
                <c:pt idx="396">
                  <c:v>-7.4680335819721222E-4</c:v>
                </c:pt>
                <c:pt idx="397">
                  <c:v>2.7535306289792061E-3</c:v>
                </c:pt>
                <c:pt idx="398">
                  <c:v>1.1326824314892292E-2</c:v>
                </c:pt>
                <c:pt idx="399">
                  <c:v>1.7902052029967308E-2</c:v>
                </c:pt>
                <c:pt idx="400">
                  <c:v>1.0575243271887302E-2</c:v>
                </c:pt>
                <c:pt idx="401">
                  <c:v>3.1539415940642357E-3</c:v>
                </c:pt>
                <c:pt idx="402">
                  <c:v>-2.8980018105357885E-3</c:v>
                </c:pt>
                <c:pt idx="403">
                  <c:v>-3.0034533701837063E-3</c:v>
                </c:pt>
                <c:pt idx="404">
                  <c:v>-1.9149649888277054E-3</c:v>
                </c:pt>
                <c:pt idx="405">
                  <c:v>-3.1295968219637871E-3</c:v>
                </c:pt>
                <c:pt idx="406">
                  <c:v>-2.3285103961825371E-3</c:v>
                </c:pt>
                <c:pt idx="407">
                  <c:v>-4.5465794391930103E-4</c:v>
                </c:pt>
                <c:pt idx="408">
                  <c:v>5.5694468319416046E-2</c:v>
                </c:pt>
                <c:pt idx="409">
                  <c:v>4.613717645406723E-2</c:v>
                </c:pt>
                <c:pt idx="410">
                  <c:v>3.1928218901157379E-2</c:v>
                </c:pt>
                <c:pt idx="411">
                  <c:v>7.0234187878668308E-3</c:v>
                </c:pt>
                <c:pt idx="412">
                  <c:v>-2.0937727764248848E-2</c:v>
                </c:pt>
                <c:pt idx="413">
                  <c:v>-3.6258157342672348E-2</c:v>
                </c:pt>
                <c:pt idx="414">
                  <c:v>-4.0411647409200668E-2</c:v>
                </c:pt>
                <c:pt idx="415">
                  <c:v>-4.3175749480724335E-2</c:v>
                </c:pt>
                <c:pt idx="416">
                  <c:v>7.6105691492557526E-2</c:v>
                </c:pt>
                <c:pt idx="417">
                  <c:v>6.5980486571788788E-2</c:v>
                </c:pt>
                <c:pt idx="418">
                  <c:v>5.2488692104816437E-2</c:v>
                </c:pt>
                <c:pt idx="419">
                  <c:v>4.5931633561849594E-2</c:v>
                </c:pt>
                <c:pt idx="420">
                  <c:v>4.2261313647031784E-3</c:v>
                </c:pt>
                <c:pt idx="421">
                  <c:v>-5.315801128745079E-2</c:v>
                </c:pt>
                <c:pt idx="422">
                  <c:v>-9.111543744802475E-2</c:v>
                </c:pt>
                <c:pt idx="423">
                  <c:v>-0.10045918077230453</c:v>
                </c:pt>
                <c:pt idx="424">
                  <c:v>2.9853442683815956E-2</c:v>
                </c:pt>
                <c:pt idx="425">
                  <c:v>2.2935202345252037E-2</c:v>
                </c:pt>
                <c:pt idx="426">
                  <c:v>9.4460304826498032E-3</c:v>
                </c:pt>
                <c:pt idx="427">
                  <c:v>-1.8732001772150397E-3</c:v>
                </c:pt>
                <c:pt idx="428">
                  <c:v>-6.1021614819765091E-3</c:v>
                </c:pt>
                <c:pt idx="429">
                  <c:v>-1.1330808512866497E-2</c:v>
                </c:pt>
                <c:pt idx="430">
                  <c:v>-1.809784397482872E-2</c:v>
                </c:pt>
                <c:pt idx="431">
                  <c:v>-2.4830663576722145E-2</c:v>
                </c:pt>
                <c:pt idx="432">
                  <c:v>-4.7046147286891937E-2</c:v>
                </c:pt>
                <c:pt idx="433">
                  <c:v>-2.7746686711907387E-2</c:v>
                </c:pt>
                <c:pt idx="434">
                  <c:v>-2.2467912640422583E-3</c:v>
                </c:pt>
                <c:pt idx="435">
                  <c:v>4.9053903669118881E-2</c:v>
                </c:pt>
                <c:pt idx="436">
                  <c:v>2.1227939054369926E-2</c:v>
                </c:pt>
                <c:pt idx="437">
                  <c:v>4.8410641029477119E-3</c:v>
                </c:pt>
                <c:pt idx="438">
                  <c:v>7.7569233253598213E-3</c:v>
                </c:pt>
                <c:pt idx="439">
                  <c:v>-5.8402055874466896E-3</c:v>
                </c:pt>
                <c:pt idx="440">
                  <c:v>2.0575353875756264E-2</c:v>
                </c:pt>
                <c:pt idx="441">
                  <c:v>1.2850305996835232E-2</c:v>
                </c:pt>
                <c:pt idx="442">
                  <c:v>5.8616162277758121E-3</c:v>
                </c:pt>
                <c:pt idx="443">
                  <c:v>2.3522623814642429E-3</c:v>
                </c:pt>
                <c:pt idx="444">
                  <c:v>-2.566920593380928E-3</c:v>
                </c:pt>
                <c:pt idx="445">
                  <c:v>-9.5806075260043144E-3</c:v>
                </c:pt>
                <c:pt idx="446">
                  <c:v>-1.2408013455569744E-2</c:v>
                </c:pt>
                <c:pt idx="447">
                  <c:v>-1.7083996906876564E-2</c:v>
                </c:pt>
                <c:pt idx="448">
                  <c:v>7.5132377445697784E-2</c:v>
                </c:pt>
                <c:pt idx="449">
                  <c:v>5.2769862115383148E-2</c:v>
                </c:pt>
                <c:pt idx="450">
                  <c:v>2.908853255212307E-2</c:v>
                </c:pt>
                <c:pt idx="451">
                  <c:v>2.8874524869024754E-3</c:v>
                </c:pt>
                <c:pt idx="452">
                  <c:v>-2.2110151126980782E-2</c:v>
                </c:pt>
                <c:pt idx="453">
                  <c:v>-3.4610088914632797E-2</c:v>
                </c:pt>
                <c:pt idx="454">
                  <c:v>-4.6345528215169907E-2</c:v>
                </c:pt>
                <c:pt idx="455">
                  <c:v>-5.6812457740306854E-2</c:v>
                </c:pt>
                <c:pt idx="456">
                  <c:v>-0.11259590834379196</c:v>
                </c:pt>
                <c:pt idx="457">
                  <c:v>-8.4162868559360504E-2</c:v>
                </c:pt>
                <c:pt idx="458">
                  <c:v>-4.804142564535141E-2</c:v>
                </c:pt>
                <c:pt idx="459">
                  <c:v>1.382912159897387E-3</c:v>
                </c:pt>
                <c:pt idx="460">
                  <c:v>4.5330952852964401E-2</c:v>
                </c:pt>
                <c:pt idx="461">
                  <c:v>4.9798551946878433E-2</c:v>
                </c:pt>
                <c:pt idx="462">
                  <c:v>6.8530865013599396E-2</c:v>
                </c:pt>
                <c:pt idx="463">
                  <c:v>7.9756923019886017E-2</c:v>
                </c:pt>
                <c:pt idx="464">
                  <c:v>1.3504314119927585E-4</c:v>
                </c:pt>
                <c:pt idx="465">
                  <c:v>-5.0801876932382584E-4</c:v>
                </c:pt>
                <c:pt idx="466">
                  <c:v>-2.1306218113750219E-3</c:v>
                </c:pt>
                <c:pt idx="467">
                  <c:v>-4.9536498408997431E-5</c:v>
                </c:pt>
                <c:pt idx="468">
                  <c:v>5.4086875170469284E-3</c:v>
                </c:pt>
                <c:pt idx="469">
                  <c:v>4.5461999252438545E-3</c:v>
                </c:pt>
                <c:pt idx="470">
                  <c:v>-2.0595923706423491E-4</c:v>
                </c:pt>
                <c:pt idx="471">
                  <c:v>-7.1957940235733986E-3</c:v>
                </c:pt>
                <c:pt idx="472">
                  <c:v>8.8277764618396759E-2</c:v>
                </c:pt>
                <c:pt idx="473">
                  <c:v>8.0649517476558685E-2</c:v>
                </c:pt>
                <c:pt idx="474">
                  <c:v>6.4856745302677155E-2</c:v>
                </c:pt>
                <c:pt idx="475">
                  <c:v>2.8640890493988991E-2</c:v>
                </c:pt>
                <c:pt idx="476">
                  <c:v>-1.1548982933163643E-2</c:v>
                </c:pt>
                <c:pt idx="477">
                  <c:v>-4.9645300954580307E-2</c:v>
                </c:pt>
                <c:pt idx="478">
                  <c:v>-8.4637276828289032E-2</c:v>
                </c:pt>
                <c:pt idx="479">
                  <c:v>-0.11659335345029831</c:v>
                </c:pt>
                <c:pt idx="480">
                  <c:v>-9.4405924901366234E-3</c:v>
                </c:pt>
                <c:pt idx="481">
                  <c:v>-8.2366252318024635E-3</c:v>
                </c:pt>
                <c:pt idx="482">
                  <c:v>-2.3416662588715553E-2</c:v>
                </c:pt>
                <c:pt idx="483">
                  <c:v>-3.2313559204339981E-2</c:v>
                </c:pt>
                <c:pt idx="484">
                  <c:v>-7.0108044892549515E-3</c:v>
                </c:pt>
                <c:pt idx="485">
                  <c:v>1.488757599145174E-2</c:v>
                </c:pt>
                <c:pt idx="486">
                  <c:v>2.7647498995065689E-2</c:v>
                </c:pt>
                <c:pt idx="487">
                  <c:v>3.7883169949054718E-2</c:v>
                </c:pt>
                <c:pt idx="488">
                  <c:v>-7.1665854193270206E-3</c:v>
                </c:pt>
                <c:pt idx="489">
                  <c:v>-6.742485798895359E-3</c:v>
                </c:pt>
                <c:pt idx="490">
                  <c:v>-5.6442557834088802E-3</c:v>
                </c:pt>
                <c:pt idx="491">
                  <c:v>-7.3270848952233791E-3</c:v>
                </c:pt>
                <c:pt idx="492">
                  <c:v>-2.8556752949953079E-3</c:v>
                </c:pt>
                <c:pt idx="493">
                  <c:v>2.7014957740902901E-3</c:v>
                </c:pt>
                <c:pt idx="494">
                  <c:v>9.970162995159626E-3</c:v>
                </c:pt>
                <c:pt idx="495">
                  <c:v>1.7064427956938744E-2</c:v>
                </c:pt>
                <c:pt idx="496">
                  <c:v>6.55389204621315E-2</c:v>
                </c:pt>
                <c:pt idx="497">
                  <c:v>4.9403421580791473E-2</c:v>
                </c:pt>
                <c:pt idx="498">
                  <c:v>3.2428808510303497E-2</c:v>
                </c:pt>
                <c:pt idx="499">
                  <c:v>1.4665598981082439E-2</c:v>
                </c:pt>
                <c:pt idx="500">
                  <c:v>-2.7603078633546829E-3</c:v>
                </c:pt>
                <c:pt idx="501">
                  <c:v>-3.059866651892662E-2</c:v>
                </c:pt>
                <c:pt idx="502">
                  <c:v>-5.5535580962896347E-2</c:v>
                </c:pt>
                <c:pt idx="503">
                  <c:v>-7.3142193257808685E-2</c:v>
                </c:pt>
                <c:pt idx="504">
                  <c:v>4.381183534860611E-2</c:v>
                </c:pt>
                <c:pt idx="505">
                  <c:v>3.0119648203253746E-2</c:v>
                </c:pt>
                <c:pt idx="506">
                  <c:v>1.7000501975417137E-2</c:v>
                </c:pt>
                <c:pt idx="507">
                  <c:v>3.7336298264563084E-3</c:v>
                </c:pt>
                <c:pt idx="508">
                  <c:v>-7.805483415722847E-3</c:v>
                </c:pt>
                <c:pt idx="509">
                  <c:v>-2.2170331329107285E-2</c:v>
                </c:pt>
                <c:pt idx="510">
                  <c:v>-3.1387593597173691E-2</c:v>
                </c:pt>
                <c:pt idx="511">
                  <c:v>-3.330221027135849E-2</c:v>
                </c:pt>
                <c:pt idx="512">
                  <c:v>3.4059889614582062E-2</c:v>
                </c:pt>
                <c:pt idx="513">
                  <c:v>2.064116857945919E-2</c:v>
                </c:pt>
                <c:pt idx="514">
                  <c:v>8.5670109838247299E-3</c:v>
                </c:pt>
                <c:pt idx="515">
                  <c:v>-2.0526996813714504E-3</c:v>
                </c:pt>
                <c:pt idx="516">
                  <c:v>-1.2205170467495918E-2</c:v>
                </c:pt>
                <c:pt idx="517">
                  <c:v>-1.9731219857931137E-2</c:v>
                </c:pt>
                <c:pt idx="518">
                  <c:v>-2.1365340799093246E-2</c:v>
                </c:pt>
                <c:pt idx="519">
                  <c:v>-7.9136425629258156E-3</c:v>
                </c:pt>
                <c:pt idx="520">
                  <c:v>-1.795252226293087E-2</c:v>
                </c:pt>
                <c:pt idx="521">
                  <c:v>-1.5147813595831394E-2</c:v>
                </c:pt>
                <c:pt idx="522">
                  <c:v>-1.2786680832505226E-2</c:v>
                </c:pt>
                <c:pt idx="523">
                  <c:v>-7.4616721831262112E-3</c:v>
                </c:pt>
                <c:pt idx="524">
                  <c:v>1.865847036242485E-3</c:v>
                </c:pt>
                <c:pt idx="525">
                  <c:v>8.3075510337948799E-3</c:v>
                </c:pt>
                <c:pt idx="526">
                  <c:v>1.6849134117364883E-2</c:v>
                </c:pt>
                <c:pt idx="527">
                  <c:v>2.6326155290007591E-2</c:v>
                </c:pt>
                <c:pt idx="528">
                  <c:v>-4.8005790449678898E-3</c:v>
                </c:pt>
                <c:pt idx="529">
                  <c:v>-5.8227265253663063E-3</c:v>
                </c:pt>
                <c:pt idx="530">
                  <c:v>2.6059738593176007E-4</c:v>
                </c:pt>
                <c:pt idx="531">
                  <c:v>2.6737996377050877E-3</c:v>
                </c:pt>
                <c:pt idx="532">
                  <c:v>3.5467576235532761E-3</c:v>
                </c:pt>
                <c:pt idx="533">
                  <c:v>1.3288604095578194E-3</c:v>
                </c:pt>
                <c:pt idx="534">
                  <c:v>-8.273972780443728E-4</c:v>
                </c:pt>
                <c:pt idx="535">
                  <c:v>3.6406877916306257E-3</c:v>
                </c:pt>
                <c:pt idx="536">
                  <c:v>3.4039415419101715E-2</c:v>
                </c:pt>
                <c:pt idx="537">
                  <c:v>1.8955579027533531E-2</c:v>
                </c:pt>
                <c:pt idx="538">
                  <c:v>-7.1073113940656185E-3</c:v>
                </c:pt>
                <c:pt idx="539">
                  <c:v>-1.1883382685482502E-2</c:v>
                </c:pt>
                <c:pt idx="540">
                  <c:v>-1.1726396158337593E-2</c:v>
                </c:pt>
                <c:pt idx="541">
                  <c:v>-1.1077071540057659E-2</c:v>
                </c:pt>
                <c:pt idx="542">
                  <c:v>-7.4736131355166435E-3</c:v>
                </c:pt>
                <c:pt idx="543">
                  <c:v>-3.7272211629897356E-3</c:v>
                </c:pt>
                <c:pt idx="544">
                  <c:v>-1.3587764464318752E-2</c:v>
                </c:pt>
                <c:pt idx="545">
                  <c:v>-1.4767890388611704E-4</c:v>
                </c:pt>
                <c:pt idx="546">
                  <c:v>3.5086371004581451E-2</c:v>
                </c:pt>
                <c:pt idx="547">
                  <c:v>6.147327646613121E-2</c:v>
                </c:pt>
                <c:pt idx="548">
                  <c:v>5.6608211249113083E-2</c:v>
                </c:pt>
                <c:pt idx="549">
                  <c:v>5.5998610332608223E-3</c:v>
                </c:pt>
                <c:pt idx="550">
                  <c:v>-7.0066563785076141E-2</c:v>
                </c:pt>
                <c:pt idx="551">
                  <c:v>-7.4965707957744598E-2</c:v>
                </c:pt>
                <c:pt idx="552">
                  <c:v>-1.0949335061013699E-2</c:v>
                </c:pt>
                <c:pt idx="553">
                  <c:v>-2.1330604329705238E-2</c:v>
                </c:pt>
                <c:pt idx="554">
                  <c:v>-2.3607188835740089E-2</c:v>
                </c:pt>
                <c:pt idx="555">
                  <c:v>-1.636696420609951E-2</c:v>
                </c:pt>
                <c:pt idx="556">
                  <c:v>-1.4221327379345894E-2</c:v>
                </c:pt>
                <c:pt idx="557">
                  <c:v>1.9644949585199356E-2</c:v>
                </c:pt>
                <c:pt idx="558">
                  <c:v>3.1542036682367325E-2</c:v>
                </c:pt>
                <c:pt idx="559">
                  <c:v>3.5288430750370026E-2</c:v>
                </c:pt>
                <c:pt idx="560">
                  <c:v>-5.5225701071321964E-3</c:v>
                </c:pt>
                <c:pt idx="561">
                  <c:v>-2.5709951296448708E-3</c:v>
                </c:pt>
                <c:pt idx="562">
                  <c:v>3.0741153750568628E-3</c:v>
                </c:pt>
                <c:pt idx="563">
                  <c:v>-1.7019560327753425E-3</c:v>
                </c:pt>
                <c:pt idx="564">
                  <c:v>-1.5449691563844681E-3</c:v>
                </c:pt>
                <c:pt idx="565">
                  <c:v>-8.9564459631219506E-4</c:v>
                </c:pt>
                <c:pt idx="566">
                  <c:v>2.7078138664364815E-3</c:v>
                </c:pt>
                <c:pt idx="567">
                  <c:v>6.4542060717940331E-3</c:v>
                </c:pt>
              </c:numCache>
            </c:numRef>
          </c:yVal>
          <c:smooth val="0"/>
          <c:extLst>
            <c:ext xmlns:c16="http://schemas.microsoft.com/office/drawing/2014/chart" uri="{C3380CC4-5D6E-409C-BE32-E72D297353CC}">
              <c16:uniqueId val="{00000001-6620-4650-930E-DFD11B4E5E1E}"/>
            </c:ext>
          </c:extLst>
        </c:ser>
        <c:dLbls>
          <c:showLegendKey val="0"/>
          <c:showVal val="0"/>
          <c:showCatName val="0"/>
          <c:showSerName val="0"/>
          <c:showPercent val="0"/>
          <c:showBubbleSize val="0"/>
        </c:dLbls>
        <c:axId val="355037568"/>
        <c:axId val="355039488"/>
      </c:scatterChart>
      <c:valAx>
        <c:axId val="355037568"/>
        <c:scaling>
          <c:orientation val="minMax"/>
          <c:max val="0.60000000000000009"/>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aseline="0">
                    <a:solidFill>
                      <a:sysClr val="windowText" lastClr="000000"/>
                    </a:solidFill>
                    <a:latin typeface="Times New Roman" panose="02020603050405020304" pitchFamily="18" charset="0"/>
                    <a:cs typeface="Times New Roman" panose="02020603050405020304" pitchFamily="18" charset="0"/>
                  </a:rPr>
                  <a:t>LiquidLiabilities </a:t>
                </a:r>
                <a:endParaRPr lang="en-NZ"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125955007713174"/>
              <c:y val="0.89214380825565909"/>
            </c:manualLayout>
          </c:layout>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5039488"/>
        <c:crosses val="autoZero"/>
        <c:crossBetween val="midCat"/>
      </c:valAx>
      <c:valAx>
        <c:axId val="35503948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a:solidFill>
                      <a:sysClr val="windowText" lastClr="000000"/>
                    </a:solidFill>
                    <a:latin typeface="Times New Roman" panose="02020603050405020304" pitchFamily="18" charset="0"/>
                    <a:cs typeface="Times New Roman" panose="02020603050405020304" pitchFamily="18" charset="0"/>
                  </a:rPr>
                  <a:t>GrossGini </a:t>
                </a: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5037568"/>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aseline="0">
                <a:solidFill>
                  <a:sysClr val="windowText" lastClr="000000"/>
                </a:solidFill>
                <a:latin typeface="Times New Roman" panose="02020603050405020304" pitchFamily="18" charset="0"/>
                <a:cs typeface="Times New Roman" panose="02020603050405020304" pitchFamily="18" charset="0"/>
              </a:rPr>
              <a:t>LFO</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38308624453998"/>
          <c:y val="3.8429865495470769E-2"/>
        </c:manualLayout>
      </c:layout>
      <c:overlay val="0"/>
      <c:spPr>
        <a:noFill/>
        <a:ln>
          <a:noFill/>
        </a:ln>
        <a:effectLst/>
      </c:spPr>
    </c:title>
    <c:autoTitleDeleted val="0"/>
    <c:plotArea>
      <c:layout>
        <c:manualLayout>
          <c:layoutTarget val="inner"/>
          <c:xMode val="edge"/>
          <c:yMode val="edge"/>
          <c:x val="0.17276823581497924"/>
          <c:y val="0.14548449080428219"/>
          <c:w val="0.764173435230738"/>
          <c:h val="0.63789037761989875"/>
        </c:manualLayout>
      </c:layout>
      <c:scatterChart>
        <c:scatterStyle val="lineMarker"/>
        <c:varyColors val="0"/>
        <c:ser>
          <c:idx val="0"/>
          <c:order val="0"/>
          <c:tx>
            <c:strRef>
              <c:f>Sheet1!$G$1</c:f>
              <c:strCache>
                <c:ptCount val="1"/>
                <c:pt idx="0">
                  <c:v>FD1Res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Sheet1!$G$2:$G$569</c:f>
              <c:numCache>
                <c:formatCode>0.00</c:formatCode>
                <c:ptCount val="144"/>
                <c:pt idx="0">
                  <c:v>-0.99694782495498657</c:v>
                </c:pt>
                <c:pt idx="1">
                  <c:v>-1.019389271736145</c:v>
                </c:pt>
                <c:pt idx="2">
                  <c:v>-0.68858945369720459</c:v>
                </c:pt>
                <c:pt idx="3">
                  <c:v>-0.14362667500972748</c:v>
                </c:pt>
                <c:pt idx="4">
                  <c:v>0.64169484376907349</c:v>
                </c:pt>
                <c:pt idx="5">
                  <c:v>0.81404954195022583</c:v>
                </c:pt>
                <c:pt idx="6">
                  <c:v>0.76724952459335327</c:v>
                </c:pt>
                <c:pt idx="7">
                  <c:v>0.62555932998657227</c:v>
                </c:pt>
                <c:pt idx="8">
                  <c:v>-0.25675475597381592</c:v>
                </c:pt>
                <c:pt idx="9">
                  <c:v>-0.15018659830093384</c:v>
                </c:pt>
                <c:pt idx="10">
                  <c:v>-4.4909864664077759E-2</c:v>
                </c:pt>
                <c:pt idx="11">
                  <c:v>3.1282637268304825E-2</c:v>
                </c:pt>
                <c:pt idx="12">
                  <c:v>-4.7895484603941441E-3</c:v>
                </c:pt>
                <c:pt idx="13">
                  <c:v>0.11835124343633652</c:v>
                </c:pt>
                <c:pt idx="14">
                  <c:v>0.13695895671844482</c:v>
                </c:pt>
                <c:pt idx="15">
                  <c:v>0.17004792392253876</c:v>
                </c:pt>
                <c:pt idx="16">
                  <c:v>0.42402347922325134</c:v>
                </c:pt>
                <c:pt idx="17">
                  <c:v>-2.4232005700469017E-2</c:v>
                </c:pt>
                <c:pt idx="18">
                  <c:v>-0.19103139638900757</c:v>
                </c:pt>
                <c:pt idx="19">
                  <c:v>-0.31481319665908813</c:v>
                </c:pt>
                <c:pt idx="20">
                  <c:v>-0.162001833319664</c:v>
                </c:pt>
                <c:pt idx="21">
                  <c:v>1.2367002665996552E-2</c:v>
                </c:pt>
                <c:pt idx="22">
                  <c:v>0.15597710013389587</c:v>
                </c:pt>
                <c:pt idx="23">
                  <c:v>9.9710837006568909E-2</c:v>
                </c:pt>
                <c:pt idx="24">
                  <c:v>-1.1507413350045681E-2</c:v>
                </c:pt>
                <c:pt idx="25">
                  <c:v>0.12848606705665588</c:v>
                </c:pt>
                <c:pt idx="26">
                  <c:v>0.15100294351577759</c:v>
                </c:pt>
                <c:pt idx="27">
                  <c:v>0.12265557050704956</c:v>
                </c:pt>
                <c:pt idx="28">
                  <c:v>-0.19490455090999603</c:v>
                </c:pt>
                <c:pt idx="29">
                  <c:v>-0.10978532582521439</c:v>
                </c:pt>
                <c:pt idx="30">
                  <c:v>-9.7485929727554321E-2</c:v>
                </c:pt>
                <c:pt idx="31">
                  <c:v>1.1538642458617687E-2</c:v>
                </c:pt>
                <c:pt idx="32">
                  <c:v>0.32734549045562744</c:v>
                </c:pt>
                <c:pt idx="33">
                  <c:v>0.29675287008285522</c:v>
                </c:pt>
                <c:pt idx="34">
                  <c:v>-0.23400869965553284</c:v>
                </c:pt>
                <c:pt idx="35">
                  <c:v>-0.22669795155525208</c:v>
                </c:pt>
                <c:pt idx="36">
                  <c:v>-8.8546231389045715E-2</c:v>
                </c:pt>
                <c:pt idx="37">
                  <c:v>-0.17652271687984467</c:v>
                </c:pt>
                <c:pt idx="38">
                  <c:v>-2.4180054664611816E-2</c:v>
                </c:pt>
                <c:pt idx="39">
                  <c:v>0.12585727870464325</c:v>
                </c:pt>
                <c:pt idx="40">
                  <c:v>0.12435112148523331</c:v>
                </c:pt>
                <c:pt idx="41">
                  <c:v>0.26249924302101135</c:v>
                </c:pt>
                <c:pt idx="42">
                  <c:v>0.47585588693618774</c:v>
                </c:pt>
                <c:pt idx="43">
                  <c:v>9.88578200340271E-2</c:v>
                </c:pt>
                <c:pt idx="44">
                  <c:v>-0.29951262474060059</c:v>
                </c:pt>
                <c:pt idx="45">
                  <c:v>-0.25191640853881836</c:v>
                </c:pt>
                <c:pt idx="46">
                  <c:v>-0.24448075890541077</c:v>
                </c:pt>
                <c:pt idx="47">
                  <c:v>-0.16565428674221039</c:v>
                </c:pt>
                <c:pt idx="48">
                  <c:v>9.8111934959888458E-2</c:v>
                </c:pt>
                <c:pt idx="49">
                  <c:v>0.40286505222320557</c:v>
                </c:pt>
                <c:pt idx="50">
                  <c:v>0.49078682065010071</c:v>
                </c:pt>
                <c:pt idx="51">
                  <c:v>0.39928069710731506</c:v>
                </c:pt>
                <c:pt idx="52">
                  <c:v>5.3293924778699875E-2</c:v>
                </c:pt>
                <c:pt idx="53">
                  <c:v>-0.34945657849311829</c:v>
                </c:pt>
                <c:pt idx="54">
                  <c:v>-0.58863133192062378</c:v>
                </c:pt>
                <c:pt idx="55">
                  <c:v>-0.50625050067901611</c:v>
                </c:pt>
                <c:pt idx="56">
                  <c:v>-0.38093966245651245</c:v>
                </c:pt>
                <c:pt idx="57">
                  <c:v>-0.31571817398071289</c:v>
                </c:pt>
                <c:pt idx="58">
                  <c:v>-0.14871010184288025</c:v>
                </c:pt>
                <c:pt idx="59">
                  <c:v>-0.14835438132286072</c:v>
                </c:pt>
                <c:pt idx="60">
                  <c:v>0.18932102620601654</c:v>
                </c:pt>
                <c:pt idx="61">
                  <c:v>0.19870610535144806</c:v>
                </c:pt>
                <c:pt idx="62">
                  <c:v>0.2513614296913147</c:v>
                </c:pt>
                <c:pt idx="63">
                  <c:v>0.35433375835418701</c:v>
                </c:pt>
                <c:pt idx="64">
                  <c:v>0.86671924591064453</c:v>
                </c:pt>
                <c:pt idx="65">
                  <c:v>0.63073545694351196</c:v>
                </c:pt>
                <c:pt idx="66">
                  <c:v>-0.28686168789863586</c:v>
                </c:pt>
                <c:pt idx="67">
                  <c:v>-0.13629832863807678</c:v>
                </c:pt>
                <c:pt idx="68">
                  <c:v>-0.31480488181114197</c:v>
                </c:pt>
                <c:pt idx="69">
                  <c:v>-0.38088187575340271</c:v>
                </c:pt>
                <c:pt idx="70">
                  <c:v>-0.19093728065490723</c:v>
                </c:pt>
                <c:pt idx="71">
                  <c:v>-0.18767066299915314</c:v>
                </c:pt>
                <c:pt idx="72">
                  <c:v>-0.17681999504566193</c:v>
                </c:pt>
                <c:pt idx="73">
                  <c:v>-0.19077959656715393</c:v>
                </c:pt>
                <c:pt idx="74">
                  <c:v>-4.2998313903808594E-2</c:v>
                </c:pt>
                <c:pt idx="75">
                  <c:v>7.5494170188903809E-2</c:v>
                </c:pt>
                <c:pt idx="76">
                  <c:v>0.1229822188615799</c:v>
                </c:pt>
                <c:pt idx="77">
                  <c:v>8.9073590934276581E-2</c:v>
                </c:pt>
                <c:pt idx="78">
                  <c:v>9.7227364778518677E-2</c:v>
                </c:pt>
                <c:pt idx="79">
                  <c:v>2.5820570066571236E-2</c:v>
                </c:pt>
                <c:pt idx="80">
                  <c:v>-0.44280841946601868</c:v>
                </c:pt>
                <c:pt idx="81">
                  <c:v>-0.48247238993644714</c:v>
                </c:pt>
                <c:pt idx="82">
                  <c:v>-4.5743763446807861E-2</c:v>
                </c:pt>
                <c:pt idx="83">
                  <c:v>0.1040080189704895</c:v>
                </c:pt>
                <c:pt idx="84">
                  <c:v>0.16021908819675446</c:v>
                </c:pt>
                <c:pt idx="85">
                  <c:v>0.2084420770406723</c:v>
                </c:pt>
                <c:pt idx="86">
                  <c:v>0.15213987231254578</c:v>
                </c:pt>
                <c:pt idx="87">
                  <c:v>0.34621551632881165</c:v>
                </c:pt>
                <c:pt idx="88">
                  <c:v>-5.8112971484661102E-2</c:v>
                </c:pt>
                <c:pt idx="89">
                  <c:v>0.10198967903852463</c:v>
                </c:pt>
                <c:pt idx="90">
                  <c:v>6.9382041692733765E-2</c:v>
                </c:pt>
                <c:pt idx="91">
                  <c:v>1.2795660644769669E-2</c:v>
                </c:pt>
                <c:pt idx="92">
                  <c:v>-0.16933389008045197</c:v>
                </c:pt>
                <c:pt idx="93">
                  <c:v>-0.10588119179010391</c:v>
                </c:pt>
                <c:pt idx="94">
                  <c:v>2.7570366859436035E-2</c:v>
                </c:pt>
                <c:pt idx="95">
                  <c:v>0.12159030139446259</c:v>
                </c:pt>
                <c:pt idx="96">
                  <c:v>2.0847329869866371E-2</c:v>
                </c:pt>
                <c:pt idx="97">
                  <c:v>0.16132956743240356</c:v>
                </c:pt>
                <c:pt idx="98">
                  <c:v>8.2386940717697144E-2</c:v>
                </c:pt>
                <c:pt idx="99">
                  <c:v>0.11798867583274841</c:v>
                </c:pt>
                <c:pt idx="100">
                  <c:v>-4.5794803649187088E-2</c:v>
                </c:pt>
                <c:pt idx="101">
                  <c:v>-0.27594026923179626</c:v>
                </c:pt>
                <c:pt idx="102">
                  <c:v>-0.23251533508300781</c:v>
                </c:pt>
                <c:pt idx="103">
                  <c:v>0.17169789969921112</c:v>
                </c:pt>
                <c:pt idx="104">
                  <c:v>-9.2253781855106354E-2</c:v>
                </c:pt>
                <c:pt idx="105">
                  <c:v>-4.845135286450386E-2</c:v>
                </c:pt>
                <c:pt idx="106">
                  <c:v>-1.6915947198867798E-3</c:v>
                </c:pt>
                <c:pt idx="107">
                  <c:v>-7.4722900986671448E-2</c:v>
                </c:pt>
                <c:pt idx="108">
                  <c:v>0.25666064023971558</c:v>
                </c:pt>
                <c:pt idx="109">
                  <c:v>0.12562599778175354</c:v>
                </c:pt>
                <c:pt idx="110">
                  <c:v>-0.13274143636226654</c:v>
                </c:pt>
                <c:pt idx="111">
                  <c:v>-3.2425578683614731E-2</c:v>
                </c:pt>
                <c:pt idx="112">
                  <c:v>0.20810325443744659</c:v>
                </c:pt>
                <c:pt idx="113">
                  <c:v>0.1820296049118042</c:v>
                </c:pt>
                <c:pt idx="114">
                  <c:v>0.18506839871406555</c:v>
                </c:pt>
                <c:pt idx="115">
                  <c:v>0.3288055956363678</c:v>
                </c:pt>
                <c:pt idx="116">
                  <c:v>0.21648858487606049</c:v>
                </c:pt>
                <c:pt idx="117">
                  <c:v>-0.16408614814281464</c:v>
                </c:pt>
                <c:pt idx="118">
                  <c:v>-0.46508949995040894</c:v>
                </c:pt>
                <c:pt idx="119">
                  <c:v>-0.49131977558135986</c:v>
                </c:pt>
                <c:pt idx="120">
                  <c:v>-0.10005601495504379</c:v>
                </c:pt>
                <c:pt idx="121">
                  <c:v>-0.12301448732614517</c:v>
                </c:pt>
                <c:pt idx="122">
                  <c:v>-0.42974627017974854</c:v>
                </c:pt>
                <c:pt idx="123">
                  <c:v>-0.39197492599487305</c:v>
                </c:pt>
                <c:pt idx="124">
                  <c:v>-0.11381141841411591</c:v>
                </c:pt>
                <c:pt idx="125">
                  <c:v>0.17939667403697968</c:v>
                </c:pt>
                <c:pt idx="126">
                  <c:v>0.42625394463539124</c:v>
                </c:pt>
                <c:pt idx="127">
                  <c:v>0.55295246839523315</c:v>
                </c:pt>
                <c:pt idx="128">
                  <c:v>0.10874035209417343</c:v>
                </c:pt>
                <c:pt idx="129">
                  <c:v>-0.47547334432601929</c:v>
                </c:pt>
                <c:pt idx="130">
                  <c:v>-0.53357148170471191</c:v>
                </c:pt>
                <c:pt idx="131">
                  <c:v>-7.0440784096717834E-2</c:v>
                </c:pt>
                <c:pt idx="132">
                  <c:v>0.21648710966110229</c:v>
                </c:pt>
                <c:pt idx="133">
                  <c:v>0.20883098244667053</c:v>
                </c:pt>
                <c:pt idx="134">
                  <c:v>0.25681832432746887</c:v>
                </c:pt>
                <c:pt idx="135">
                  <c:v>0.2886088490486145</c:v>
                </c:pt>
                <c:pt idx="136">
                  <c:v>-0.27620840072631836</c:v>
                </c:pt>
                <c:pt idx="137">
                  <c:v>-0.29000064730644226</c:v>
                </c:pt>
                <c:pt idx="138">
                  <c:v>-0.14933793246746063</c:v>
                </c:pt>
                <c:pt idx="139">
                  <c:v>-1.0737340897321701E-2</c:v>
                </c:pt>
                <c:pt idx="140">
                  <c:v>2.0549444481730461E-2</c:v>
                </c:pt>
                <c:pt idx="141">
                  <c:v>0.16528189182281494</c:v>
                </c:pt>
                <c:pt idx="142">
                  <c:v>0.23405741155147552</c:v>
                </c:pt>
                <c:pt idx="143">
                  <c:v>0.30639556050300598</c:v>
                </c:pt>
              </c:numCache>
            </c:numRef>
          </c:xVal>
          <c:yVal>
            <c:numRef>
              <c:f>Sheet1!$F$2:$F$569</c:f>
              <c:numCache>
                <c:formatCode>0.00</c:formatCode>
                <c:ptCount val="144"/>
                <c:pt idx="0">
                  <c:v>-1.0719946585595608E-2</c:v>
                </c:pt>
                <c:pt idx="1">
                  <c:v>-1.4814593829214573E-2</c:v>
                </c:pt>
                <c:pt idx="2">
                  <c:v>-1.3328457251191139E-2</c:v>
                </c:pt>
                <c:pt idx="3">
                  <c:v>-9.7012268379330635E-3</c:v>
                </c:pt>
                <c:pt idx="4">
                  <c:v>-5.1962025463581085E-4</c:v>
                </c:pt>
                <c:pt idx="5">
                  <c:v>7.016901858150959E-3</c:v>
                </c:pt>
                <c:pt idx="6">
                  <c:v>1.6778472810983658E-2</c:v>
                </c:pt>
                <c:pt idx="7">
                  <c:v>2.5288468226790428E-2</c:v>
                </c:pt>
                <c:pt idx="8">
                  <c:v>-1.9547552801668644E-3</c:v>
                </c:pt>
                <c:pt idx="9">
                  <c:v>3.0564423650503159E-4</c:v>
                </c:pt>
                <c:pt idx="10">
                  <c:v>-5.3995259804651141E-4</c:v>
                </c:pt>
                <c:pt idx="11">
                  <c:v>7.8963726991787553E-4</c:v>
                </c:pt>
                <c:pt idx="12">
                  <c:v>2.6842188090085983E-3</c:v>
                </c:pt>
                <c:pt idx="13">
                  <c:v>7.2595936944708228E-4</c:v>
                </c:pt>
                <c:pt idx="14">
                  <c:v>-9.0625422308221459E-4</c:v>
                </c:pt>
                <c:pt idx="15">
                  <c:v>-1.1044975835829973E-3</c:v>
                </c:pt>
                <c:pt idx="16">
                  <c:v>6.9280005991458893E-2</c:v>
                </c:pt>
                <c:pt idx="17">
                  <c:v>5.1346592605113983E-2</c:v>
                </c:pt>
                <c:pt idx="18">
                  <c:v>3.1988747417926788E-2</c:v>
                </c:pt>
                <c:pt idx="19">
                  <c:v>1.0295446030795574E-2</c:v>
                </c:pt>
                <c:pt idx="20">
                  <c:v>-1.8583612516522408E-2</c:v>
                </c:pt>
                <c:pt idx="21">
                  <c:v>-4.4924225658178329E-2</c:v>
                </c:pt>
                <c:pt idx="22">
                  <c:v>-5.7161297649145126E-2</c:v>
                </c:pt>
                <c:pt idx="23">
                  <c:v>-4.2241655290126801E-2</c:v>
                </c:pt>
                <c:pt idx="24">
                  <c:v>-0.10766168683767319</c:v>
                </c:pt>
                <c:pt idx="25">
                  <c:v>-6.8456657230854034E-2</c:v>
                </c:pt>
                <c:pt idx="26">
                  <c:v>-4.4097243808209896E-3</c:v>
                </c:pt>
                <c:pt idx="27">
                  <c:v>3.3951994031667709E-2</c:v>
                </c:pt>
                <c:pt idx="28">
                  <c:v>4.8855166882276535E-2</c:v>
                </c:pt>
                <c:pt idx="29">
                  <c:v>4.7190401703119278E-2</c:v>
                </c:pt>
                <c:pt idx="30">
                  <c:v>2.1011088043451309E-2</c:v>
                </c:pt>
                <c:pt idx="31">
                  <c:v>2.9519414529204369E-2</c:v>
                </c:pt>
                <c:pt idx="32">
                  <c:v>2.481372095644474E-2</c:v>
                </c:pt>
                <c:pt idx="33">
                  <c:v>2.0825644955039024E-2</c:v>
                </c:pt>
                <c:pt idx="34">
                  <c:v>8.2136150449514389E-3</c:v>
                </c:pt>
                <c:pt idx="35">
                  <c:v>-1.0442708618938923E-2</c:v>
                </c:pt>
                <c:pt idx="36">
                  <c:v>1.9754065200686455E-2</c:v>
                </c:pt>
                <c:pt idx="37">
                  <c:v>6.1218785122036934E-3</c:v>
                </c:pt>
                <c:pt idx="38">
                  <c:v>-1.8177744001150131E-2</c:v>
                </c:pt>
                <c:pt idx="39">
                  <c:v>-5.1108472049236298E-2</c:v>
                </c:pt>
                <c:pt idx="40">
                  <c:v>1.9385585561394691E-2</c:v>
                </c:pt>
                <c:pt idx="41">
                  <c:v>2.1269043907523155E-2</c:v>
                </c:pt>
                <c:pt idx="42">
                  <c:v>2.7775799855589867E-2</c:v>
                </c:pt>
                <c:pt idx="43">
                  <c:v>3.3666577190160751E-2</c:v>
                </c:pt>
                <c:pt idx="44">
                  <c:v>2.5165392085909843E-2</c:v>
                </c:pt>
                <c:pt idx="45">
                  <c:v>-7.5102401897311211E-3</c:v>
                </c:pt>
                <c:pt idx="46">
                  <c:v>-4.1966494172811508E-2</c:v>
                </c:pt>
                <c:pt idx="47">
                  <c:v>-7.7785663306713104E-2</c:v>
                </c:pt>
                <c:pt idx="48">
                  <c:v>-1.8112054094672203E-2</c:v>
                </c:pt>
                <c:pt idx="49">
                  <c:v>-1.2834467925131321E-2</c:v>
                </c:pt>
                <c:pt idx="50">
                  <c:v>-1.3074005022644997E-2</c:v>
                </c:pt>
                <c:pt idx="51">
                  <c:v>-2.1593963727355003E-2</c:v>
                </c:pt>
                <c:pt idx="52">
                  <c:v>-1.7693089321255684E-2</c:v>
                </c:pt>
                <c:pt idx="53">
                  <c:v>7.320706732571125E-3</c:v>
                </c:pt>
                <c:pt idx="54">
                  <c:v>4.1098896414041519E-2</c:v>
                </c:pt>
                <c:pt idx="55">
                  <c:v>3.4887976944446564E-2</c:v>
                </c:pt>
                <c:pt idx="56">
                  <c:v>-2.8360893949866295E-2</c:v>
                </c:pt>
                <c:pt idx="57">
                  <c:v>-2.3474792018532753E-2</c:v>
                </c:pt>
                <c:pt idx="58">
                  <c:v>-1.662757433950901E-2</c:v>
                </c:pt>
                <c:pt idx="59">
                  <c:v>-5.5004111491143703E-3</c:v>
                </c:pt>
                <c:pt idx="60">
                  <c:v>4.3764244765043259E-3</c:v>
                </c:pt>
                <c:pt idx="61">
                  <c:v>1.3914708979427814E-2</c:v>
                </c:pt>
                <c:pt idx="62">
                  <c:v>2.5597456842660904E-2</c:v>
                </c:pt>
                <c:pt idx="63">
                  <c:v>3.0075078830122948E-2</c:v>
                </c:pt>
                <c:pt idx="64">
                  <c:v>-6.8283588625490665E-3</c:v>
                </c:pt>
                <c:pt idx="65">
                  <c:v>-2.4521449580788612E-2</c:v>
                </c:pt>
                <c:pt idx="66">
                  <c:v>-3.8353703916072845E-2</c:v>
                </c:pt>
                <c:pt idx="67">
                  <c:v>-3.1184053048491478E-2</c:v>
                </c:pt>
                <c:pt idx="68">
                  <c:v>-1.0875212028622627E-2</c:v>
                </c:pt>
                <c:pt idx="69">
                  <c:v>1.602661982178688E-2</c:v>
                </c:pt>
                <c:pt idx="70">
                  <c:v>4.2840365320444107E-2</c:v>
                </c:pt>
                <c:pt idx="71">
                  <c:v>5.2895791828632355E-2</c:v>
                </c:pt>
                <c:pt idx="72">
                  <c:v>-7.6632730662822723E-2</c:v>
                </c:pt>
                <c:pt idx="73">
                  <c:v>-6.2718905508518219E-2</c:v>
                </c:pt>
                <c:pt idx="74">
                  <c:v>-4.0049038827419281E-2</c:v>
                </c:pt>
                <c:pt idx="75">
                  <c:v>-2.265488263219595E-3</c:v>
                </c:pt>
                <c:pt idx="76">
                  <c:v>1.7506672069430351E-2</c:v>
                </c:pt>
                <c:pt idx="77">
                  <c:v>4.0673438459634781E-2</c:v>
                </c:pt>
                <c:pt idx="78">
                  <c:v>5.7935658842325211E-2</c:v>
                </c:pt>
                <c:pt idx="79">
                  <c:v>6.5550394356250763E-2</c:v>
                </c:pt>
                <c:pt idx="80">
                  <c:v>6.6579677164554596E-2</c:v>
                </c:pt>
                <c:pt idx="81">
                  <c:v>4.8741869628429413E-2</c:v>
                </c:pt>
                <c:pt idx="82">
                  <c:v>3.0703430995345116E-2</c:v>
                </c:pt>
                <c:pt idx="83">
                  <c:v>9.4967437908053398E-3</c:v>
                </c:pt>
                <c:pt idx="84">
                  <c:v>-1.1656122282147408E-2</c:v>
                </c:pt>
                <c:pt idx="85">
                  <c:v>-3.8298811763525009E-2</c:v>
                </c:pt>
                <c:pt idx="86">
                  <c:v>-5.5463042110204697E-2</c:v>
                </c:pt>
                <c:pt idx="87">
                  <c:v>-5.0103746354579926E-2</c:v>
                </c:pt>
                <c:pt idx="88">
                  <c:v>3.5255737602710724E-2</c:v>
                </c:pt>
                <c:pt idx="89">
                  <c:v>2.155282162129879E-2</c:v>
                </c:pt>
                <c:pt idx="90">
                  <c:v>9.1913696378469467E-3</c:v>
                </c:pt>
                <c:pt idx="91">
                  <c:v>-9.8655128385871649E-4</c:v>
                </c:pt>
                <c:pt idx="92">
                  <c:v>-8.9872945100069046E-3</c:v>
                </c:pt>
                <c:pt idx="93">
                  <c:v>-1.5874858945608139E-2</c:v>
                </c:pt>
                <c:pt idx="94">
                  <c:v>-1.9865509122610092E-2</c:v>
                </c:pt>
                <c:pt idx="95">
                  <c:v>-2.0285720005631447E-2</c:v>
                </c:pt>
                <c:pt idx="96">
                  <c:v>-2.4515291675925255E-2</c:v>
                </c:pt>
                <c:pt idx="97">
                  <c:v>-1.5564628876745701E-2</c:v>
                </c:pt>
                <c:pt idx="98">
                  <c:v>-4.7718225978314877E-3</c:v>
                </c:pt>
                <c:pt idx="99">
                  <c:v>4.1509219445288181E-3</c:v>
                </c:pt>
                <c:pt idx="100">
                  <c:v>8.0801676958799362E-3</c:v>
                </c:pt>
                <c:pt idx="101">
                  <c:v>7.2224484756588936E-3</c:v>
                </c:pt>
                <c:pt idx="102">
                  <c:v>1.0825906880199909E-2</c:v>
                </c:pt>
                <c:pt idx="103">
                  <c:v>1.4572299085557461E-2</c:v>
                </c:pt>
                <c:pt idx="104">
                  <c:v>2.9673108831048012E-2</c:v>
                </c:pt>
                <c:pt idx="105">
                  <c:v>1.9142588600516319E-2</c:v>
                </c:pt>
                <c:pt idx="106">
                  <c:v>4.1509033180773258E-3</c:v>
                </c:pt>
                <c:pt idx="107">
                  <c:v>-5.7514063082635403E-3</c:v>
                </c:pt>
                <c:pt idx="108">
                  <c:v>-6.3289869576692581E-3</c:v>
                </c:pt>
                <c:pt idx="109">
                  <c:v>-9.3601299449801445E-3</c:v>
                </c:pt>
                <c:pt idx="110">
                  <c:v>-1.3158614747226238E-2</c:v>
                </c:pt>
                <c:pt idx="111">
                  <c:v>-1.836746372282505E-2</c:v>
                </c:pt>
                <c:pt idx="112">
                  <c:v>1.0575243271887302E-2</c:v>
                </c:pt>
                <c:pt idx="113">
                  <c:v>3.1539415940642357E-3</c:v>
                </c:pt>
                <c:pt idx="114">
                  <c:v>-2.8980018105357885E-3</c:v>
                </c:pt>
                <c:pt idx="115">
                  <c:v>-3.0034533701837063E-3</c:v>
                </c:pt>
                <c:pt idx="116">
                  <c:v>-1.9149649888277054E-3</c:v>
                </c:pt>
                <c:pt idx="117">
                  <c:v>-3.1295968219637871E-3</c:v>
                </c:pt>
                <c:pt idx="118">
                  <c:v>-2.3285103961825371E-3</c:v>
                </c:pt>
                <c:pt idx="119">
                  <c:v>-4.5465794391930103E-4</c:v>
                </c:pt>
                <c:pt idx="120">
                  <c:v>3.4059889614582062E-2</c:v>
                </c:pt>
                <c:pt idx="121">
                  <c:v>2.064116857945919E-2</c:v>
                </c:pt>
                <c:pt idx="122">
                  <c:v>8.5670109838247299E-3</c:v>
                </c:pt>
                <c:pt idx="123">
                  <c:v>-2.0526996813714504E-3</c:v>
                </c:pt>
                <c:pt idx="124">
                  <c:v>-1.2205170467495918E-2</c:v>
                </c:pt>
                <c:pt idx="125">
                  <c:v>-1.9731219857931137E-2</c:v>
                </c:pt>
                <c:pt idx="126">
                  <c:v>-2.1365340799093246E-2</c:v>
                </c:pt>
                <c:pt idx="127">
                  <c:v>-7.9136425629258156E-3</c:v>
                </c:pt>
                <c:pt idx="128">
                  <c:v>-1.795252226293087E-2</c:v>
                </c:pt>
                <c:pt idx="129">
                  <c:v>-1.5147813595831394E-2</c:v>
                </c:pt>
                <c:pt idx="130">
                  <c:v>-1.2786680832505226E-2</c:v>
                </c:pt>
                <c:pt idx="131">
                  <c:v>-7.4616721831262112E-3</c:v>
                </c:pt>
                <c:pt idx="132">
                  <c:v>1.865847036242485E-3</c:v>
                </c:pt>
                <c:pt idx="133">
                  <c:v>8.3075510337948799E-3</c:v>
                </c:pt>
                <c:pt idx="134">
                  <c:v>1.6849134117364883E-2</c:v>
                </c:pt>
                <c:pt idx="135">
                  <c:v>2.6326155290007591E-2</c:v>
                </c:pt>
                <c:pt idx="136">
                  <c:v>-4.8005790449678898E-3</c:v>
                </c:pt>
                <c:pt idx="137">
                  <c:v>-5.8227265253663063E-3</c:v>
                </c:pt>
                <c:pt idx="138">
                  <c:v>2.6059738593176007E-4</c:v>
                </c:pt>
                <c:pt idx="139">
                  <c:v>2.6737996377050877E-3</c:v>
                </c:pt>
                <c:pt idx="140">
                  <c:v>3.5467576235532761E-3</c:v>
                </c:pt>
                <c:pt idx="141">
                  <c:v>1.3288604095578194E-3</c:v>
                </c:pt>
                <c:pt idx="142">
                  <c:v>-8.273972780443728E-4</c:v>
                </c:pt>
                <c:pt idx="143">
                  <c:v>3.6406877916306257E-3</c:v>
                </c:pt>
              </c:numCache>
            </c:numRef>
          </c:yVal>
          <c:smooth val="0"/>
          <c:extLst>
            <c:ext xmlns:c16="http://schemas.microsoft.com/office/drawing/2014/chart" uri="{C3380CC4-5D6E-409C-BE32-E72D297353CC}">
              <c16:uniqueId val="{00000001-939F-4049-BFA7-8DEFFE5E2EAB}"/>
            </c:ext>
          </c:extLst>
        </c:ser>
        <c:dLbls>
          <c:showLegendKey val="0"/>
          <c:showVal val="0"/>
          <c:showCatName val="0"/>
          <c:showSerName val="0"/>
          <c:showPercent val="0"/>
          <c:showBubbleSize val="0"/>
        </c:dLbls>
        <c:axId val="423784832"/>
        <c:axId val="423786752"/>
      </c:scatterChart>
      <c:valAx>
        <c:axId val="423784832"/>
        <c:scaling>
          <c:orientation val="minMax"/>
          <c:max val="1"/>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a:solidFill>
                      <a:sysClr val="windowText" lastClr="000000"/>
                    </a:solidFill>
                    <a:latin typeface="Times New Roman" panose="02020603050405020304" pitchFamily="18" charset="0"/>
                    <a:cs typeface="Times New Roman" panose="02020603050405020304" pitchFamily="18" charset="0"/>
                  </a:rPr>
                  <a:t>PrivateCredit</a:t>
                </a: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786752"/>
        <c:crosses val="autoZero"/>
        <c:crossBetween val="midCat"/>
        <c:minorUnit val="0.5"/>
      </c:valAx>
      <c:valAx>
        <c:axId val="423786752"/>
        <c:scaling>
          <c:orientation val="minMax"/>
          <c:min val="-0.15000000000000002"/>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784832"/>
        <c:crosses val="autoZero"/>
        <c:crossBetween val="midCat"/>
        <c:majorUnit val="5.000000000000001E-2"/>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HFO</a:t>
            </a:r>
          </a:p>
        </c:rich>
      </c:tx>
      <c:overlay val="0"/>
      <c:spPr>
        <a:noFill/>
        <a:ln>
          <a:noFill/>
        </a:ln>
        <a:effectLst/>
      </c:spPr>
    </c:title>
    <c:autoTitleDeleted val="0"/>
    <c:plotArea>
      <c:layout>
        <c:manualLayout>
          <c:layoutTarget val="inner"/>
          <c:xMode val="edge"/>
          <c:yMode val="edge"/>
          <c:x val="0.1964417164444765"/>
          <c:y val="0.13964209019327128"/>
          <c:w val="0.73185941878754901"/>
          <c:h val="0.64295698574868221"/>
        </c:manualLayout>
      </c:layout>
      <c:scatterChart>
        <c:scatterStyle val="lineMarker"/>
        <c:varyColors val="0"/>
        <c:ser>
          <c:idx val="0"/>
          <c:order val="0"/>
          <c:tx>
            <c:strRef>
              <c:f>Sheet1!$G$1</c:f>
              <c:strCache>
                <c:ptCount val="1"/>
                <c:pt idx="0">
                  <c:v>FD1Res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Sheet1!$G$2:$G$569</c:f>
              <c:numCache>
                <c:formatCode>0.00</c:formatCode>
                <c:ptCount val="424"/>
                <c:pt idx="0">
                  <c:v>-0.33102059364318848</c:v>
                </c:pt>
                <c:pt idx="1">
                  <c:v>-0.46652504801750183</c:v>
                </c:pt>
                <c:pt idx="2">
                  <c:v>-0.43822485208511353</c:v>
                </c:pt>
                <c:pt idx="3">
                  <c:v>-0.68224579095840454</c:v>
                </c:pt>
                <c:pt idx="4">
                  <c:v>-0.21456250548362732</c:v>
                </c:pt>
                <c:pt idx="5">
                  <c:v>0.46922957897186279</c:v>
                </c:pt>
                <c:pt idx="6">
                  <c:v>0.80521917343139648</c:v>
                </c:pt>
                <c:pt idx="7">
                  <c:v>0.85813003778457642</c:v>
                </c:pt>
                <c:pt idx="8">
                  <c:v>-0.11514540761709213</c:v>
                </c:pt>
                <c:pt idx="9">
                  <c:v>-3.298703208565712E-2</c:v>
                </c:pt>
                <c:pt idx="10">
                  <c:v>1.5698671340942383E-2</c:v>
                </c:pt>
                <c:pt idx="11">
                  <c:v>8.6855292320251465E-2</c:v>
                </c:pt>
                <c:pt idx="12">
                  <c:v>3.6448430269956589E-2</c:v>
                </c:pt>
                <c:pt idx="13">
                  <c:v>1.6104154288768768E-2</c:v>
                </c:pt>
                <c:pt idx="14">
                  <c:v>-3.6166399717330933E-2</c:v>
                </c:pt>
                <c:pt idx="15">
                  <c:v>2.9192285612225533E-2</c:v>
                </c:pt>
                <c:pt idx="16">
                  <c:v>0.29284068942070007</c:v>
                </c:pt>
                <c:pt idx="17">
                  <c:v>0.31807234883308411</c:v>
                </c:pt>
                <c:pt idx="18">
                  <c:v>0.14034956693649292</c:v>
                </c:pt>
                <c:pt idx="19">
                  <c:v>7.4483215808868408E-2</c:v>
                </c:pt>
                <c:pt idx="20">
                  <c:v>-7.7900037169456482E-2</c:v>
                </c:pt>
                <c:pt idx="21">
                  <c:v>-0.13289608061313629</c:v>
                </c:pt>
                <c:pt idx="22">
                  <c:v>-0.25029876828193665</c:v>
                </c:pt>
                <c:pt idx="23">
                  <c:v>-0.36465093493461609</c:v>
                </c:pt>
                <c:pt idx="24">
                  <c:v>0.41817143559455872</c:v>
                </c:pt>
                <c:pt idx="25">
                  <c:v>0.38366779685020447</c:v>
                </c:pt>
                <c:pt idx="26">
                  <c:v>0.19035720825195313</c:v>
                </c:pt>
                <c:pt idx="27">
                  <c:v>7.4002385139465332E-2</c:v>
                </c:pt>
                <c:pt idx="28">
                  <c:v>-7.9692170023918152E-2</c:v>
                </c:pt>
                <c:pt idx="29">
                  <c:v>-0.30872851610183716</c:v>
                </c:pt>
                <c:pt idx="30">
                  <c:v>-0.37290665507316589</c:v>
                </c:pt>
                <c:pt idx="31">
                  <c:v>-0.30487146973609924</c:v>
                </c:pt>
                <c:pt idx="32">
                  <c:v>0.46741658449172974</c:v>
                </c:pt>
                <c:pt idx="33">
                  <c:v>-1.072147011756897</c:v>
                </c:pt>
                <c:pt idx="34">
                  <c:v>-0.69278144836425781</c:v>
                </c:pt>
                <c:pt idx="35">
                  <c:v>2.5544080883264542E-2</c:v>
                </c:pt>
                <c:pt idx="36">
                  <c:v>0.36768838763237</c:v>
                </c:pt>
                <c:pt idx="37">
                  <c:v>0.45300313830375671</c:v>
                </c:pt>
                <c:pt idx="38">
                  <c:v>0.34293466806411743</c:v>
                </c:pt>
                <c:pt idx="39">
                  <c:v>0.10834155976772308</c:v>
                </c:pt>
                <c:pt idx="40">
                  <c:v>0.37990477681159973</c:v>
                </c:pt>
                <c:pt idx="41">
                  <c:v>0.53582578897476196</c:v>
                </c:pt>
                <c:pt idx="42">
                  <c:v>0.34053182601928711</c:v>
                </c:pt>
                <c:pt idx="43">
                  <c:v>3.6726120859384537E-2</c:v>
                </c:pt>
                <c:pt idx="44">
                  <c:v>-0.41399174928665161</c:v>
                </c:pt>
                <c:pt idx="45">
                  <c:v>-0.44508272409439087</c:v>
                </c:pt>
                <c:pt idx="46">
                  <c:v>-0.35181161761283875</c:v>
                </c:pt>
                <c:pt idx="47">
                  <c:v>-8.2102462649345398E-2</c:v>
                </c:pt>
                <c:pt idx="48">
                  <c:v>-0.14451877772808075</c:v>
                </c:pt>
                <c:pt idx="49">
                  <c:v>-9.3931086361408234E-2</c:v>
                </c:pt>
                <c:pt idx="50">
                  <c:v>1.8441945314407349E-2</c:v>
                </c:pt>
                <c:pt idx="51">
                  <c:v>0.11656561493873596</c:v>
                </c:pt>
                <c:pt idx="52">
                  <c:v>1.0076029226183891E-2</c:v>
                </c:pt>
                <c:pt idx="53">
                  <c:v>7.5836621224880219E-2</c:v>
                </c:pt>
                <c:pt idx="54">
                  <c:v>3.2275974750518799E-2</c:v>
                </c:pt>
                <c:pt idx="55">
                  <c:v>-1.4746320433914661E-2</c:v>
                </c:pt>
                <c:pt idx="56">
                  <c:v>-0.24616651237010956</c:v>
                </c:pt>
                <c:pt idx="57">
                  <c:v>-0.31090950965881348</c:v>
                </c:pt>
                <c:pt idx="58">
                  <c:v>-2.4158328771591187E-2</c:v>
                </c:pt>
                <c:pt idx="59">
                  <c:v>9.8088055849075317E-2</c:v>
                </c:pt>
                <c:pt idx="60">
                  <c:v>7.309300359338522E-3</c:v>
                </c:pt>
                <c:pt idx="61">
                  <c:v>0.1136988028883934</c:v>
                </c:pt>
                <c:pt idx="62">
                  <c:v>0.18702811002731323</c:v>
                </c:pt>
                <c:pt idx="63">
                  <c:v>0.17511008679866791</c:v>
                </c:pt>
                <c:pt idx="64">
                  <c:v>0.25585314631462097</c:v>
                </c:pt>
                <c:pt idx="65">
                  <c:v>0.21234825253486633</c:v>
                </c:pt>
                <c:pt idx="66">
                  <c:v>9.3054711818695068E-2</c:v>
                </c:pt>
                <c:pt idx="67">
                  <c:v>4.8023764044046402E-2</c:v>
                </c:pt>
                <c:pt idx="68">
                  <c:v>-0.10927854478359222</c:v>
                </c:pt>
                <c:pt idx="69">
                  <c:v>-0.16410817205905914</c:v>
                </c:pt>
                <c:pt idx="70">
                  <c:v>-0.16449359059333801</c:v>
                </c:pt>
                <c:pt idx="71">
                  <c:v>-0.17139957845211029</c:v>
                </c:pt>
                <c:pt idx="72">
                  <c:v>-9.3810871476307511E-4</c:v>
                </c:pt>
                <c:pt idx="73">
                  <c:v>8.4718100726604462E-2</c:v>
                </c:pt>
                <c:pt idx="74">
                  <c:v>0.14987185597419739</c:v>
                </c:pt>
                <c:pt idx="75">
                  <c:v>7.7310234308242798E-2</c:v>
                </c:pt>
                <c:pt idx="76">
                  <c:v>-2.1307723596692085E-2</c:v>
                </c:pt>
                <c:pt idx="77">
                  <c:v>-0.13790063560009003</c:v>
                </c:pt>
                <c:pt idx="78">
                  <c:v>-8.2943856716156006E-2</c:v>
                </c:pt>
                <c:pt idx="79">
                  <c:v>-6.8809881806373596E-2</c:v>
                </c:pt>
                <c:pt idx="80">
                  <c:v>0.34595933556556702</c:v>
                </c:pt>
                <c:pt idx="81">
                  <c:v>0.17744871973991394</c:v>
                </c:pt>
                <c:pt idx="82">
                  <c:v>3.7866473197937012E-2</c:v>
                </c:pt>
                <c:pt idx="83">
                  <c:v>-0.15731453895568848</c:v>
                </c:pt>
                <c:pt idx="84">
                  <c:v>-0.20165078341960907</c:v>
                </c:pt>
                <c:pt idx="85">
                  <c:v>-0.18561048805713654</c:v>
                </c:pt>
                <c:pt idx="86">
                  <c:v>-0.144094318151474</c:v>
                </c:pt>
                <c:pt idx="87">
                  <c:v>0.12739558517932892</c:v>
                </c:pt>
                <c:pt idx="88">
                  <c:v>-0.64022535085678101</c:v>
                </c:pt>
                <c:pt idx="89">
                  <c:v>-0.31229627132415771</c:v>
                </c:pt>
                <c:pt idx="90">
                  <c:v>3.1038790941238403E-2</c:v>
                </c:pt>
                <c:pt idx="91">
                  <c:v>0.11524024605751038</c:v>
                </c:pt>
                <c:pt idx="92">
                  <c:v>0.18632744252681732</c:v>
                </c:pt>
                <c:pt idx="93">
                  <c:v>0.14842386543750763</c:v>
                </c:pt>
                <c:pt idx="94">
                  <c:v>0.18255263566970825</c:v>
                </c:pt>
                <c:pt idx="95">
                  <c:v>0.28893864154815674</c:v>
                </c:pt>
                <c:pt idx="96">
                  <c:v>0.63849079608917236</c:v>
                </c:pt>
                <c:pt idx="97">
                  <c:v>0.43125957250595093</c:v>
                </c:pt>
                <c:pt idx="98">
                  <c:v>-8.4858089685440063E-2</c:v>
                </c:pt>
                <c:pt idx="99">
                  <c:v>-0.32770135998725891</c:v>
                </c:pt>
                <c:pt idx="100">
                  <c:v>-0.16201634705066681</c:v>
                </c:pt>
                <c:pt idx="101">
                  <c:v>-0.1683802455663681</c:v>
                </c:pt>
                <c:pt idx="102">
                  <c:v>-0.15331375598907471</c:v>
                </c:pt>
                <c:pt idx="103">
                  <c:v>-0.17348058521747589</c:v>
                </c:pt>
                <c:pt idx="104">
                  <c:v>0.32197996973991394</c:v>
                </c:pt>
                <c:pt idx="105">
                  <c:v>0.37197807431221008</c:v>
                </c:pt>
                <c:pt idx="106">
                  <c:v>0.32498830556869507</c:v>
                </c:pt>
                <c:pt idx="107">
                  <c:v>0.20625787973403931</c:v>
                </c:pt>
                <c:pt idx="108">
                  <c:v>-7.7514514327049255E-2</c:v>
                </c:pt>
                <c:pt idx="109">
                  <c:v>-0.24891270697116852</c:v>
                </c:pt>
                <c:pt idx="110">
                  <c:v>-0.4064355194568634</c:v>
                </c:pt>
                <c:pt idx="111">
                  <c:v>-0.49234148859977722</c:v>
                </c:pt>
                <c:pt idx="112">
                  <c:v>0.26823228597640991</c:v>
                </c:pt>
                <c:pt idx="113">
                  <c:v>0.22301483154296875</c:v>
                </c:pt>
                <c:pt idx="114">
                  <c:v>0.14262619614601135</c:v>
                </c:pt>
                <c:pt idx="115">
                  <c:v>-0.13403245806694031</c:v>
                </c:pt>
                <c:pt idx="116">
                  <c:v>-0.17055644094944</c:v>
                </c:pt>
                <c:pt idx="117">
                  <c:v>-0.1652168482542038</c:v>
                </c:pt>
                <c:pt idx="118">
                  <c:v>-0.11590176820755005</c:v>
                </c:pt>
                <c:pt idx="119">
                  <c:v>-4.8165809363126755E-2</c:v>
                </c:pt>
                <c:pt idx="120">
                  <c:v>-0.19268585741519928</c:v>
                </c:pt>
                <c:pt idx="121">
                  <c:v>-0.13473650813102722</c:v>
                </c:pt>
                <c:pt idx="122">
                  <c:v>1.043623685836792E-2</c:v>
                </c:pt>
                <c:pt idx="123">
                  <c:v>0.14167624711990356</c:v>
                </c:pt>
                <c:pt idx="124">
                  <c:v>0.26505792140960693</c:v>
                </c:pt>
                <c:pt idx="125">
                  <c:v>0.21374450623989105</c:v>
                </c:pt>
                <c:pt idx="126">
                  <c:v>-5.3136642090976238E-3</c:v>
                </c:pt>
                <c:pt idx="127">
                  <c:v>-0.29817888140678406</c:v>
                </c:pt>
                <c:pt idx="128">
                  <c:v>0.14797647297382355</c:v>
                </c:pt>
                <c:pt idx="129">
                  <c:v>-0.1001674011349678</c:v>
                </c:pt>
                <c:pt idx="130">
                  <c:v>-9.4299525022506714E-2</c:v>
                </c:pt>
                <c:pt idx="131">
                  <c:v>5.9134098701179028E-3</c:v>
                </c:pt>
                <c:pt idx="132">
                  <c:v>-2.1689670160412788E-2</c:v>
                </c:pt>
                <c:pt idx="133">
                  <c:v>2.8204165399074554E-2</c:v>
                </c:pt>
                <c:pt idx="134">
                  <c:v>2.6777803897857666E-2</c:v>
                </c:pt>
                <c:pt idx="135">
                  <c:v>7.2847483679652214E-3</c:v>
                </c:pt>
                <c:pt idx="136">
                  <c:v>0.2575933039188385</c:v>
                </c:pt>
                <c:pt idx="137">
                  <c:v>0.15727803111076355</c:v>
                </c:pt>
                <c:pt idx="138">
                  <c:v>5.4371953010559082E-2</c:v>
                </c:pt>
                <c:pt idx="139">
                  <c:v>-9.9151097238063812E-3</c:v>
                </c:pt>
                <c:pt idx="140">
                  <c:v>-7.710091769695282E-2</c:v>
                </c:pt>
                <c:pt idx="141">
                  <c:v>-8.3584971725940704E-2</c:v>
                </c:pt>
                <c:pt idx="142">
                  <c:v>-0.14047273993492126</c:v>
                </c:pt>
                <c:pt idx="143">
                  <c:v>-0.15816955268383026</c:v>
                </c:pt>
                <c:pt idx="144">
                  <c:v>1.5664487145841122E-3</c:v>
                </c:pt>
                <c:pt idx="145">
                  <c:v>-1.8451845273375511E-2</c:v>
                </c:pt>
                <c:pt idx="146">
                  <c:v>7.2439193725585938E-2</c:v>
                </c:pt>
                <c:pt idx="147">
                  <c:v>0.12784731388092041</c:v>
                </c:pt>
                <c:pt idx="148">
                  <c:v>0.15361137688159943</c:v>
                </c:pt>
                <c:pt idx="149">
                  <c:v>7.1022681891918182E-2</c:v>
                </c:pt>
                <c:pt idx="150">
                  <c:v>-0.12828347086906433</c:v>
                </c:pt>
                <c:pt idx="151">
                  <c:v>-0.27975168824195862</c:v>
                </c:pt>
                <c:pt idx="152">
                  <c:v>-0.89238560199737549</c:v>
                </c:pt>
                <c:pt idx="153">
                  <c:v>-0.91592234373092651</c:v>
                </c:pt>
                <c:pt idx="154">
                  <c:v>-0.52429789304733276</c:v>
                </c:pt>
                <c:pt idx="155">
                  <c:v>-0.22937969863414764</c:v>
                </c:pt>
                <c:pt idx="156">
                  <c:v>0.4614429771900177</c:v>
                </c:pt>
                <c:pt idx="157">
                  <c:v>0.50733017921447754</c:v>
                </c:pt>
                <c:pt idx="158">
                  <c:v>0.65460669994354248</c:v>
                </c:pt>
                <c:pt idx="159">
                  <c:v>0.93860572576522827</c:v>
                </c:pt>
                <c:pt idx="160">
                  <c:v>-0.54145669937133789</c:v>
                </c:pt>
                <c:pt idx="161">
                  <c:v>-0.49936622381210327</c:v>
                </c:pt>
                <c:pt idx="162">
                  <c:v>-5.7494193315505981E-2</c:v>
                </c:pt>
                <c:pt idx="163">
                  <c:v>7.6695054769515991E-2</c:v>
                </c:pt>
                <c:pt idx="164">
                  <c:v>0.14349238574504852</c:v>
                </c:pt>
                <c:pt idx="165">
                  <c:v>0.30281510949134827</c:v>
                </c:pt>
                <c:pt idx="166">
                  <c:v>0.35185384750366211</c:v>
                </c:pt>
                <c:pt idx="167">
                  <c:v>0.22346071898937225</c:v>
                </c:pt>
                <c:pt idx="168">
                  <c:v>0.24589483439922333</c:v>
                </c:pt>
                <c:pt idx="169">
                  <c:v>0.27215597033500671</c:v>
                </c:pt>
                <c:pt idx="170">
                  <c:v>0.12009990215301514</c:v>
                </c:pt>
                <c:pt idx="171">
                  <c:v>1.894092932343483E-2</c:v>
                </c:pt>
                <c:pt idx="172">
                  <c:v>-0.22987501323223114</c:v>
                </c:pt>
                <c:pt idx="173">
                  <c:v>-9.5691151916980743E-2</c:v>
                </c:pt>
                <c:pt idx="174">
                  <c:v>-0.14889487624168396</c:v>
                </c:pt>
                <c:pt idx="175">
                  <c:v>-0.18263058364391327</c:v>
                </c:pt>
                <c:pt idx="176">
                  <c:v>-0.41460239887237549</c:v>
                </c:pt>
                <c:pt idx="177">
                  <c:v>-1.0548895224928856E-2</c:v>
                </c:pt>
                <c:pt idx="178">
                  <c:v>7.865414023399353E-2</c:v>
                </c:pt>
                <c:pt idx="179">
                  <c:v>5.7503435760736465E-2</c:v>
                </c:pt>
                <c:pt idx="180">
                  <c:v>0.12852315604686737</c:v>
                </c:pt>
                <c:pt idx="181">
                  <c:v>1.3273023068904877E-2</c:v>
                </c:pt>
                <c:pt idx="182">
                  <c:v>6.7559599876403809E-2</c:v>
                </c:pt>
                <c:pt idx="183">
                  <c:v>7.9637929797172546E-2</c:v>
                </c:pt>
                <c:pt idx="184">
                  <c:v>-0.22796784341335297</c:v>
                </c:pt>
                <c:pt idx="185">
                  <c:v>-0.2288859486579895</c:v>
                </c:pt>
                <c:pt idx="186">
                  <c:v>2.4873107671737671E-2</c:v>
                </c:pt>
                <c:pt idx="187">
                  <c:v>0.27263185381889343</c:v>
                </c:pt>
                <c:pt idx="188">
                  <c:v>0.3629787266254425</c:v>
                </c:pt>
                <c:pt idx="189">
                  <c:v>0.25213316082954407</c:v>
                </c:pt>
                <c:pt idx="190">
                  <c:v>-5.0657391548156738E-2</c:v>
                </c:pt>
                <c:pt idx="191">
                  <c:v>-0.40510565042495728</c:v>
                </c:pt>
                <c:pt idx="192">
                  <c:v>-9.2075996100902557E-2</c:v>
                </c:pt>
                <c:pt idx="193">
                  <c:v>0.16049540042877197</c:v>
                </c:pt>
                <c:pt idx="194">
                  <c:v>-1.7408579587936401E-2</c:v>
                </c:pt>
                <c:pt idx="195">
                  <c:v>0.26241293549537659</c:v>
                </c:pt>
                <c:pt idx="196">
                  <c:v>0.45769211649894714</c:v>
                </c:pt>
                <c:pt idx="197">
                  <c:v>0.25725743174552917</c:v>
                </c:pt>
                <c:pt idx="198">
                  <c:v>-0.14027279615402222</c:v>
                </c:pt>
                <c:pt idx="199">
                  <c:v>-0.88810050487518311</c:v>
                </c:pt>
                <c:pt idx="200">
                  <c:v>1.1046507395803928E-2</c:v>
                </c:pt>
                <c:pt idx="201">
                  <c:v>-4.181966558098793E-2</c:v>
                </c:pt>
                <c:pt idx="202">
                  <c:v>1.9361793994903564E-2</c:v>
                </c:pt>
                <c:pt idx="203">
                  <c:v>4.7237817198038101E-2</c:v>
                </c:pt>
                <c:pt idx="204">
                  <c:v>1.559687964618206E-2</c:v>
                </c:pt>
                <c:pt idx="205">
                  <c:v>5.9854976832866669E-2</c:v>
                </c:pt>
                <c:pt idx="206">
                  <c:v>1.5853350050747395E-3</c:v>
                </c:pt>
                <c:pt idx="207">
                  <c:v>-0.11286364495754242</c:v>
                </c:pt>
                <c:pt idx="208">
                  <c:v>0.11769617348909378</c:v>
                </c:pt>
                <c:pt idx="209">
                  <c:v>0.13732022047042847</c:v>
                </c:pt>
                <c:pt idx="210">
                  <c:v>-0.13092246651649475</c:v>
                </c:pt>
                <c:pt idx="211">
                  <c:v>-9.8848134279251099E-2</c:v>
                </c:pt>
                <c:pt idx="212">
                  <c:v>1.0817093774676323E-2</c:v>
                </c:pt>
                <c:pt idx="213">
                  <c:v>-6.5147139132022858E-2</c:v>
                </c:pt>
                <c:pt idx="214">
                  <c:v>-4.416501522064209E-2</c:v>
                </c:pt>
                <c:pt idx="215">
                  <c:v>7.3249265551567078E-2</c:v>
                </c:pt>
                <c:pt idx="216">
                  <c:v>0.67566037178039551</c:v>
                </c:pt>
                <c:pt idx="217">
                  <c:v>0.61816310882568359</c:v>
                </c:pt>
                <c:pt idx="218">
                  <c:v>0.27304905652999878</c:v>
                </c:pt>
                <c:pt idx="219">
                  <c:v>-0.12136048078536987</c:v>
                </c:pt>
                <c:pt idx="220">
                  <c:v>-0.31340992450714111</c:v>
                </c:pt>
                <c:pt idx="221">
                  <c:v>-0.34672224521636963</c:v>
                </c:pt>
                <c:pt idx="222">
                  <c:v>-0.3790610134601593</c:v>
                </c:pt>
                <c:pt idx="223">
                  <c:v>-0.40631887316703796</c:v>
                </c:pt>
                <c:pt idx="224">
                  <c:v>-0.26181387901306152</c:v>
                </c:pt>
                <c:pt idx="225">
                  <c:v>-8.8922686874866486E-2</c:v>
                </c:pt>
                <c:pt idx="226">
                  <c:v>7.9873532056808472E-2</c:v>
                </c:pt>
                <c:pt idx="227">
                  <c:v>5.5118653923273087E-2</c:v>
                </c:pt>
                <c:pt idx="228">
                  <c:v>-1.7380552366375923E-2</c:v>
                </c:pt>
                <c:pt idx="229">
                  <c:v>-8.9315749704837799E-2</c:v>
                </c:pt>
                <c:pt idx="230">
                  <c:v>0.10454034805297852</c:v>
                </c:pt>
                <c:pt idx="231">
                  <c:v>0.21790032088756561</c:v>
                </c:pt>
                <c:pt idx="232">
                  <c:v>0.64068323373794556</c:v>
                </c:pt>
                <c:pt idx="233">
                  <c:v>0.51102316379547119</c:v>
                </c:pt>
                <c:pt idx="234">
                  <c:v>0.17426972091197968</c:v>
                </c:pt>
                <c:pt idx="235">
                  <c:v>-0.64592951536178589</c:v>
                </c:pt>
                <c:pt idx="236">
                  <c:v>-0.50464224815368652</c:v>
                </c:pt>
                <c:pt idx="237">
                  <c:v>-0.24447920918464661</c:v>
                </c:pt>
                <c:pt idx="238">
                  <c:v>5.2190378308296204E-2</c:v>
                </c:pt>
                <c:pt idx="239">
                  <c:v>1.6884448006749153E-2</c:v>
                </c:pt>
                <c:pt idx="240">
                  <c:v>0.52768111228942871</c:v>
                </c:pt>
                <c:pt idx="241">
                  <c:v>0.21354895830154419</c:v>
                </c:pt>
                <c:pt idx="242">
                  <c:v>-0.16657593846321106</c:v>
                </c:pt>
                <c:pt idx="243">
                  <c:v>-0.2119545042514801</c:v>
                </c:pt>
                <c:pt idx="244">
                  <c:v>-0.17014868557453156</c:v>
                </c:pt>
                <c:pt idx="245">
                  <c:v>-0.16932927072048187</c:v>
                </c:pt>
                <c:pt idx="246">
                  <c:v>-8.4678411483764648E-2</c:v>
                </c:pt>
                <c:pt idx="247">
                  <c:v>6.1456728726625443E-2</c:v>
                </c:pt>
                <c:pt idx="248">
                  <c:v>-0.72537142038345337</c:v>
                </c:pt>
                <c:pt idx="249">
                  <c:v>-1.0758864879608154</c:v>
                </c:pt>
                <c:pt idx="250">
                  <c:v>-0.66399633884429932</c:v>
                </c:pt>
                <c:pt idx="251">
                  <c:v>0.21390867233276367</c:v>
                </c:pt>
                <c:pt idx="252">
                  <c:v>0.48429518938064575</c:v>
                </c:pt>
                <c:pt idx="253">
                  <c:v>0.43621188402175903</c:v>
                </c:pt>
                <c:pt idx="254">
                  <c:v>0.6955217719078064</c:v>
                </c:pt>
                <c:pt idx="255">
                  <c:v>0.63531678915023804</c:v>
                </c:pt>
                <c:pt idx="256">
                  <c:v>0.296812504529953</c:v>
                </c:pt>
                <c:pt idx="257">
                  <c:v>0.4298427402973175</c:v>
                </c:pt>
                <c:pt idx="258">
                  <c:v>0.19157832860946655</c:v>
                </c:pt>
                <c:pt idx="259">
                  <c:v>1.8617216497659683E-2</c:v>
                </c:pt>
                <c:pt idx="260">
                  <c:v>-0.26546132564544678</c:v>
                </c:pt>
                <c:pt idx="261">
                  <c:v>-0.250174880027771</c:v>
                </c:pt>
                <c:pt idx="262">
                  <c:v>-0.21161225438117981</c:v>
                </c:pt>
                <c:pt idx="263">
                  <c:v>-0.20960234105587006</c:v>
                </c:pt>
                <c:pt idx="264">
                  <c:v>7.6642967760562897E-2</c:v>
                </c:pt>
                <c:pt idx="265">
                  <c:v>0.13372209668159485</c:v>
                </c:pt>
                <c:pt idx="266">
                  <c:v>0.20020240545272827</c:v>
                </c:pt>
                <c:pt idx="267">
                  <c:v>0.1493869423866272</c:v>
                </c:pt>
                <c:pt idx="268">
                  <c:v>-5.1940787583589554E-2</c:v>
                </c:pt>
                <c:pt idx="269">
                  <c:v>-0.11646164208650589</c:v>
                </c:pt>
                <c:pt idx="270">
                  <c:v>-0.16445401310920715</c:v>
                </c:pt>
                <c:pt idx="271">
                  <c:v>-0.22709797322750092</c:v>
                </c:pt>
                <c:pt idx="272">
                  <c:v>-0.13879092037677765</c:v>
                </c:pt>
                <c:pt idx="273">
                  <c:v>-1.4173543080687523E-2</c:v>
                </c:pt>
                <c:pt idx="274">
                  <c:v>-3.1102538108825684E-2</c:v>
                </c:pt>
                <c:pt idx="275">
                  <c:v>7.6692136935889721E-3</c:v>
                </c:pt>
                <c:pt idx="276">
                  <c:v>1.9934965297579765E-2</c:v>
                </c:pt>
                <c:pt idx="277">
                  <c:v>6.5686993300914764E-2</c:v>
                </c:pt>
                <c:pt idx="278">
                  <c:v>-1.7008143186103553E-4</c:v>
                </c:pt>
                <c:pt idx="279">
                  <c:v>9.0945914387702942E-2</c:v>
                </c:pt>
                <c:pt idx="280">
                  <c:v>-1.6552409157156944E-2</c:v>
                </c:pt>
                <c:pt idx="281">
                  <c:v>9.4480834901332855E-2</c:v>
                </c:pt>
                <c:pt idx="282">
                  <c:v>4.86602783203125E-2</c:v>
                </c:pt>
                <c:pt idx="283">
                  <c:v>3.9713028818368912E-2</c:v>
                </c:pt>
                <c:pt idx="284">
                  <c:v>2.5672150775790215E-2</c:v>
                </c:pt>
                <c:pt idx="285">
                  <c:v>-1.8953152000904083E-2</c:v>
                </c:pt>
                <c:pt idx="286">
                  <c:v>-7.9950302839279175E-2</c:v>
                </c:pt>
                <c:pt idx="287">
                  <c:v>-9.3070432543754578E-2</c:v>
                </c:pt>
                <c:pt idx="288">
                  <c:v>7.7125169336795807E-2</c:v>
                </c:pt>
                <c:pt idx="289">
                  <c:v>0.27620640397071838</c:v>
                </c:pt>
                <c:pt idx="290">
                  <c:v>0.33711439371109009</c:v>
                </c:pt>
                <c:pt idx="291">
                  <c:v>8.4450423717498779E-2</c:v>
                </c:pt>
                <c:pt idx="292">
                  <c:v>-6.5093263983726501E-2</c:v>
                </c:pt>
                <c:pt idx="293">
                  <c:v>-0.18807341158390045</c:v>
                </c:pt>
                <c:pt idx="294">
                  <c:v>-0.30463066697120667</c:v>
                </c:pt>
                <c:pt idx="295">
                  <c:v>-0.21709905564785004</c:v>
                </c:pt>
                <c:pt idx="296">
                  <c:v>-6.9896630942821503E-2</c:v>
                </c:pt>
                <c:pt idx="297">
                  <c:v>0.35144531726837158</c:v>
                </c:pt>
                <c:pt idx="298">
                  <c:v>0.15801480412483215</c:v>
                </c:pt>
                <c:pt idx="299">
                  <c:v>-0.16069421172142029</c:v>
                </c:pt>
                <c:pt idx="300">
                  <c:v>-0.252093106508255</c:v>
                </c:pt>
                <c:pt idx="301">
                  <c:v>-0.15802602469921112</c:v>
                </c:pt>
                <c:pt idx="302">
                  <c:v>-1.8632590770721436E-2</c:v>
                </c:pt>
                <c:pt idx="303">
                  <c:v>0.14988242089748383</c:v>
                </c:pt>
                <c:pt idx="304">
                  <c:v>0.32485294342041016</c:v>
                </c:pt>
                <c:pt idx="305">
                  <c:v>0.50797086954116821</c:v>
                </c:pt>
                <c:pt idx="306">
                  <c:v>0.17414042353630066</c:v>
                </c:pt>
                <c:pt idx="307">
                  <c:v>-0.11764755845069885</c:v>
                </c:pt>
                <c:pt idx="308">
                  <c:v>-0.39463672041893005</c:v>
                </c:pt>
                <c:pt idx="309">
                  <c:v>-0.30886921286582947</c:v>
                </c:pt>
                <c:pt idx="310">
                  <c:v>-0.18218183517456055</c:v>
                </c:pt>
                <c:pt idx="311">
                  <c:v>-3.6289216950535774E-3</c:v>
                </c:pt>
                <c:pt idx="312">
                  <c:v>-0.371204674243927</c:v>
                </c:pt>
                <c:pt idx="313">
                  <c:v>-0.1589653491973877</c:v>
                </c:pt>
                <c:pt idx="314">
                  <c:v>-4.3395131826400757E-2</c:v>
                </c:pt>
                <c:pt idx="315">
                  <c:v>-7.620665431022644E-2</c:v>
                </c:pt>
                <c:pt idx="316">
                  <c:v>8.4286317229270935E-2</c:v>
                </c:pt>
                <c:pt idx="317">
                  <c:v>0.19075997173786163</c:v>
                </c:pt>
                <c:pt idx="318">
                  <c:v>0.18459099531173706</c:v>
                </c:pt>
                <c:pt idx="319">
                  <c:v>0.19013451039791107</c:v>
                </c:pt>
                <c:pt idx="320">
                  <c:v>-0.29408088326454163</c:v>
                </c:pt>
                <c:pt idx="321">
                  <c:v>-7.674870640039444E-2</c:v>
                </c:pt>
                <c:pt idx="322">
                  <c:v>0.21272736787796021</c:v>
                </c:pt>
                <c:pt idx="323">
                  <c:v>0.18008655309677124</c:v>
                </c:pt>
                <c:pt idx="324">
                  <c:v>0.1323247104883194</c:v>
                </c:pt>
                <c:pt idx="325">
                  <c:v>0.14496754109859467</c:v>
                </c:pt>
                <c:pt idx="326">
                  <c:v>-1.0812908411026001E-2</c:v>
                </c:pt>
                <c:pt idx="327">
                  <c:v>-0.28846368193626404</c:v>
                </c:pt>
                <c:pt idx="328">
                  <c:v>0.39348754286766052</c:v>
                </c:pt>
                <c:pt idx="329">
                  <c:v>0.28629985451698303</c:v>
                </c:pt>
                <c:pt idx="330">
                  <c:v>6.7515671253204346E-2</c:v>
                </c:pt>
                <c:pt idx="331">
                  <c:v>-0.52289658784866333</c:v>
                </c:pt>
                <c:pt idx="332">
                  <c:v>-0.62094354629516602</c:v>
                </c:pt>
                <c:pt idx="333">
                  <c:v>-9.3994148075580597E-2</c:v>
                </c:pt>
                <c:pt idx="334">
                  <c:v>0.16925176978111267</c:v>
                </c:pt>
                <c:pt idx="335">
                  <c:v>0.32127943634986877</c:v>
                </c:pt>
                <c:pt idx="336">
                  <c:v>-0.25890955328941345</c:v>
                </c:pt>
                <c:pt idx="337">
                  <c:v>-0.48176458477973938</c:v>
                </c:pt>
                <c:pt idx="338">
                  <c:v>-0.61716759204864502</c:v>
                </c:pt>
                <c:pt idx="339">
                  <c:v>-3.5046335309743881E-2</c:v>
                </c:pt>
                <c:pt idx="340">
                  <c:v>0.41620475053787231</c:v>
                </c:pt>
                <c:pt idx="341">
                  <c:v>0.51514774560928345</c:v>
                </c:pt>
                <c:pt idx="342">
                  <c:v>0.34540596604347229</c:v>
                </c:pt>
                <c:pt idx="343">
                  <c:v>0.11612959206104279</c:v>
                </c:pt>
                <c:pt idx="344">
                  <c:v>0.13943324983119965</c:v>
                </c:pt>
                <c:pt idx="345">
                  <c:v>0.23613134026527405</c:v>
                </c:pt>
                <c:pt idx="346">
                  <c:v>0.19737893342971802</c:v>
                </c:pt>
                <c:pt idx="347">
                  <c:v>4.3537560850381851E-2</c:v>
                </c:pt>
                <c:pt idx="348">
                  <c:v>-0.23708818852901459</c:v>
                </c:pt>
                <c:pt idx="349">
                  <c:v>-0.22116567194461823</c:v>
                </c:pt>
                <c:pt idx="350">
                  <c:v>-6.5796524286270142E-2</c:v>
                </c:pt>
                <c:pt idx="351">
                  <c:v>-9.243069589138031E-2</c:v>
                </c:pt>
                <c:pt idx="352">
                  <c:v>6.2159068882465363E-2</c:v>
                </c:pt>
                <c:pt idx="353">
                  <c:v>0.23842078447341919</c:v>
                </c:pt>
                <c:pt idx="354">
                  <c:v>0.19387790560722351</c:v>
                </c:pt>
                <c:pt idx="355">
                  <c:v>0.13972935080528259</c:v>
                </c:pt>
                <c:pt idx="356">
                  <c:v>-1.4792518690228462E-2</c:v>
                </c:pt>
                <c:pt idx="357">
                  <c:v>-0.16582833230495453</c:v>
                </c:pt>
                <c:pt idx="358">
                  <c:v>-0.23987030982971191</c:v>
                </c:pt>
                <c:pt idx="359">
                  <c:v>-0.2136959582567215</c:v>
                </c:pt>
                <c:pt idx="360">
                  <c:v>-0.63092637062072754</c:v>
                </c:pt>
                <c:pt idx="361">
                  <c:v>-0.58461952209472656</c:v>
                </c:pt>
                <c:pt idx="362">
                  <c:v>8.9960753917694092E-2</c:v>
                </c:pt>
                <c:pt idx="363">
                  <c:v>0.27222901582717896</c:v>
                </c:pt>
                <c:pt idx="364">
                  <c:v>0.22846068441867828</c:v>
                </c:pt>
                <c:pt idx="365">
                  <c:v>0.22561059892177582</c:v>
                </c:pt>
                <c:pt idx="366">
                  <c:v>0.21838352084159851</c:v>
                </c:pt>
                <c:pt idx="367">
                  <c:v>0.18090130388736725</c:v>
                </c:pt>
                <c:pt idx="368">
                  <c:v>0.23840413987636566</c:v>
                </c:pt>
                <c:pt idx="369">
                  <c:v>2.4332189932465553E-2</c:v>
                </c:pt>
                <c:pt idx="370">
                  <c:v>-0.33392661809921265</c:v>
                </c:pt>
                <c:pt idx="371">
                  <c:v>7.2986516170203686E-3</c:v>
                </c:pt>
                <c:pt idx="372">
                  <c:v>9.9721446633338928E-2</c:v>
                </c:pt>
                <c:pt idx="373">
                  <c:v>3.7960045039653778E-2</c:v>
                </c:pt>
                <c:pt idx="374">
                  <c:v>-2.9274851083755493E-2</c:v>
                </c:pt>
                <c:pt idx="375">
                  <c:v>-4.4514995068311691E-2</c:v>
                </c:pt>
                <c:pt idx="376">
                  <c:v>0.52148813009262085</c:v>
                </c:pt>
                <c:pt idx="377">
                  <c:v>0.54989928007125854</c:v>
                </c:pt>
                <c:pt idx="378">
                  <c:v>7.5052618980407715E-2</c:v>
                </c:pt>
                <c:pt idx="379">
                  <c:v>-4.266786202788353E-2</c:v>
                </c:pt>
                <c:pt idx="380">
                  <c:v>-0.3177608847618103</c:v>
                </c:pt>
                <c:pt idx="381">
                  <c:v>-0.33250230550765991</c:v>
                </c:pt>
                <c:pt idx="382">
                  <c:v>-0.22442445158958435</c:v>
                </c:pt>
                <c:pt idx="383">
                  <c:v>-0.22908453643321991</c:v>
                </c:pt>
                <c:pt idx="384">
                  <c:v>9.3589611351490021E-2</c:v>
                </c:pt>
                <c:pt idx="385">
                  <c:v>-3.1076723244041204E-3</c:v>
                </c:pt>
                <c:pt idx="386">
                  <c:v>0.10431411862373352</c:v>
                </c:pt>
                <c:pt idx="387">
                  <c:v>3.9998922497034073E-2</c:v>
                </c:pt>
                <c:pt idx="388">
                  <c:v>-0.15356971323490143</c:v>
                </c:pt>
                <c:pt idx="389">
                  <c:v>-7.2070159018039703E-2</c:v>
                </c:pt>
                <c:pt idx="390">
                  <c:v>-2.0528972148895264E-2</c:v>
                </c:pt>
                <c:pt idx="391">
                  <c:v>1.137386541813612E-2</c:v>
                </c:pt>
                <c:pt idx="392">
                  <c:v>-1.4971847534179688</c:v>
                </c:pt>
                <c:pt idx="393">
                  <c:v>-1.0720381736755371</c:v>
                </c:pt>
                <c:pt idx="394">
                  <c:v>-0.3227999210357666</c:v>
                </c:pt>
                <c:pt idx="395">
                  <c:v>0.27443566918373108</c:v>
                </c:pt>
                <c:pt idx="396">
                  <c:v>0.84126847982406616</c:v>
                </c:pt>
                <c:pt idx="397">
                  <c:v>0.84249919652938843</c:v>
                </c:pt>
                <c:pt idx="398">
                  <c:v>0.67844659090042114</c:v>
                </c:pt>
                <c:pt idx="399">
                  <c:v>0.25537285208702087</c:v>
                </c:pt>
                <c:pt idx="400">
                  <c:v>0.14717762172222137</c:v>
                </c:pt>
                <c:pt idx="401">
                  <c:v>0.4459974467754364</c:v>
                </c:pt>
                <c:pt idx="402">
                  <c:v>0.82095086574554443</c:v>
                </c:pt>
                <c:pt idx="403">
                  <c:v>0.10931277275085449</c:v>
                </c:pt>
                <c:pt idx="404">
                  <c:v>-0.26857393980026245</c:v>
                </c:pt>
                <c:pt idx="405">
                  <c:v>-0.48683637380599976</c:v>
                </c:pt>
                <c:pt idx="406">
                  <c:v>-0.39030298590660095</c:v>
                </c:pt>
                <c:pt idx="407">
                  <c:v>-0.37772539258003235</c:v>
                </c:pt>
                <c:pt idx="408">
                  <c:v>0.17936141788959503</c:v>
                </c:pt>
                <c:pt idx="409">
                  <c:v>0.15471804141998291</c:v>
                </c:pt>
                <c:pt idx="410">
                  <c:v>0.1538555920124054</c:v>
                </c:pt>
                <c:pt idx="411">
                  <c:v>0.14724388718605042</c:v>
                </c:pt>
                <c:pt idx="412">
                  <c:v>4.5084219425916672E-2</c:v>
                </c:pt>
                <c:pt idx="413">
                  <c:v>-0.15889386832714081</c:v>
                </c:pt>
                <c:pt idx="414">
                  <c:v>-0.26469844579696655</c:v>
                </c:pt>
                <c:pt idx="415">
                  <c:v>-0.25667083263397217</c:v>
                </c:pt>
                <c:pt idx="416">
                  <c:v>0.15290568768978119</c:v>
                </c:pt>
                <c:pt idx="417">
                  <c:v>0.21016648411750793</c:v>
                </c:pt>
                <c:pt idx="418">
                  <c:v>0.16852825880050659</c:v>
                </c:pt>
                <c:pt idx="419">
                  <c:v>4.7645870596170425E-2</c:v>
                </c:pt>
                <c:pt idx="420">
                  <c:v>3.615940734744072E-2</c:v>
                </c:pt>
                <c:pt idx="421">
                  <c:v>-0.12347472459077835</c:v>
                </c:pt>
                <c:pt idx="422">
                  <c:v>-0.22277095913887024</c:v>
                </c:pt>
                <c:pt idx="423">
                  <c:v>-0.26916000247001648</c:v>
                </c:pt>
              </c:numCache>
            </c:numRef>
          </c:xVal>
          <c:yVal>
            <c:numRef>
              <c:f>Sheet1!$F$2:$F$569</c:f>
              <c:numCache>
                <c:formatCode>0.00</c:formatCode>
                <c:ptCount val="424"/>
                <c:pt idx="0">
                  <c:v>2.3888299241662025E-2</c:v>
                </c:pt>
                <c:pt idx="1">
                  <c:v>3.4271381795406342E-2</c:v>
                </c:pt>
                <c:pt idx="2">
                  <c:v>2.1963572129607201E-2</c:v>
                </c:pt>
                <c:pt idx="3">
                  <c:v>3.7645348347723484E-3</c:v>
                </c:pt>
                <c:pt idx="4">
                  <c:v>-1.9319521263241768E-2</c:v>
                </c:pt>
                <c:pt idx="5">
                  <c:v>-3.3299561589956284E-2</c:v>
                </c:pt>
                <c:pt idx="6">
                  <c:v>-2.3400183767080307E-2</c:v>
                </c:pt>
                <c:pt idx="7">
                  <c:v>-7.8685218468308449E-3</c:v>
                </c:pt>
                <c:pt idx="8">
                  <c:v>-2.8542211279273033E-2</c:v>
                </c:pt>
                <c:pt idx="9">
                  <c:v>-1.2457110919058323E-2</c:v>
                </c:pt>
                <c:pt idx="10">
                  <c:v>3.0270575080066919E-3</c:v>
                </c:pt>
                <c:pt idx="11">
                  <c:v>3.3214184804819524E-4</c:v>
                </c:pt>
                <c:pt idx="12">
                  <c:v>1.1819731444120407E-3</c:v>
                </c:pt>
                <c:pt idx="13">
                  <c:v>5.9776352718472481E-3</c:v>
                </c:pt>
                <c:pt idx="14">
                  <c:v>1.3710503466427326E-2</c:v>
                </c:pt>
                <c:pt idx="15">
                  <c:v>1.6770010814070702E-2</c:v>
                </c:pt>
                <c:pt idx="16">
                  <c:v>-8.503635972738266E-2</c:v>
                </c:pt>
                <c:pt idx="17">
                  <c:v>-7.079971581697464E-2</c:v>
                </c:pt>
                <c:pt idx="18">
                  <c:v>-4.6690039336681366E-2</c:v>
                </c:pt>
                <c:pt idx="19">
                  <c:v>-1.4085416682064533E-2</c:v>
                </c:pt>
                <c:pt idx="20">
                  <c:v>2.9709799215197563E-2</c:v>
                </c:pt>
                <c:pt idx="21">
                  <c:v>5.6193206459283829E-2</c:v>
                </c:pt>
                <c:pt idx="22">
                  <c:v>6.381545215845108E-2</c:v>
                </c:pt>
                <c:pt idx="23">
                  <c:v>6.68930783867836E-2</c:v>
                </c:pt>
                <c:pt idx="24">
                  <c:v>-1.2179574929177761E-2</c:v>
                </c:pt>
                <c:pt idx="25">
                  <c:v>2.4669086560606956E-3</c:v>
                </c:pt>
                <c:pt idx="26">
                  <c:v>3.0306039843708277E-3</c:v>
                </c:pt>
                <c:pt idx="27">
                  <c:v>-3.7996820174157619E-3</c:v>
                </c:pt>
                <c:pt idx="28">
                  <c:v>-1.259269006550312E-2</c:v>
                </c:pt>
                <c:pt idx="29">
                  <c:v>-5.7385219261050224E-3</c:v>
                </c:pt>
                <c:pt idx="30">
                  <c:v>1.2194608338177204E-2</c:v>
                </c:pt>
                <c:pt idx="31">
                  <c:v>1.661834679543972E-2</c:v>
                </c:pt>
                <c:pt idx="32">
                  <c:v>-4.0112309157848358E-2</c:v>
                </c:pt>
                <c:pt idx="33">
                  <c:v>-3.6711074411869049E-2</c:v>
                </c:pt>
                <c:pt idx="34">
                  <c:v>-2.9767775908112526E-2</c:v>
                </c:pt>
                <c:pt idx="35">
                  <c:v>-1.7775153741240501E-2</c:v>
                </c:pt>
                <c:pt idx="36">
                  <c:v>-4.1043628007173538E-3</c:v>
                </c:pt>
                <c:pt idx="37">
                  <c:v>1.5016202814877033E-2</c:v>
                </c:pt>
                <c:pt idx="38">
                  <c:v>4.3205145746469498E-2</c:v>
                </c:pt>
                <c:pt idx="39">
                  <c:v>7.0249326527118683E-2</c:v>
                </c:pt>
                <c:pt idx="40">
                  <c:v>5.7191051542758942E-2</c:v>
                </c:pt>
                <c:pt idx="41">
                  <c:v>7.6113097369670868E-2</c:v>
                </c:pt>
                <c:pt idx="42">
                  <c:v>8.1791587173938751E-2</c:v>
                </c:pt>
                <c:pt idx="43">
                  <c:v>5.5098887532949448E-2</c:v>
                </c:pt>
                <c:pt idx="44">
                  <c:v>1.1421186849474907E-2</c:v>
                </c:pt>
                <c:pt idx="45">
                  <c:v>-5.511036142706871E-2</c:v>
                </c:pt>
                <c:pt idx="46">
                  <c:v>-9.8102949559688568E-2</c:v>
                </c:pt>
                <c:pt idx="47">
                  <c:v>-0.12840250134468079</c:v>
                </c:pt>
                <c:pt idx="48">
                  <c:v>2.483157254755497E-2</c:v>
                </c:pt>
                <c:pt idx="49">
                  <c:v>1.3592950068414211E-2</c:v>
                </c:pt>
                <c:pt idx="50">
                  <c:v>5.1611126400530338E-3</c:v>
                </c:pt>
                <c:pt idx="51">
                  <c:v>-1.7833759775385261E-3</c:v>
                </c:pt>
                <c:pt idx="52">
                  <c:v>-4.524843767285347E-3</c:v>
                </c:pt>
                <c:pt idx="53">
                  <c:v>-6.0549033805727959E-3</c:v>
                </c:pt>
                <c:pt idx="54">
                  <c:v>-1.2685562483966351E-2</c:v>
                </c:pt>
                <c:pt idx="55">
                  <c:v>-1.8536949530243874E-2</c:v>
                </c:pt>
                <c:pt idx="56">
                  <c:v>3.1116395257413387E-3</c:v>
                </c:pt>
                <c:pt idx="57">
                  <c:v>1.2566959485411644E-3</c:v>
                </c:pt>
                <c:pt idx="58">
                  <c:v>-3.442109446041286E-4</c:v>
                </c:pt>
                <c:pt idx="59">
                  <c:v>-4.045968409627676E-3</c:v>
                </c:pt>
                <c:pt idx="60">
                  <c:v>-2.8160978108644485E-3</c:v>
                </c:pt>
                <c:pt idx="61">
                  <c:v>-2.4343880795640871E-5</c:v>
                </c:pt>
                <c:pt idx="62">
                  <c:v>3.638015768956393E-4</c:v>
                </c:pt>
                <c:pt idx="63">
                  <c:v>2.4984839837998152E-3</c:v>
                </c:pt>
                <c:pt idx="64">
                  <c:v>-6.081125233322382E-3</c:v>
                </c:pt>
                <c:pt idx="65">
                  <c:v>-2.027113176882267E-2</c:v>
                </c:pt>
                <c:pt idx="66">
                  <c:v>-3.1445734202861786E-2</c:v>
                </c:pt>
                <c:pt idx="67">
                  <c:v>-2.7035778388381004E-2</c:v>
                </c:pt>
                <c:pt idx="68">
                  <c:v>-9.5731783658266068E-3</c:v>
                </c:pt>
                <c:pt idx="69">
                  <c:v>7.2840796783566475E-3</c:v>
                </c:pt>
                <c:pt idx="70">
                  <c:v>2.999630942940712E-2</c:v>
                </c:pt>
                <c:pt idx="71">
                  <c:v>5.7126559317111969E-2</c:v>
                </c:pt>
                <c:pt idx="72">
                  <c:v>3.9731569588184357E-2</c:v>
                </c:pt>
                <c:pt idx="73">
                  <c:v>3.5008929669857025E-2</c:v>
                </c:pt>
                <c:pt idx="74">
                  <c:v>2.499089203774929E-2</c:v>
                </c:pt>
                <c:pt idx="75">
                  <c:v>-1.2611419151653536E-5</c:v>
                </c:pt>
                <c:pt idx="76">
                  <c:v>-1.9237147644162178E-2</c:v>
                </c:pt>
                <c:pt idx="77">
                  <c:v>-1.9219394773244858E-2</c:v>
                </c:pt>
                <c:pt idx="78">
                  <c:v>-2.8970714658498764E-2</c:v>
                </c:pt>
                <c:pt idx="79">
                  <c:v>-3.2291524112224579E-2</c:v>
                </c:pt>
                <c:pt idx="80">
                  <c:v>-5.8538787066936493E-2</c:v>
                </c:pt>
                <c:pt idx="81">
                  <c:v>-4.5164741575717926E-2</c:v>
                </c:pt>
                <c:pt idx="82">
                  <c:v>-1.8838489428162575E-2</c:v>
                </c:pt>
                <c:pt idx="83">
                  <c:v>-3.651296254247427E-3</c:v>
                </c:pt>
                <c:pt idx="84">
                  <c:v>9.3931686133146286E-3</c:v>
                </c:pt>
                <c:pt idx="85">
                  <c:v>2.2765938192605972E-2</c:v>
                </c:pt>
                <c:pt idx="86">
                  <c:v>4.0121857076883316E-2</c:v>
                </c:pt>
                <c:pt idx="87">
                  <c:v>5.3912349045276642E-2</c:v>
                </c:pt>
                <c:pt idx="88">
                  <c:v>-4.4891111552715302E-2</c:v>
                </c:pt>
                <c:pt idx="89">
                  <c:v>-3.098706342279911E-2</c:v>
                </c:pt>
                <c:pt idx="90">
                  <c:v>-7.8930500894784927E-3</c:v>
                </c:pt>
                <c:pt idx="91">
                  <c:v>-3.7496439181268215E-3</c:v>
                </c:pt>
                <c:pt idx="92">
                  <c:v>4.5705568045377731E-3</c:v>
                </c:pt>
                <c:pt idx="93">
                  <c:v>1.6671840101480484E-2</c:v>
                </c:pt>
                <c:pt idx="94">
                  <c:v>3.0934754759073257E-2</c:v>
                </c:pt>
                <c:pt idx="95">
                  <c:v>3.53437140583992E-2</c:v>
                </c:pt>
                <c:pt idx="96">
                  <c:v>-4.0287815034389496E-2</c:v>
                </c:pt>
                <c:pt idx="97">
                  <c:v>-1.2733587063848972E-2</c:v>
                </c:pt>
                <c:pt idx="98">
                  <c:v>1.2721246108412743E-2</c:v>
                </c:pt>
                <c:pt idx="99">
                  <c:v>2.3414963856339455E-2</c:v>
                </c:pt>
                <c:pt idx="100">
                  <c:v>8.8441204279661179E-3</c:v>
                </c:pt>
                <c:pt idx="101">
                  <c:v>2.7945982292294502E-3</c:v>
                </c:pt>
                <c:pt idx="102">
                  <c:v>8.636091835796833E-3</c:v>
                </c:pt>
                <c:pt idx="103">
                  <c:v>-3.3896204549819231E-3</c:v>
                </c:pt>
                <c:pt idx="104">
                  <c:v>-6.5188787877559662E-2</c:v>
                </c:pt>
                <c:pt idx="105">
                  <c:v>-5.3575702011585236E-2</c:v>
                </c:pt>
                <c:pt idx="106">
                  <c:v>-2.2457951679825783E-2</c:v>
                </c:pt>
                <c:pt idx="107">
                  <c:v>7.5054713524878025E-3</c:v>
                </c:pt>
                <c:pt idx="108">
                  <c:v>2.2004289552569389E-2</c:v>
                </c:pt>
                <c:pt idx="109">
                  <c:v>2.7174267917871475E-2</c:v>
                </c:pt>
                <c:pt idx="110">
                  <c:v>3.9757762104272842E-2</c:v>
                </c:pt>
                <c:pt idx="111">
                  <c:v>4.4780649244785309E-2</c:v>
                </c:pt>
                <c:pt idx="112">
                  <c:v>6.5049894154071808E-2</c:v>
                </c:pt>
                <c:pt idx="113">
                  <c:v>6.4961157739162445E-2</c:v>
                </c:pt>
                <c:pt idx="114">
                  <c:v>5.5223263800144196E-2</c:v>
                </c:pt>
                <c:pt idx="115">
                  <c:v>3.2391276210546494E-2</c:v>
                </c:pt>
                <c:pt idx="116">
                  <c:v>1.9517671316862106E-3</c:v>
                </c:pt>
                <c:pt idx="117">
                  <c:v>-4.5502956956624985E-2</c:v>
                </c:pt>
                <c:pt idx="118">
                  <c:v>-7.8182987868785858E-2</c:v>
                </c:pt>
                <c:pt idx="119">
                  <c:v>-9.5891408622264862E-2</c:v>
                </c:pt>
                <c:pt idx="120">
                  <c:v>-1.8667192198336124E-3</c:v>
                </c:pt>
                <c:pt idx="121">
                  <c:v>-3.0545661225914955E-2</c:v>
                </c:pt>
                <c:pt idx="122">
                  <c:v>-6.3529126346111298E-2</c:v>
                </c:pt>
                <c:pt idx="123">
                  <c:v>-6.3051886856555939E-2</c:v>
                </c:pt>
                <c:pt idx="124">
                  <c:v>-2.8319912031292915E-2</c:v>
                </c:pt>
                <c:pt idx="125">
                  <c:v>4.2141471058130264E-2</c:v>
                </c:pt>
                <c:pt idx="126">
                  <c:v>7.3672331869602203E-2</c:v>
                </c:pt>
                <c:pt idx="127">
                  <c:v>7.1499504148960114E-2</c:v>
                </c:pt>
                <c:pt idx="128">
                  <c:v>-4.8344992101192474E-2</c:v>
                </c:pt>
                <c:pt idx="129">
                  <c:v>-2.4443337693810463E-2</c:v>
                </c:pt>
                <c:pt idx="130">
                  <c:v>-5.7893930934369564E-3</c:v>
                </c:pt>
                <c:pt idx="131">
                  <c:v>2.0132609643042088E-3</c:v>
                </c:pt>
                <c:pt idx="132">
                  <c:v>5.6363772600889206E-3</c:v>
                </c:pt>
                <c:pt idx="133">
                  <c:v>1.1118446476757526E-2</c:v>
                </c:pt>
                <c:pt idx="134">
                  <c:v>2.0216260105371475E-2</c:v>
                </c:pt>
                <c:pt idx="135">
                  <c:v>3.9593376219272614E-2</c:v>
                </c:pt>
                <c:pt idx="136">
                  <c:v>9.7854817286133766E-3</c:v>
                </c:pt>
                <c:pt idx="137">
                  <c:v>-7.6234126463532448E-3</c:v>
                </c:pt>
                <c:pt idx="138">
                  <c:v>-1.5311622992157936E-2</c:v>
                </c:pt>
                <c:pt idx="139">
                  <c:v>-2.0087694749236107E-2</c:v>
                </c:pt>
                <c:pt idx="140">
                  <c:v>-8.796321228146553E-3</c:v>
                </c:pt>
                <c:pt idx="141">
                  <c:v>1.307940948754549E-2</c:v>
                </c:pt>
                <c:pt idx="142">
                  <c:v>1.6005281358957291E-2</c:v>
                </c:pt>
                <c:pt idx="143">
                  <c:v>1.2948877178132534E-2</c:v>
                </c:pt>
                <c:pt idx="144">
                  <c:v>1.8051603808999062E-2</c:v>
                </c:pt>
                <c:pt idx="145">
                  <c:v>1.092927809804678E-2</c:v>
                </c:pt>
                <c:pt idx="146">
                  <c:v>1.4653264079242945E-3</c:v>
                </c:pt>
                <c:pt idx="147">
                  <c:v>-1.2647693045437336E-2</c:v>
                </c:pt>
                <c:pt idx="148">
                  <c:v>-1.186557300388813E-2</c:v>
                </c:pt>
                <c:pt idx="149">
                  <c:v>2.4401294067502022E-3</c:v>
                </c:pt>
                <c:pt idx="150">
                  <c:v>-2.0035160705447197E-3</c:v>
                </c:pt>
                <c:pt idx="151">
                  <c:v>-6.3695544376969337E-3</c:v>
                </c:pt>
                <c:pt idx="152">
                  <c:v>-3.1920872628688812E-2</c:v>
                </c:pt>
                <c:pt idx="153">
                  <c:v>-2.3312652483582497E-3</c:v>
                </c:pt>
                <c:pt idx="154">
                  <c:v>-5.5688031716272235E-4</c:v>
                </c:pt>
                <c:pt idx="155">
                  <c:v>-3.9916089735925198E-3</c:v>
                </c:pt>
                <c:pt idx="156">
                  <c:v>1.5416009351611137E-2</c:v>
                </c:pt>
                <c:pt idx="157">
                  <c:v>3.2368157058954239E-2</c:v>
                </c:pt>
                <c:pt idx="158">
                  <c:v>4.4316994026303291E-3</c:v>
                </c:pt>
                <c:pt idx="159">
                  <c:v>-1.3415240682661533E-2</c:v>
                </c:pt>
                <c:pt idx="160">
                  <c:v>-1.0870895348489285E-2</c:v>
                </c:pt>
                <c:pt idx="161">
                  <c:v>-1.7173061147332191E-2</c:v>
                </c:pt>
                <c:pt idx="162">
                  <c:v>-2.7592116966843605E-2</c:v>
                </c:pt>
                <c:pt idx="163">
                  <c:v>-2.8253084048628807E-2</c:v>
                </c:pt>
                <c:pt idx="164">
                  <c:v>-7.7701974660158157E-3</c:v>
                </c:pt>
                <c:pt idx="165">
                  <c:v>1.739189401268959E-2</c:v>
                </c:pt>
                <c:pt idx="166">
                  <c:v>4.3002579361200333E-2</c:v>
                </c:pt>
                <c:pt idx="167">
                  <c:v>3.1264878809452057E-2</c:v>
                </c:pt>
                <c:pt idx="168">
                  <c:v>-5.0382227636873722E-3</c:v>
                </c:pt>
                <c:pt idx="169">
                  <c:v>-5.3415382280945778E-3</c:v>
                </c:pt>
                <c:pt idx="170">
                  <c:v>-5.7870685122907162E-3</c:v>
                </c:pt>
                <c:pt idx="171">
                  <c:v>-6.2248758040368557E-3</c:v>
                </c:pt>
                <c:pt idx="172">
                  <c:v>-3.1246434082277119E-4</c:v>
                </c:pt>
                <c:pt idx="173">
                  <c:v>3.2024132087826729E-3</c:v>
                </c:pt>
                <c:pt idx="174">
                  <c:v>6.8058716133236885E-3</c:v>
                </c:pt>
                <c:pt idx="175">
                  <c:v>1.2695885263383389E-2</c:v>
                </c:pt>
                <c:pt idx="176">
                  <c:v>1.0260322131216526E-2</c:v>
                </c:pt>
                <c:pt idx="177">
                  <c:v>6.7340647801756859E-3</c:v>
                </c:pt>
                <c:pt idx="178">
                  <c:v>1.7493253573775291E-2</c:v>
                </c:pt>
                <c:pt idx="179">
                  <c:v>2.6825601235032082E-2</c:v>
                </c:pt>
                <c:pt idx="180">
                  <c:v>1.6251368448138237E-2</c:v>
                </c:pt>
                <c:pt idx="181">
                  <c:v>-6.2926663085818291E-3</c:v>
                </c:pt>
                <c:pt idx="182">
                  <c:v>-2.6433315128087997E-2</c:v>
                </c:pt>
                <c:pt idx="183">
                  <c:v>-4.483862966299057E-2</c:v>
                </c:pt>
                <c:pt idx="184">
                  <c:v>-8.4831630811095238E-3</c:v>
                </c:pt>
                <c:pt idx="185">
                  <c:v>-7.3440456762909889E-3</c:v>
                </c:pt>
                <c:pt idx="186">
                  <c:v>-8.9456681162118912E-3</c:v>
                </c:pt>
                <c:pt idx="187">
                  <c:v>-1.7054429044947028E-3</c:v>
                </c:pt>
                <c:pt idx="188">
                  <c:v>-6.2042940407991409E-3</c:v>
                </c:pt>
                <c:pt idx="189">
                  <c:v>1.7516063526272774E-3</c:v>
                </c:pt>
                <c:pt idx="190">
                  <c:v>1.523322332650423E-2</c:v>
                </c:pt>
                <c:pt idx="191">
                  <c:v>1.56977828592062E-2</c:v>
                </c:pt>
                <c:pt idx="192">
                  <c:v>-2.8517743572592735E-2</c:v>
                </c:pt>
                <c:pt idx="193">
                  <c:v>-3.9530821144580841E-2</c:v>
                </c:pt>
                <c:pt idx="194">
                  <c:v>-5.2517645061016083E-2</c:v>
                </c:pt>
                <c:pt idx="195">
                  <c:v>-3.4167591482400894E-2</c:v>
                </c:pt>
                <c:pt idx="196">
                  <c:v>5.0595235079526901E-3</c:v>
                </c:pt>
                <c:pt idx="197">
                  <c:v>5.3541336208581924E-2</c:v>
                </c:pt>
                <c:pt idx="198">
                  <c:v>6.1327610164880753E-2</c:v>
                </c:pt>
                <c:pt idx="199">
                  <c:v>3.4805335104465485E-2</c:v>
                </c:pt>
                <c:pt idx="200">
                  <c:v>-3.1295321881771088E-2</c:v>
                </c:pt>
                <c:pt idx="201">
                  <c:v>-2.6250192895531654E-2</c:v>
                </c:pt>
                <c:pt idx="202">
                  <c:v>-2.1396154537796974E-2</c:v>
                </c:pt>
                <c:pt idx="203">
                  <c:v>-1.3783995993435383E-2</c:v>
                </c:pt>
                <c:pt idx="204">
                  <c:v>-1.3627009466290474E-2</c:v>
                </c:pt>
                <c:pt idx="205">
                  <c:v>1.9580470398068428E-3</c:v>
                </c:pt>
                <c:pt idx="206">
                  <c:v>4.1303310543298721E-2</c:v>
                </c:pt>
                <c:pt idx="207">
                  <c:v>6.309131532907486E-2</c:v>
                </c:pt>
                <c:pt idx="208">
                  <c:v>1.3230958022177219E-2</c:v>
                </c:pt>
                <c:pt idx="209">
                  <c:v>1.2593857012689114E-2</c:v>
                </c:pt>
                <c:pt idx="210">
                  <c:v>1.4031117781996727E-2</c:v>
                </c:pt>
                <c:pt idx="211">
                  <c:v>6.199235562235117E-3</c:v>
                </c:pt>
                <c:pt idx="212">
                  <c:v>-5.9609580785036087E-3</c:v>
                </c:pt>
                <c:pt idx="213">
                  <c:v>-1.0748530738055706E-2</c:v>
                </c:pt>
                <c:pt idx="214">
                  <c:v>-1.1829043738543987E-2</c:v>
                </c:pt>
                <c:pt idx="215">
                  <c:v>-1.7516637220978737E-2</c:v>
                </c:pt>
                <c:pt idx="216">
                  <c:v>-5.3957395255565643E-2</c:v>
                </c:pt>
                <c:pt idx="217">
                  <c:v>-3.7662006914615631E-2</c:v>
                </c:pt>
                <c:pt idx="218">
                  <c:v>-2.5803470984101295E-2</c:v>
                </c:pt>
                <c:pt idx="219">
                  <c:v>-2.685234509408474E-2</c:v>
                </c:pt>
                <c:pt idx="220">
                  <c:v>-9.8715908825397491E-4</c:v>
                </c:pt>
                <c:pt idx="221">
                  <c:v>3.52785624563694E-2</c:v>
                </c:pt>
                <c:pt idx="222">
                  <c:v>4.932427778840065E-2</c:v>
                </c:pt>
                <c:pt idx="223">
                  <c:v>6.0659535229206085E-2</c:v>
                </c:pt>
                <c:pt idx="224">
                  <c:v>-2.9395928606390953E-2</c:v>
                </c:pt>
                <c:pt idx="225">
                  <c:v>2.1155829017516226E-4</c:v>
                </c:pt>
                <c:pt idx="226">
                  <c:v>2.0076392684131861E-3</c:v>
                </c:pt>
                <c:pt idx="227">
                  <c:v>-1.2534056790173054E-2</c:v>
                </c:pt>
                <c:pt idx="228">
                  <c:v>-9.4373691827058792E-3</c:v>
                </c:pt>
                <c:pt idx="229">
                  <c:v>3.8519548252224922E-3</c:v>
                </c:pt>
                <c:pt idx="230">
                  <c:v>5.5211232975125313E-3</c:v>
                </c:pt>
                <c:pt idx="231">
                  <c:v>3.9775080978870392E-2</c:v>
                </c:pt>
                <c:pt idx="232">
                  <c:v>3.636787086725235E-2</c:v>
                </c:pt>
                <c:pt idx="233">
                  <c:v>2.073233388364315E-2</c:v>
                </c:pt>
                <c:pt idx="234">
                  <c:v>5.8472217060625553E-3</c:v>
                </c:pt>
                <c:pt idx="235">
                  <c:v>-4.0381602011620998E-3</c:v>
                </c:pt>
                <c:pt idx="236">
                  <c:v>-8.4445048123598099E-3</c:v>
                </c:pt>
                <c:pt idx="237">
                  <c:v>-1.2954558245837688E-2</c:v>
                </c:pt>
                <c:pt idx="238">
                  <c:v>-1.6850318759679794E-2</c:v>
                </c:pt>
                <c:pt idx="239">
                  <c:v>-2.0659888163208961E-2</c:v>
                </c:pt>
                <c:pt idx="240">
                  <c:v>4.7358937561511993E-2</c:v>
                </c:pt>
                <c:pt idx="241">
                  <c:v>3.8337849080562592E-2</c:v>
                </c:pt>
                <c:pt idx="242">
                  <c:v>1.8686508759856224E-2</c:v>
                </c:pt>
                <c:pt idx="243">
                  <c:v>-4.3641082011163235E-3</c:v>
                </c:pt>
                <c:pt idx="244">
                  <c:v>-1.1061178520321846E-2</c:v>
                </c:pt>
                <c:pt idx="245">
                  <c:v>-1.4546985737979412E-2</c:v>
                </c:pt>
                <c:pt idx="246">
                  <c:v>-2.3452397435903549E-2</c:v>
                </c:pt>
                <c:pt idx="247">
                  <c:v>-5.0958625972270966E-2</c:v>
                </c:pt>
                <c:pt idx="248">
                  <c:v>8.0396318808197975E-3</c:v>
                </c:pt>
                <c:pt idx="249">
                  <c:v>-7.816636934876442E-4</c:v>
                </c:pt>
                <c:pt idx="250">
                  <c:v>-3.1557620968669653E-3</c:v>
                </c:pt>
                <c:pt idx="251">
                  <c:v>-3.3384612761437893E-3</c:v>
                </c:pt>
                <c:pt idx="252">
                  <c:v>1.3911556452512741E-3</c:v>
                </c:pt>
                <c:pt idx="253">
                  <c:v>-1.6159070655703545E-3</c:v>
                </c:pt>
                <c:pt idx="254">
                  <c:v>-7.6332228491082788E-4</c:v>
                </c:pt>
                <c:pt idx="255">
                  <c:v>2.243283815914765E-4</c:v>
                </c:pt>
                <c:pt idx="256">
                  <c:v>5.3778357803821564E-2</c:v>
                </c:pt>
                <c:pt idx="257">
                  <c:v>3.5995624959468842E-2</c:v>
                </c:pt>
                <c:pt idx="258">
                  <c:v>1.8021797761321068E-2</c:v>
                </c:pt>
                <c:pt idx="259">
                  <c:v>6.4840406412258744E-4</c:v>
                </c:pt>
                <c:pt idx="260">
                  <c:v>-1.1952625587582588E-2</c:v>
                </c:pt>
                <c:pt idx="261">
                  <c:v>-2.346169576048851E-2</c:v>
                </c:pt>
                <c:pt idx="262">
                  <c:v>-3.3715125173330307E-2</c:v>
                </c:pt>
                <c:pt idx="263">
                  <c:v>-3.9314739406108856E-2</c:v>
                </c:pt>
                <c:pt idx="264">
                  <c:v>-3.382773429621011E-4</c:v>
                </c:pt>
                <c:pt idx="265">
                  <c:v>-2.2561082616448402E-2</c:v>
                </c:pt>
                <c:pt idx="266">
                  <c:v>-2.2958690300583839E-2</c:v>
                </c:pt>
                <c:pt idx="267">
                  <c:v>-1.1085753329098225E-2</c:v>
                </c:pt>
                <c:pt idx="268">
                  <c:v>1.9100736826658249E-3</c:v>
                </c:pt>
                <c:pt idx="269">
                  <c:v>-2.7945174952037632E-4</c:v>
                </c:pt>
                <c:pt idx="270">
                  <c:v>1.8139097839593887E-2</c:v>
                </c:pt>
                <c:pt idx="271">
                  <c:v>3.7174083292484283E-2</c:v>
                </c:pt>
                <c:pt idx="272">
                  <c:v>-4.1302017867565155E-2</c:v>
                </c:pt>
                <c:pt idx="273">
                  <c:v>-3.2296754419803619E-2</c:v>
                </c:pt>
                <c:pt idx="274">
                  <c:v>-1.3029122725129128E-2</c:v>
                </c:pt>
                <c:pt idx="275">
                  <c:v>2.7640247717499733E-2</c:v>
                </c:pt>
                <c:pt idx="276">
                  <c:v>-1.7688143998384476E-3</c:v>
                </c:pt>
                <c:pt idx="277">
                  <c:v>3.796862147282809E-4</c:v>
                </c:pt>
                <c:pt idx="278">
                  <c:v>1.5156631357967854E-2</c:v>
                </c:pt>
                <c:pt idx="279">
                  <c:v>4.5220144093036652E-2</c:v>
                </c:pt>
                <c:pt idx="280">
                  <c:v>-1.3427159748971462E-2</c:v>
                </c:pt>
                <c:pt idx="281">
                  <c:v>-8.5992300882935524E-3</c:v>
                </c:pt>
                <c:pt idx="282">
                  <c:v>-4.7300993464887142E-3</c:v>
                </c:pt>
                <c:pt idx="283">
                  <c:v>-4.4791153632104397E-3</c:v>
                </c:pt>
                <c:pt idx="284">
                  <c:v>-7.4680335819721222E-4</c:v>
                </c:pt>
                <c:pt idx="285">
                  <c:v>2.7535306289792061E-3</c:v>
                </c:pt>
                <c:pt idx="286">
                  <c:v>1.1326824314892292E-2</c:v>
                </c:pt>
                <c:pt idx="287">
                  <c:v>1.7902052029967308E-2</c:v>
                </c:pt>
                <c:pt idx="288">
                  <c:v>5.5694468319416046E-2</c:v>
                </c:pt>
                <c:pt idx="289">
                  <c:v>4.613717645406723E-2</c:v>
                </c:pt>
                <c:pt idx="290">
                  <c:v>3.1928218901157379E-2</c:v>
                </c:pt>
                <c:pt idx="291">
                  <c:v>7.0234187878668308E-3</c:v>
                </c:pt>
                <c:pt idx="292">
                  <c:v>-2.0937727764248848E-2</c:v>
                </c:pt>
                <c:pt idx="293">
                  <c:v>-3.6258157342672348E-2</c:v>
                </c:pt>
                <c:pt idx="294">
                  <c:v>-4.0411647409200668E-2</c:v>
                </c:pt>
                <c:pt idx="295">
                  <c:v>-4.3175749480724335E-2</c:v>
                </c:pt>
                <c:pt idx="296">
                  <c:v>7.6105691492557526E-2</c:v>
                </c:pt>
                <c:pt idx="297">
                  <c:v>6.5980486571788788E-2</c:v>
                </c:pt>
                <c:pt idx="298">
                  <c:v>5.2488692104816437E-2</c:v>
                </c:pt>
                <c:pt idx="299">
                  <c:v>4.5931633561849594E-2</c:v>
                </c:pt>
                <c:pt idx="300">
                  <c:v>4.2261313647031784E-3</c:v>
                </c:pt>
                <c:pt idx="301">
                  <c:v>-5.315801128745079E-2</c:v>
                </c:pt>
                <c:pt idx="302">
                  <c:v>-9.111543744802475E-2</c:v>
                </c:pt>
                <c:pt idx="303">
                  <c:v>-0.10045918077230453</c:v>
                </c:pt>
                <c:pt idx="304">
                  <c:v>2.9853442683815956E-2</c:v>
                </c:pt>
                <c:pt idx="305">
                  <c:v>2.2935202345252037E-2</c:v>
                </c:pt>
                <c:pt idx="306">
                  <c:v>9.4460304826498032E-3</c:v>
                </c:pt>
                <c:pt idx="307">
                  <c:v>-1.8732001772150397E-3</c:v>
                </c:pt>
                <c:pt idx="308">
                  <c:v>-6.1021614819765091E-3</c:v>
                </c:pt>
                <c:pt idx="309">
                  <c:v>-1.1330808512866497E-2</c:v>
                </c:pt>
                <c:pt idx="310">
                  <c:v>-1.809784397482872E-2</c:v>
                </c:pt>
                <c:pt idx="311">
                  <c:v>-2.4830663576722145E-2</c:v>
                </c:pt>
                <c:pt idx="312">
                  <c:v>-4.7046147286891937E-2</c:v>
                </c:pt>
                <c:pt idx="313">
                  <c:v>-2.7746686711907387E-2</c:v>
                </c:pt>
                <c:pt idx="314">
                  <c:v>-2.2467912640422583E-3</c:v>
                </c:pt>
                <c:pt idx="315">
                  <c:v>4.9053903669118881E-2</c:v>
                </c:pt>
                <c:pt idx="316">
                  <c:v>2.1227939054369926E-2</c:v>
                </c:pt>
                <c:pt idx="317">
                  <c:v>4.8410641029477119E-3</c:v>
                </c:pt>
                <c:pt idx="318">
                  <c:v>7.7569233253598213E-3</c:v>
                </c:pt>
                <c:pt idx="319">
                  <c:v>-5.8402055874466896E-3</c:v>
                </c:pt>
                <c:pt idx="320">
                  <c:v>2.0575353875756264E-2</c:v>
                </c:pt>
                <c:pt idx="321">
                  <c:v>1.2850305996835232E-2</c:v>
                </c:pt>
                <c:pt idx="322">
                  <c:v>5.8616162277758121E-3</c:v>
                </c:pt>
                <c:pt idx="323">
                  <c:v>2.3522623814642429E-3</c:v>
                </c:pt>
                <c:pt idx="324">
                  <c:v>-2.566920593380928E-3</c:v>
                </c:pt>
                <c:pt idx="325">
                  <c:v>-9.5806075260043144E-3</c:v>
                </c:pt>
                <c:pt idx="326">
                  <c:v>-1.2408013455569744E-2</c:v>
                </c:pt>
                <c:pt idx="327">
                  <c:v>-1.7083996906876564E-2</c:v>
                </c:pt>
                <c:pt idx="328">
                  <c:v>7.5132377445697784E-2</c:v>
                </c:pt>
                <c:pt idx="329">
                  <c:v>5.2769862115383148E-2</c:v>
                </c:pt>
                <c:pt idx="330">
                  <c:v>2.908853255212307E-2</c:v>
                </c:pt>
                <c:pt idx="331">
                  <c:v>2.8874524869024754E-3</c:v>
                </c:pt>
                <c:pt idx="332">
                  <c:v>-2.2110151126980782E-2</c:v>
                </c:pt>
                <c:pt idx="333">
                  <c:v>-3.4610088914632797E-2</c:v>
                </c:pt>
                <c:pt idx="334">
                  <c:v>-4.6345528215169907E-2</c:v>
                </c:pt>
                <c:pt idx="335">
                  <c:v>-5.6812457740306854E-2</c:v>
                </c:pt>
                <c:pt idx="336">
                  <c:v>-0.11259590834379196</c:v>
                </c:pt>
                <c:pt idx="337">
                  <c:v>-8.4162868559360504E-2</c:v>
                </c:pt>
                <c:pt idx="338">
                  <c:v>-4.804142564535141E-2</c:v>
                </c:pt>
                <c:pt idx="339">
                  <c:v>1.382912159897387E-3</c:v>
                </c:pt>
                <c:pt idx="340">
                  <c:v>4.5330952852964401E-2</c:v>
                </c:pt>
                <c:pt idx="341">
                  <c:v>4.9798551946878433E-2</c:v>
                </c:pt>
                <c:pt idx="342">
                  <c:v>6.8530865013599396E-2</c:v>
                </c:pt>
                <c:pt idx="343">
                  <c:v>7.9756923019886017E-2</c:v>
                </c:pt>
                <c:pt idx="344">
                  <c:v>1.3504314119927585E-4</c:v>
                </c:pt>
                <c:pt idx="345">
                  <c:v>-5.0801876932382584E-4</c:v>
                </c:pt>
                <c:pt idx="346">
                  <c:v>-2.1306218113750219E-3</c:v>
                </c:pt>
                <c:pt idx="347">
                  <c:v>-4.9536498408997431E-5</c:v>
                </c:pt>
                <c:pt idx="348">
                  <c:v>5.4086875170469284E-3</c:v>
                </c:pt>
                <c:pt idx="349">
                  <c:v>4.5461999252438545E-3</c:v>
                </c:pt>
                <c:pt idx="350">
                  <c:v>-2.0595923706423491E-4</c:v>
                </c:pt>
                <c:pt idx="351">
                  <c:v>-7.1957940235733986E-3</c:v>
                </c:pt>
                <c:pt idx="352">
                  <c:v>8.8277764618396759E-2</c:v>
                </c:pt>
                <c:pt idx="353">
                  <c:v>8.0649517476558685E-2</c:v>
                </c:pt>
                <c:pt idx="354">
                  <c:v>6.4856745302677155E-2</c:v>
                </c:pt>
                <c:pt idx="355">
                  <c:v>2.8640890493988991E-2</c:v>
                </c:pt>
                <c:pt idx="356">
                  <c:v>-1.1548982933163643E-2</c:v>
                </c:pt>
                <c:pt idx="357">
                  <c:v>-4.9645300954580307E-2</c:v>
                </c:pt>
                <c:pt idx="358">
                  <c:v>-8.4637276828289032E-2</c:v>
                </c:pt>
                <c:pt idx="359">
                  <c:v>-0.11659335345029831</c:v>
                </c:pt>
                <c:pt idx="360">
                  <c:v>-9.4405924901366234E-3</c:v>
                </c:pt>
                <c:pt idx="361">
                  <c:v>-8.2366252318024635E-3</c:v>
                </c:pt>
                <c:pt idx="362">
                  <c:v>-2.3416662588715553E-2</c:v>
                </c:pt>
                <c:pt idx="363">
                  <c:v>-3.2313559204339981E-2</c:v>
                </c:pt>
                <c:pt idx="364">
                  <c:v>-7.0108044892549515E-3</c:v>
                </c:pt>
                <c:pt idx="365">
                  <c:v>1.488757599145174E-2</c:v>
                </c:pt>
                <c:pt idx="366">
                  <c:v>2.7647498995065689E-2</c:v>
                </c:pt>
                <c:pt idx="367">
                  <c:v>3.7883169949054718E-2</c:v>
                </c:pt>
                <c:pt idx="368">
                  <c:v>-7.1665854193270206E-3</c:v>
                </c:pt>
                <c:pt idx="369">
                  <c:v>-6.742485798895359E-3</c:v>
                </c:pt>
                <c:pt idx="370">
                  <c:v>-5.6442557834088802E-3</c:v>
                </c:pt>
                <c:pt idx="371">
                  <c:v>-7.3270848952233791E-3</c:v>
                </c:pt>
                <c:pt idx="372">
                  <c:v>-2.8556752949953079E-3</c:v>
                </c:pt>
                <c:pt idx="373">
                  <c:v>2.7014957740902901E-3</c:v>
                </c:pt>
                <c:pt idx="374">
                  <c:v>9.970162995159626E-3</c:v>
                </c:pt>
                <c:pt idx="375">
                  <c:v>1.7064427956938744E-2</c:v>
                </c:pt>
                <c:pt idx="376">
                  <c:v>6.55389204621315E-2</c:v>
                </c:pt>
                <c:pt idx="377">
                  <c:v>4.9403421580791473E-2</c:v>
                </c:pt>
                <c:pt idx="378">
                  <c:v>3.2428808510303497E-2</c:v>
                </c:pt>
                <c:pt idx="379">
                  <c:v>1.4665598981082439E-2</c:v>
                </c:pt>
                <c:pt idx="380">
                  <c:v>-2.7603078633546829E-3</c:v>
                </c:pt>
                <c:pt idx="381">
                  <c:v>-3.059866651892662E-2</c:v>
                </c:pt>
                <c:pt idx="382">
                  <c:v>-5.5535580962896347E-2</c:v>
                </c:pt>
                <c:pt idx="383">
                  <c:v>-7.3142193257808685E-2</c:v>
                </c:pt>
                <c:pt idx="384">
                  <c:v>4.381183534860611E-2</c:v>
                </c:pt>
                <c:pt idx="385">
                  <c:v>3.0119648203253746E-2</c:v>
                </c:pt>
                <c:pt idx="386">
                  <c:v>1.7000501975417137E-2</c:v>
                </c:pt>
                <c:pt idx="387">
                  <c:v>3.7336298264563084E-3</c:v>
                </c:pt>
                <c:pt idx="388">
                  <c:v>-7.805483415722847E-3</c:v>
                </c:pt>
                <c:pt idx="389">
                  <c:v>-2.2170331329107285E-2</c:v>
                </c:pt>
                <c:pt idx="390">
                  <c:v>-3.1387593597173691E-2</c:v>
                </c:pt>
                <c:pt idx="391">
                  <c:v>-3.330221027135849E-2</c:v>
                </c:pt>
                <c:pt idx="392">
                  <c:v>3.4039415419101715E-2</c:v>
                </c:pt>
                <c:pt idx="393">
                  <c:v>1.8955579027533531E-2</c:v>
                </c:pt>
                <c:pt idx="394">
                  <c:v>-7.1073113940656185E-3</c:v>
                </c:pt>
                <c:pt idx="395">
                  <c:v>-1.1883382685482502E-2</c:v>
                </c:pt>
                <c:pt idx="396">
                  <c:v>-1.1726396158337593E-2</c:v>
                </c:pt>
                <c:pt idx="397">
                  <c:v>-1.1077071540057659E-2</c:v>
                </c:pt>
                <c:pt idx="398">
                  <c:v>-7.4736131355166435E-3</c:v>
                </c:pt>
                <c:pt idx="399">
                  <c:v>-3.7272211629897356E-3</c:v>
                </c:pt>
                <c:pt idx="400">
                  <c:v>-1.3587764464318752E-2</c:v>
                </c:pt>
                <c:pt idx="401">
                  <c:v>-1.4767890388611704E-4</c:v>
                </c:pt>
                <c:pt idx="402">
                  <c:v>3.5086371004581451E-2</c:v>
                </c:pt>
                <c:pt idx="403">
                  <c:v>6.147327646613121E-2</c:v>
                </c:pt>
                <c:pt idx="404">
                  <c:v>5.6608211249113083E-2</c:v>
                </c:pt>
                <c:pt idx="405">
                  <c:v>5.5998610332608223E-3</c:v>
                </c:pt>
                <c:pt idx="406">
                  <c:v>-7.0066563785076141E-2</c:v>
                </c:pt>
                <c:pt idx="407">
                  <c:v>-7.4965707957744598E-2</c:v>
                </c:pt>
                <c:pt idx="408">
                  <c:v>-1.0949335061013699E-2</c:v>
                </c:pt>
                <c:pt idx="409">
                  <c:v>-2.1330604329705238E-2</c:v>
                </c:pt>
                <c:pt idx="410">
                  <c:v>-2.3607188835740089E-2</c:v>
                </c:pt>
                <c:pt idx="411">
                  <c:v>-1.636696420609951E-2</c:v>
                </c:pt>
                <c:pt idx="412">
                  <c:v>-1.4221327379345894E-2</c:v>
                </c:pt>
                <c:pt idx="413">
                  <c:v>1.9644949585199356E-2</c:v>
                </c:pt>
                <c:pt idx="414">
                  <c:v>3.1542036682367325E-2</c:v>
                </c:pt>
                <c:pt idx="415">
                  <c:v>3.5288430750370026E-2</c:v>
                </c:pt>
                <c:pt idx="416">
                  <c:v>-5.5225701071321964E-3</c:v>
                </c:pt>
                <c:pt idx="417">
                  <c:v>-2.5709951296448708E-3</c:v>
                </c:pt>
                <c:pt idx="418">
                  <c:v>3.0741153750568628E-3</c:v>
                </c:pt>
                <c:pt idx="419">
                  <c:v>-1.7019560327753425E-3</c:v>
                </c:pt>
                <c:pt idx="420">
                  <c:v>-1.5449691563844681E-3</c:v>
                </c:pt>
                <c:pt idx="421">
                  <c:v>-8.9564459631219506E-4</c:v>
                </c:pt>
                <c:pt idx="422">
                  <c:v>2.7078138664364815E-3</c:v>
                </c:pt>
                <c:pt idx="423">
                  <c:v>6.4542060717940331E-3</c:v>
                </c:pt>
              </c:numCache>
            </c:numRef>
          </c:yVal>
          <c:smooth val="0"/>
          <c:extLst>
            <c:ext xmlns:c16="http://schemas.microsoft.com/office/drawing/2014/chart" uri="{C3380CC4-5D6E-409C-BE32-E72D297353CC}">
              <c16:uniqueId val="{00000001-0D49-4D3B-AE66-84D4E9A2EDEC}"/>
            </c:ext>
          </c:extLst>
        </c:ser>
        <c:dLbls>
          <c:showLegendKey val="0"/>
          <c:showVal val="0"/>
          <c:showCatName val="0"/>
          <c:showSerName val="0"/>
          <c:showPercent val="0"/>
          <c:showBubbleSize val="0"/>
        </c:dLbls>
        <c:axId val="442914304"/>
        <c:axId val="442916224"/>
      </c:scatterChart>
      <c:valAx>
        <c:axId val="442914304"/>
        <c:scaling>
          <c:orientation val="minMax"/>
          <c:max val="1"/>
          <c:min val="-1.5"/>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a:solidFill>
                      <a:sysClr val="windowText" lastClr="000000"/>
                    </a:solidFill>
                    <a:latin typeface="Times New Roman" panose="02020603050405020304" pitchFamily="18" charset="0"/>
                    <a:cs typeface="Times New Roman" panose="02020603050405020304" pitchFamily="18" charset="0"/>
                  </a:rPr>
                  <a:t>PrivateCredit</a:t>
                </a: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2916224"/>
        <c:crosses val="autoZero"/>
        <c:crossBetween val="midCat"/>
      </c:valAx>
      <c:valAx>
        <c:axId val="44291622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2914304"/>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NZ" sz="1000">
                <a:solidFill>
                  <a:sysClr val="windowText" lastClr="000000"/>
                </a:solidFill>
                <a:latin typeface="Times New Roman" panose="02020603050405020304" pitchFamily="18" charset="0"/>
                <a:cs typeface="Times New Roman" panose="02020603050405020304" pitchFamily="18" charset="0"/>
              </a:rPr>
              <a:t>LFO</a:t>
            </a:r>
          </a:p>
        </c:rich>
      </c:tx>
      <c:overlay val="0"/>
      <c:spPr>
        <a:noFill/>
        <a:ln>
          <a:noFill/>
        </a:ln>
        <a:effectLst/>
      </c:spPr>
    </c:title>
    <c:autoTitleDeleted val="0"/>
    <c:plotArea>
      <c:layout/>
      <c:scatterChart>
        <c:scatterStyle val="lineMarker"/>
        <c:varyColors val="0"/>
        <c:ser>
          <c:idx val="0"/>
          <c:order val="0"/>
          <c:tx>
            <c:strRef>
              <c:f>Sheet1!$H$1</c:f>
              <c:strCache>
                <c:ptCount val="1"/>
                <c:pt idx="0">
                  <c:v>FD2Res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Sheet1!$H$2:$H$569</c:f>
              <c:numCache>
                <c:formatCode>0.00</c:formatCode>
                <c:ptCount val="144"/>
                <c:pt idx="0">
                  <c:v>-0.17423327267169952</c:v>
                </c:pt>
                <c:pt idx="1">
                  <c:v>0.11452185362577438</c:v>
                </c:pt>
                <c:pt idx="2">
                  <c:v>0.13383954763412476</c:v>
                </c:pt>
                <c:pt idx="3">
                  <c:v>0.10209105908870697</c:v>
                </c:pt>
                <c:pt idx="4">
                  <c:v>0.11877858638763428</c:v>
                </c:pt>
                <c:pt idx="5">
                  <c:v>-0.12788091599941254</c:v>
                </c:pt>
                <c:pt idx="6">
                  <c:v>-5.1799047738313675E-2</c:v>
                </c:pt>
                <c:pt idx="7">
                  <c:v>-0.11531780660152435</c:v>
                </c:pt>
                <c:pt idx="8">
                  <c:v>-0.35428747534751892</c:v>
                </c:pt>
                <c:pt idx="9">
                  <c:v>-0.36201894283294678</c:v>
                </c:pt>
                <c:pt idx="10">
                  <c:v>-4.8608366400003433E-2</c:v>
                </c:pt>
                <c:pt idx="11">
                  <c:v>0.1065964549779892</c:v>
                </c:pt>
                <c:pt idx="12">
                  <c:v>0.1181563138961792</c:v>
                </c:pt>
                <c:pt idx="13">
                  <c:v>0.17186178267002106</c:v>
                </c:pt>
                <c:pt idx="14">
                  <c:v>0.19231630861759186</c:v>
                </c:pt>
                <c:pt idx="15">
                  <c:v>0.17598392069339752</c:v>
                </c:pt>
                <c:pt idx="16">
                  <c:v>-0.18887795507907867</c:v>
                </c:pt>
                <c:pt idx="17">
                  <c:v>-0.17550654709339142</c:v>
                </c:pt>
                <c:pt idx="18">
                  <c:v>-7.0547707378864288E-2</c:v>
                </c:pt>
                <c:pt idx="19">
                  <c:v>-3.4314703196287155E-2</c:v>
                </c:pt>
                <c:pt idx="20">
                  <c:v>3.4155908972024918E-2</c:v>
                </c:pt>
                <c:pt idx="21">
                  <c:v>9.8583057522773743E-2</c:v>
                </c:pt>
                <c:pt idx="22">
                  <c:v>0.13991589844226837</c:v>
                </c:pt>
                <c:pt idx="23">
                  <c:v>0.1965920478105545</c:v>
                </c:pt>
                <c:pt idx="24">
                  <c:v>-0.1997598260641098</c:v>
                </c:pt>
                <c:pt idx="25">
                  <c:v>-3.4748472273349762E-2</c:v>
                </c:pt>
                <c:pt idx="26">
                  <c:v>3.6625053733587265E-2</c:v>
                </c:pt>
                <c:pt idx="27">
                  <c:v>6.1309296637773514E-2</c:v>
                </c:pt>
                <c:pt idx="28">
                  <c:v>-3.5828020423650742E-2</c:v>
                </c:pt>
                <c:pt idx="29">
                  <c:v>4.7897201031446457E-2</c:v>
                </c:pt>
                <c:pt idx="30">
                  <c:v>5.1047783344984055E-2</c:v>
                </c:pt>
                <c:pt idx="31">
                  <c:v>7.3456987738609314E-2</c:v>
                </c:pt>
                <c:pt idx="32">
                  <c:v>0.49202051758766174</c:v>
                </c:pt>
                <c:pt idx="33">
                  <c:v>0.47560727596282959</c:v>
                </c:pt>
                <c:pt idx="34">
                  <c:v>-0.18717008829116821</c:v>
                </c:pt>
                <c:pt idx="35">
                  <c:v>-0.37052297592163086</c:v>
                </c:pt>
                <c:pt idx="36">
                  <c:v>-0.3404310941696167</c:v>
                </c:pt>
                <c:pt idx="37">
                  <c:v>-0.32585203647613525</c:v>
                </c:pt>
                <c:pt idx="38">
                  <c:v>-0.20715950429439545</c:v>
                </c:pt>
                <c:pt idx="39">
                  <c:v>0.46350792050361633</c:v>
                </c:pt>
                <c:pt idx="40">
                  <c:v>0.22080038487911224</c:v>
                </c:pt>
                <c:pt idx="41">
                  <c:v>0.3175625205039978</c:v>
                </c:pt>
                <c:pt idx="42">
                  <c:v>0.19911623001098633</c:v>
                </c:pt>
                <c:pt idx="43">
                  <c:v>4.8319865018129349E-2</c:v>
                </c:pt>
                <c:pt idx="44">
                  <c:v>-0.19827514886856079</c:v>
                </c:pt>
                <c:pt idx="45">
                  <c:v>-0.18037299811840057</c:v>
                </c:pt>
                <c:pt idx="46">
                  <c:v>-0.17730991542339325</c:v>
                </c:pt>
                <c:pt idx="47">
                  <c:v>-0.22984091937541962</c:v>
                </c:pt>
                <c:pt idx="48">
                  <c:v>0.15768475830554962</c:v>
                </c:pt>
                <c:pt idx="49">
                  <c:v>5.8149717748165131E-2</c:v>
                </c:pt>
                <c:pt idx="50">
                  <c:v>7.3761425912380219E-2</c:v>
                </c:pt>
                <c:pt idx="51">
                  <c:v>0.18962980806827545</c:v>
                </c:pt>
                <c:pt idx="52">
                  <c:v>6.0518655925989151E-2</c:v>
                </c:pt>
                <c:pt idx="53">
                  <c:v>-0.16713745892047882</c:v>
                </c:pt>
                <c:pt idx="54">
                  <c:v>-0.25055095553398132</c:v>
                </c:pt>
                <c:pt idx="55">
                  <c:v>-0.12205596268177032</c:v>
                </c:pt>
                <c:pt idx="56">
                  <c:v>-0.28732776641845703</c:v>
                </c:pt>
                <c:pt idx="57">
                  <c:v>-0.27402499318122864</c:v>
                </c:pt>
                <c:pt idx="58">
                  <c:v>-0.14280173182487488</c:v>
                </c:pt>
                <c:pt idx="59">
                  <c:v>-0.11339227855205536</c:v>
                </c:pt>
                <c:pt idx="60">
                  <c:v>9.4222754240036011E-2</c:v>
                </c:pt>
                <c:pt idx="61">
                  <c:v>0.2200922816991806</c:v>
                </c:pt>
                <c:pt idx="62">
                  <c:v>0.21782051026821136</c:v>
                </c:pt>
                <c:pt idx="63">
                  <c:v>0.28541123867034912</c:v>
                </c:pt>
                <c:pt idx="64">
                  <c:v>0.35239344835281372</c:v>
                </c:pt>
                <c:pt idx="65">
                  <c:v>0.47764042019844055</c:v>
                </c:pt>
                <c:pt idx="66">
                  <c:v>0.29500874876976013</c:v>
                </c:pt>
                <c:pt idx="67">
                  <c:v>0.12522591650485992</c:v>
                </c:pt>
                <c:pt idx="68">
                  <c:v>-0.1096782386302948</c:v>
                </c:pt>
                <c:pt idx="69">
                  <c:v>-0.39423128962516785</c:v>
                </c:pt>
                <c:pt idx="70">
                  <c:v>-0.34533724188804626</c:v>
                </c:pt>
                <c:pt idx="71">
                  <c:v>-0.40102177858352661</c:v>
                </c:pt>
                <c:pt idx="72">
                  <c:v>-0.14905263483524323</c:v>
                </c:pt>
                <c:pt idx="73">
                  <c:v>-0.10309679061174393</c:v>
                </c:pt>
                <c:pt idx="74">
                  <c:v>1.6185041517019272E-2</c:v>
                </c:pt>
                <c:pt idx="75">
                  <c:v>7.4640318751335144E-2</c:v>
                </c:pt>
                <c:pt idx="76">
                  <c:v>9.0539157390594482E-2</c:v>
                </c:pt>
                <c:pt idx="77">
                  <c:v>7.9925969243049622E-2</c:v>
                </c:pt>
                <c:pt idx="78">
                  <c:v>4.2861532419919968E-2</c:v>
                </c:pt>
                <c:pt idx="79">
                  <c:v>-5.2002590149641037E-2</c:v>
                </c:pt>
                <c:pt idx="80">
                  <c:v>-4.2610961943864822E-2</c:v>
                </c:pt>
                <c:pt idx="81">
                  <c:v>-4.0570862591266632E-2</c:v>
                </c:pt>
                <c:pt idx="82">
                  <c:v>-0.13753777742385864</c:v>
                </c:pt>
                <c:pt idx="83">
                  <c:v>-0.14112855494022369</c:v>
                </c:pt>
                <c:pt idx="84">
                  <c:v>-9.2316985130310059E-2</c:v>
                </c:pt>
                <c:pt idx="85">
                  <c:v>-7.3829768225550652E-3</c:v>
                </c:pt>
                <c:pt idx="86">
                  <c:v>7.8335769474506378E-2</c:v>
                </c:pt>
                <c:pt idx="87">
                  <c:v>0.38321235775947571</c:v>
                </c:pt>
                <c:pt idx="88">
                  <c:v>4.2193900793790817E-2</c:v>
                </c:pt>
                <c:pt idx="89">
                  <c:v>5.4818831384181976E-2</c:v>
                </c:pt>
                <c:pt idx="90">
                  <c:v>-1.0629866272211075E-2</c:v>
                </c:pt>
                <c:pt idx="91">
                  <c:v>1.5652971342206001E-2</c:v>
                </c:pt>
                <c:pt idx="92">
                  <c:v>-6.0997512191534042E-2</c:v>
                </c:pt>
                <c:pt idx="93">
                  <c:v>-2.9272573068737984E-2</c:v>
                </c:pt>
                <c:pt idx="94">
                  <c:v>2.5250773876905441E-2</c:v>
                </c:pt>
                <c:pt idx="95">
                  <c:v>-3.7016522139310837E-2</c:v>
                </c:pt>
                <c:pt idx="96">
                  <c:v>7.0505514740943909E-2</c:v>
                </c:pt>
                <c:pt idx="97">
                  <c:v>5.7904325425624847E-2</c:v>
                </c:pt>
                <c:pt idx="98">
                  <c:v>3.607645258307457E-2</c:v>
                </c:pt>
                <c:pt idx="99">
                  <c:v>6.9231227040290833E-2</c:v>
                </c:pt>
                <c:pt idx="100">
                  <c:v>-9.2622667551040649E-2</c:v>
                </c:pt>
                <c:pt idx="101">
                  <c:v>-0.16263236105442047</c:v>
                </c:pt>
                <c:pt idx="102">
                  <c:v>-0.14440061151981354</c:v>
                </c:pt>
                <c:pt idx="103">
                  <c:v>0.1659381240606308</c:v>
                </c:pt>
                <c:pt idx="104">
                  <c:v>-0.13241751492023468</c:v>
                </c:pt>
                <c:pt idx="105">
                  <c:v>-0.20432056486606598</c:v>
                </c:pt>
                <c:pt idx="106">
                  <c:v>-1.1179033666849136E-2</c:v>
                </c:pt>
                <c:pt idx="107">
                  <c:v>-0.24129153788089752</c:v>
                </c:pt>
                <c:pt idx="108">
                  <c:v>9.5230359584093094E-3</c:v>
                </c:pt>
                <c:pt idx="109">
                  <c:v>0.19400753080844879</c:v>
                </c:pt>
                <c:pt idx="110">
                  <c:v>0.21816684305667877</c:v>
                </c:pt>
                <c:pt idx="111">
                  <c:v>0.1675112396478653</c:v>
                </c:pt>
                <c:pt idx="112">
                  <c:v>5.5698882788419724E-2</c:v>
                </c:pt>
                <c:pt idx="113">
                  <c:v>4.6519480645656586E-2</c:v>
                </c:pt>
                <c:pt idx="114">
                  <c:v>5.1561381667852402E-2</c:v>
                </c:pt>
                <c:pt idx="115">
                  <c:v>0.17290528118610382</c:v>
                </c:pt>
                <c:pt idx="116">
                  <c:v>7.3794573545455933E-2</c:v>
                </c:pt>
                <c:pt idx="117">
                  <c:v>-0.1286928802728653</c:v>
                </c:pt>
                <c:pt idx="118">
                  <c:v>-0.14515484869480133</c:v>
                </c:pt>
                <c:pt idx="119">
                  <c:v>-0.12663187086582184</c:v>
                </c:pt>
                <c:pt idx="120">
                  <c:v>3.2463144510984421E-2</c:v>
                </c:pt>
                <c:pt idx="121">
                  <c:v>1.3685486279428005E-2</c:v>
                </c:pt>
                <c:pt idx="122">
                  <c:v>7.5491033494472504E-2</c:v>
                </c:pt>
                <c:pt idx="123">
                  <c:v>-6.1663728207349777E-2</c:v>
                </c:pt>
                <c:pt idx="124">
                  <c:v>-2.1426358725875616E-3</c:v>
                </c:pt>
                <c:pt idx="125">
                  <c:v>4.8276226967573166E-2</c:v>
                </c:pt>
                <c:pt idx="126">
                  <c:v>-3.8296777755022049E-2</c:v>
                </c:pt>
                <c:pt idx="127">
                  <c:v>-6.7812755703926086E-2</c:v>
                </c:pt>
                <c:pt idx="128">
                  <c:v>0.41380706429481506</c:v>
                </c:pt>
                <c:pt idx="129">
                  <c:v>-9.1860897839069366E-2</c:v>
                </c:pt>
                <c:pt idx="130">
                  <c:v>-0.22086650133132935</c:v>
                </c:pt>
                <c:pt idx="131">
                  <c:v>-0.10017873346805573</c:v>
                </c:pt>
                <c:pt idx="132">
                  <c:v>4.2480830103158951E-2</c:v>
                </c:pt>
                <c:pt idx="133">
                  <c:v>8.7920323014259338E-2</c:v>
                </c:pt>
                <c:pt idx="134">
                  <c:v>-9.0858833864331245E-3</c:v>
                </c:pt>
                <c:pt idx="135">
                  <c:v>-0.12221620976924896</c:v>
                </c:pt>
                <c:pt idx="136">
                  <c:v>-6.4575180411338806E-2</c:v>
                </c:pt>
                <c:pt idx="137">
                  <c:v>-5.6019206531345844E-3</c:v>
                </c:pt>
                <c:pt idx="138">
                  <c:v>9.1698907315731049E-2</c:v>
                </c:pt>
                <c:pt idx="139">
                  <c:v>0.15361030399799347</c:v>
                </c:pt>
                <c:pt idx="140">
                  <c:v>9.956786036491394E-2</c:v>
                </c:pt>
                <c:pt idx="141">
                  <c:v>2.5050463154911995E-3</c:v>
                </c:pt>
                <c:pt idx="142">
                  <c:v>-0.18744029104709625</c:v>
                </c:pt>
                <c:pt idx="143">
                  <c:v>-8.9764729142189026E-2</c:v>
                </c:pt>
              </c:numCache>
            </c:numRef>
          </c:xVal>
          <c:yVal>
            <c:numRef>
              <c:f>Sheet1!$F$2:$F$569</c:f>
              <c:numCache>
                <c:formatCode>0.00</c:formatCode>
                <c:ptCount val="144"/>
                <c:pt idx="0">
                  <c:v>-1.0719946585595608E-2</c:v>
                </c:pt>
                <c:pt idx="1">
                  <c:v>-1.4814593829214573E-2</c:v>
                </c:pt>
                <c:pt idx="2">
                  <c:v>-1.3328457251191139E-2</c:v>
                </c:pt>
                <c:pt idx="3">
                  <c:v>-9.7012268379330635E-3</c:v>
                </c:pt>
                <c:pt idx="4">
                  <c:v>-5.1962025463581085E-4</c:v>
                </c:pt>
                <c:pt idx="5">
                  <c:v>7.016901858150959E-3</c:v>
                </c:pt>
                <c:pt idx="6">
                  <c:v>1.6778472810983658E-2</c:v>
                </c:pt>
                <c:pt idx="7">
                  <c:v>2.5288468226790428E-2</c:v>
                </c:pt>
                <c:pt idx="8">
                  <c:v>-1.9547552801668644E-3</c:v>
                </c:pt>
                <c:pt idx="9">
                  <c:v>3.0564423650503159E-4</c:v>
                </c:pt>
                <c:pt idx="10">
                  <c:v>-5.3995259804651141E-4</c:v>
                </c:pt>
                <c:pt idx="11">
                  <c:v>7.8963726991787553E-4</c:v>
                </c:pt>
                <c:pt idx="12">
                  <c:v>2.6842188090085983E-3</c:v>
                </c:pt>
                <c:pt idx="13">
                  <c:v>7.2595936944708228E-4</c:v>
                </c:pt>
                <c:pt idx="14">
                  <c:v>-9.0625422308221459E-4</c:v>
                </c:pt>
                <c:pt idx="15">
                  <c:v>-1.1044975835829973E-3</c:v>
                </c:pt>
                <c:pt idx="16">
                  <c:v>6.9280005991458893E-2</c:v>
                </c:pt>
                <c:pt idx="17">
                  <c:v>5.1346592605113983E-2</c:v>
                </c:pt>
                <c:pt idx="18">
                  <c:v>3.1988747417926788E-2</c:v>
                </c:pt>
                <c:pt idx="19">
                  <c:v>1.0295446030795574E-2</c:v>
                </c:pt>
                <c:pt idx="20">
                  <c:v>-1.8583612516522408E-2</c:v>
                </c:pt>
                <c:pt idx="21">
                  <c:v>-4.4924225658178329E-2</c:v>
                </c:pt>
                <c:pt idx="22">
                  <c:v>-5.7161297649145126E-2</c:v>
                </c:pt>
                <c:pt idx="23">
                  <c:v>-4.2241655290126801E-2</c:v>
                </c:pt>
                <c:pt idx="24">
                  <c:v>-0.10766168683767319</c:v>
                </c:pt>
                <c:pt idx="25">
                  <c:v>-6.8456657230854034E-2</c:v>
                </c:pt>
                <c:pt idx="26">
                  <c:v>-4.4097243808209896E-3</c:v>
                </c:pt>
                <c:pt idx="27">
                  <c:v>3.3951994031667709E-2</c:v>
                </c:pt>
                <c:pt idx="28">
                  <c:v>4.8855166882276535E-2</c:v>
                </c:pt>
                <c:pt idx="29">
                  <c:v>4.7190401703119278E-2</c:v>
                </c:pt>
                <c:pt idx="30">
                  <c:v>2.1011088043451309E-2</c:v>
                </c:pt>
                <c:pt idx="31">
                  <c:v>2.9519414529204369E-2</c:v>
                </c:pt>
                <c:pt idx="32">
                  <c:v>2.481372095644474E-2</c:v>
                </c:pt>
                <c:pt idx="33">
                  <c:v>2.0825644955039024E-2</c:v>
                </c:pt>
                <c:pt idx="34">
                  <c:v>8.2136150449514389E-3</c:v>
                </c:pt>
                <c:pt idx="35">
                  <c:v>-1.0442708618938923E-2</c:v>
                </c:pt>
                <c:pt idx="36">
                  <c:v>1.9754065200686455E-2</c:v>
                </c:pt>
                <c:pt idx="37">
                  <c:v>6.1218785122036934E-3</c:v>
                </c:pt>
                <c:pt idx="38">
                  <c:v>-1.8177744001150131E-2</c:v>
                </c:pt>
                <c:pt idx="39">
                  <c:v>-5.1108472049236298E-2</c:v>
                </c:pt>
                <c:pt idx="40">
                  <c:v>1.9385585561394691E-2</c:v>
                </c:pt>
                <c:pt idx="41">
                  <c:v>2.1269043907523155E-2</c:v>
                </c:pt>
                <c:pt idx="42">
                  <c:v>2.7775799855589867E-2</c:v>
                </c:pt>
                <c:pt idx="43">
                  <c:v>3.3666577190160751E-2</c:v>
                </c:pt>
                <c:pt idx="44">
                  <c:v>2.5165392085909843E-2</c:v>
                </c:pt>
                <c:pt idx="45">
                  <c:v>-7.5102401897311211E-3</c:v>
                </c:pt>
                <c:pt idx="46">
                  <c:v>-4.1966494172811508E-2</c:v>
                </c:pt>
                <c:pt idx="47">
                  <c:v>-7.7785663306713104E-2</c:v>
                </c:pt>
                <c:pt idx="48">
                  <c:v>-1.8112054094672203E-2</c:v>
                </c:pt>
                <c:pt idx="49">
                  <c:v>-1.2834467925131321E-2</c:v>
                </c:pt>
                <c:pt idx="50">
                  <c:v>-1.3074005022644997E-2</c:v>
                </c:pt>
                <c:pt idx="51">
                  <c:v>-2.1593963727355003E-2</c:v>
                </c:pt>
                <c:pt idx="52">
                  <c:v>-1.7693089321255684E-2</c:v>
                </c:pt>
                <c:pt idx="53">
                  <c:v>7.320706732571125E-3</c:v>
                </c:pt>
                <c:pt idx="54">
                  <c:v>4.1098896414041519E-2</c:v>
                </c:pt>
                <c:pt idx="55">
                  <c:v>3.4887976944446564E-2</c:v>
                </c:pt>
                <c:pt idx="56">
                  <c:v>-2.8360893949866295E-2</c:v>
                </c:pt>
                <c:pt idx="57">
                  <c:v>-2.3474792018532753E-2</c:v>
                </c:pt>
                <c:pt idx="58">
                  <c:v>-1.662757433950901E-2</c:v>
                </c:pt>
                <c:pt idx="59">
                  <c:v>-5.5004111491143703E-3</c:v>
                </c:pt>
                <c:pt idx="60">
                  <c:v>4.3764244765043259E-3</c:v>
                </c:pt>
                <c:pt idx="61">
                  <c:v>1.3914708979427814E-2</c:v>
                </c:pt>
                <c:pt idx="62">
                  <c:v>2.5597456842660904E-2</c:v>
                </c:pt>
                <c:pt idx="63">
                  <c:v>3.0075078830122948E-2</c:v>
                </c:pt>
                <c:pt idx="64">
                  <c:v>-6.8283588625490665E-3</c:v>
                </c:pt>
                <c:pt idx="65">
                  <c:v>-2.4521449580788612E-2</c:v>
                </c:pt>
                <c:pt idx="66">
                  <c:v>-3.8353703916072845E-2</c:v>
                </c:pt>
                <c:pt idx="67">
                  <c:v>-3.1184053048491478E-2</c:v>
                </c:pt>
                <c:pt idx="68">
                  <c:v>-1.0875212028622627E-2</c:v>
                </c:pt>
                <c:pt idx="69">
                  <c:v>1.602661982178688E-2</c:v>
                </c:pt>
                <c:pt idx="70">
                  <c:v>4.2840365320444107E-2</c:v>
                </c:pt>
                <c:pt idx="71">
                  <c:v>5.2895791828632355E-2</c:v>
                </c:pt>
                <c:pt idx="72">
                  <c:v>-7.6632730662822723E-2</c:v>
                </c:pt>
                <c:pt idx="73">
                  <c:v>-6.2718905508518219E-2</c:v>
                </c:pt>
                <c:pt idx="74">
                  <c:v>-4.0049038827419281E-2</c:v>
                </c:pt>
                <c:pt idx="75">
                  <c:v>-2.265488263219595E-3</c:v>
                </c:pt>
                <c:pt idx="76">
                  <c:v>1.7506672069430351E-2</c:v>
                </c:pt>
                <c:pt idx="77">
                  <c:v>4.0673438459634781E-2</c:v>
                </c:pt>
                <c:pt idx="78">
                  <c:v>5.7935658842325211E-2</c:v>
                </c:pt>
                <c:pt idx="79">
                  <c:v>6.5550394356250763E-2</c:v>
                </c:pt>
                <c:pt idx="80">
                  <c:v>6.6579677164554596E-2</c:v>
                </c:pt>
                <c:pt idx="81">
                  <c:v>4.8741869628429413E-2</c:v>
                </c:pt>
                <c:pt idx="82">
                  <c:v>3.0703430995345116E-2</c:v>
                </c:pt>
                <c:pt idx="83">
                  <c:v>9.4967437908053398E-3</c:v>
                </c:pt>
                <c:pt idx="84">
                  <c:v>-1.1656122282147408E-2</c:v>
                </c:pt>
                <c:pt idx="85">
                  <c:v>-3.8298811763525009E-2</c:v>
                </c:pt>
                <c:pt idx="86">
                  <c:v>-5.5463042110204697E-2</c:v>
                </c:pt>
                <c:pt idx="87">
                  <c:v>-5.0103746354579926E-2</c:v>
                </c:pt>
                <c:pt idx="88">
                  <c:v>3.5255737602710724E-2</c:v>
                </c:pt>
                <c:pt idx="89">
                  <c:v>2.155282162129879E-2</c:v>
                </c:pt>
                <c:pt idx="90">
                  <c:v>9.1913696378469467E-3</c:v>
                </c:pt>
                <c:pt idx="91">
                  <c:v>-9.8655128385871649E-4</c:v>
                </c:pt>
                <c:pt idx="92">
                  <c:v>-8.9872945100069046E-3</c:v>
                </c:pt>
                <c:pt idx="93">
                  <c:v>-1.5874858945608139E-2</c:v>
                </c:pt>
                <c:pt idx="94">
                  <c:v>-1.9865509122610092E-2</c:v>
                </c:pt>
                <c:pt idx="95">
                  <c:v>-2.0285720005631447E-2</c:v>
                </c:pt>
                <c:pt idx="96">
                  <c:v>-2.4515291675925255E-2</c:v>
                </c:pt>
                <c:pt idx="97">
                  <c:v>-1.5564628876745701E-2</c:v>
                </c:pt>
                <c:pt idx="98">
                  <c:v>-4.7718225978314877E-3</c:v>
                </c:pt>
                <c:pt idx="99">
                  <c:v>4.1509219445288181E-3</c:v>
                </c:pt>
                <c:pt idx="100">
                  <c:v>8.0801676958799362E-3</c:v>
                </c:pt>
                <c:pt idx="101">
                  <c:v>7.2224484756588936E-3</c:v>
                </c:pt>
                <c:pt idx="102">
                  <c:v>1.0825906880199909E-2</c:v>
                </c:pt>
                <c:pt idx="103">
                  <c:v>1.4572299085557461E-2</c:v>
                </c:pt>
                <c:pt idx="104">
                  <c:v>2.9673108831048012E-2</c:v>
                </c:pt>
                <c:pt idx="105">
                  <c:v>1.9142588600516319E-2</c:v>
                </c:pt>
                <c:pt idx="106">
                  <c:v>4.1509033180773258E-3</c:v>
                </c:pt>
                <c:pt idx="107">
                  <c:v>-5.7514063082635403E-3</c:v>
                </c:pt>
                <c:pt idx="108">
                  <c:v>-6.3289869576692581E-3</c:v>
                </c:pt>
                <c:pt idx="109">
                  <c:v>-9.3601299449801445E-3</c:v>
                </c:pt>
                <c:pt idx="110">
                  <c:v>-1.3158614747226238E-2</c:v>
                </c:pt>
                <c:pt idx="111">
                  <c:v>-1.836746372282505E-2</c:v>
                </c:pt>
                <c:pt idx="112">
                  <c:v>1.0575243271887302E-2</c:v>
                </c:pt>
                <c:pt idx="113">
                  <c:v>3.1539415940642357E-3</c:v>
                </c:pt>
                <c:pt idx="114">
                  <c:v>-2.8980018105357885E-3</c:v>
                </c:pt>
                <c:pt idx="115">
                  <c:v>-3.0034533701837063E-3</c:v>
                </c:pt>
                <c:pt idx="116">
                  <c:v>-1.9149649888277054E-3</c:v>
                </c:pt>
                <c:pt idx="117">
                  <c:v>-3.1295968219637871E-3</c:v>
                </c:pt>
                <c:pt idx="118">
                  <c:v>-2.3285103961825371E-3</c:v>
                </c:pt>
                <c:pt idx="119">
                  <c:v>-4.5465794391930103E-4</c:v>
                </c:pt>
                <c:pt idx="120">
                  <c:v>3.4059889614582062E-2</c:v>
                </c:pt>
                <c:pt idx="121">
                  <c:v>2.064116857945919E-2</c:v>
                </c:pt>
                <c:pt idx="122">
                  <c:v>8.5670109838247299E-3</c:v>
                </c:pt>
                <c:pt idx="123">
                  <c:v>-2.0526996813714504E-3</c:v>
                </c:pt>
                <c:pt idx="124">
                  <c:v>-1.2205170467495918E-2</c:v>
                </c:pt>
                <c:pt idx="125">
                  <c:v>-1.9731219857931137E-2</c:v>
                </c:pt>
                <c:pt idx="126">
                  <c:v>-2.1365340799093246E-2</c:v>
                </c:pt>
                <c:pt idx="127">
                  <c:v>-7.9136425629258156E-3</c:v>
                </c:pt>
                <c:pt idx="128">
                  <c:v>-1.795252226293087E-2</c:v>
                </c:pt>
                <c:pt idx="129">
                  <c:v>-1.5147813595831394E-2</c:v>
                </c:pt>
                <c:pt idx="130">
                  <c:v>-1.2786680832505226E-2</c:v>
                </c:pt>
                <c:pt idx="131">
                  <c:v>-7.4616721831262112E-3</c:v>
                </c:pt>
                <c:pt idx="132">
                  <c:v>1.865847036242485E-3</c:v>
                </c:pt>
                <c:pt idx="133">
                  <c:v>8.3075510337948799E-3</c:v>
                </c:pt>
                <c:pt idx="134">
                  <c:v>1.6849134117364883E-2</c:v>
                </c:pt>
                <c:pt idx="135">
                  <c:v>2.6326155290007591E-2</c:v>
                </c:pt>
                <c:pt idx="136">
                  <c:v>-4.8005790449678898E-3</c:v>
                </c:pt>
                <c:pt idx="137">
                  <c:v>-5.8227265253663063E-3</c:v>
                </c:pt>
                <c:pt idx="138">
                  <c:v>2.6059738593176007E-4</c:v>
                </c:pt>
                <c:pt idx="139">
                  <c:v>2.6737996377050877E-3</c:v>
                </c:pt>
                <c:pt idx="140">
                  <c:v>3.5467576235532761E-3</c:v>
                </c:pt>
                <c:pt idx="141">
                  <c:v>1.3288604095578194E-3</c:v>
                </c:pt>
                <c:pt idx="142">
                  <c:v>-8.273972780443728E-4</c:v>
                </c:pt>
                <c:pt idx="143">
                  <c:v>3.6406877916306257E-3</c:v>
                </c:pt>
              </c:numCache>
            </c:numRef>
          </c:yVal>
          <c:smooth val="0"/>
          <c:extLst>
            <c:ext xmlns:c16="http://schemas.microsoft.com/office/drawing/2014/chart" uri="{C3380CC4-5D6E-409C-BE32-E72D297353CC}">
              <c16:uniqueId val="{00000001-0A5B-4BA8-8744-DF53B64F7BF1}"/>
            </c:ext>
          </c:extLst>
        </c:ser>
        <c:dLbls>
          <c:showLegendKey val="0"/>
          <c:showVal val="0"/>
          <c:showCatName val="0"/>
          <c:showSerName val="0"/>
          <c:showPercent val="0"/>
          <c:showBubbleSize val="0"/>
        </c:dLbls>
        <c:axId val="448980096"/>
        <c:axId val="448982016"/>
      </c:scatterChart>
      <c:valAx>
        <c:axId val="44898009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LiquidLiabilities</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8982016"/>
        <c:crosses val="autoZero"/>
        <c:crossBetween val="midCat"/>
      </c:valAx>
      <c:valAx>
        <c:axId val="44898201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8980096"/>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NZ" sz="1000">
                <a:solidFill>
                  <a:sysClr val="windowText" lastClr="000000"/>
                </a:solidFill>
                <a:latin typeface="Times New Roman" panose="02020603050405020304" pitchFamily="18" charset="0"/>
                <a:cs typeface="Times New Roman" panose="02020603050405020304" pitchFamily="18" charset="0"/>
              </a:rPr>
              <a:t>HFO</a:t>
            </a:r>
          </a:p>
        </c:rich>
      </c:tx>
      <c:overlay val="0"/>
      <c:spPr>
        <a:noFill/>
        <a:ln>
          <a:noFill/>
        </a:ln>
        <a:effectLst/>
      </c:spPr>
    </c:title>
    <c:autoTitleDeleted val="0"/>
    <c:plotArea>
      <c:layout/>
      <c:scatterChart>
        <c:scatterStyle val="lineMarker"/>
        <c:varyColors val="0"/>
        <c:ser>
          <c:idx val="0"/>
          <c:order val="0"/>
          <c:tx>
            <c:strRef>
              <c:f>Sheet1!$H$1</c:f>
              <c:strCache>
                <c:ptCount val="1"/>
                <c:pt idx="0">
                  <c:v>FD2Res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Sheet1!$H$2:$H$569</c:f>
              <c:numCache>
                <c:formatCode>0.00</c:formatCode>
                <c:ptCount val="424"/>
                <c:pt idx="0">
                  <c:v>-0.34901130199432373</c:v>
                </c:pt>
                <c:pt idx="1">
                  <c:v>-0.36800780892372131</c:v>
                </c:pt>
                <c:pt idx="2">
                  <c:v>-3.9594504982233047E-2</c:v>
                </c:pt>
                <c:pt idx="3">
                  <c:v>-4.1670124977827072E-2</c:v>
                </c:pt>
                <c:pt idx="4">
                  <c:v>0.1331845223903656</c:v>
                </c:pt>
                <c:pt idx="5">
                  <c:v>-3.8521666079759598E-2</c:v>
                </c:pt>
                <c:pt idx="6">
                  <c:v>0.2319171279668808</c:v>
                </c:pt>
                <c:pt idx="7">
                  <c:v>0.47170376777648926</c:v>
                </c:pt>
                <c:pt idx="8">
                  <c:v>-0.1290268748998642</c:v>
                </c:pt>
                <c:pt idx="9">
                  <c:v>-8.7402857840061188E-2</c:v>
                </c:pt>
                <c:pt idx="10">
                  <c:v>-9.1879822313785553E-2</c:v>
                </c:pt>
                <c:pt idx="11">
                  <c:v>-4.0021102875471115E-2</c:v>
                </c:pt>
                <c:pt idx="12">
                  <c:v>7.6209515333175659E-2</c:v>
                </c:pt>
                <c:pt idx="13">
                  <c:v>8.7784990668296814E-2</c:v>
                </c:pt>
                <c:pt idx="14">
                  <c:v>8.9331008493900299E-2</c:v>
                </c:pt>
                <c:pt idx="15">
                  <c:v>9.5005139708518982E-2</c:v>
                </c:pt>
                <c:pt idx="16">
                  <c:v>0.26724791526794434</c:v>
                </c:pt>
                <c:pt idx="17">
                  <c:v>0.2054874449968338</c:v>
                </c:pt>
                <c:pt idx="18">
                  <c:v>-0.12525340914726257</c:v>
                </c:pt>
                <c:pt idx="19">
                  <c:v>-9.8337098956108093E-2</c:v>
                </c:pt>
                <c:pt idx="20">
                  <c:v>-2.1566657349467278E-2</c:v>
                </c:pt>
                <c:pt idx="21">
                  <c:v>-3.3409614115953445E-2</c:v>
                </c:pt>
                <c:pt idx="22">
                  <c:v>-8.187856525182724E-2</c:v>
                </c:pt>
                <c:pt idx="23">
                  <c:v>-0.11229003965854645</c:v>
                </c:pt>
                <c:pt idx="24">
                  <c:v>-6.1627376824617386E-2</c:v>
                </c:pt>
                <c:pt idx="25">
                  <c:v>-3.7870921194553375E-2</c:v>
                </c:pt>
                <c:pt idx="26">
                  <c:v>1.9013907760381699E-2</c:v>
                </c:pt>
                <c:pt idx="27">
                  <c:v>9.1161087155342102E-2</c:v>
                </c:pt>
                <c:pt idx="28">
                  <c:v>5.1507923752069473E-2</c:v>
                </c:pt>
                <c:pt idx="29">
                  <c:v>-1.0665195994079113E-2</c:v>
                </c:pt>
                <c:pt idx="30">
                  <c:v>-1.4180799014866352E-2</c:v>
                </c:pt>
                <c:pt idx="31">
                  <c:v>-3.7338625639677048E-2</c:v>
                </c:pt>
                <c:pt idx="32">
                  <c:v>0.30009648203849792</c:v>
                </c:pt>
                <c:pt idx="33">
                  <c:v>-0.513935387134552</c:v>
                </c:pt>
                <c:pt idx="34">
                  <c:v>-0.2717747688293457</c:v>
                </c:pt>
                <c:pt idx="35">
                  <c:v>-5.302877351641655E-2</c:v>
                </c:pt>
                <c:pt idx="36">
                  <c:v>0.10075753927230835</c:v>
                </c:pt>
                <c:pt idx="37">
                  <c:v>8.116932213306427E-2</c:v>
                </c:pt>
                <c:pt idx="38">
                  <c:v>0.18955595791339874</c:v>
                </c:pt>
                <c:pt idx="39">
                  <c:v>0.16715963184833527</c:v>
                </c:pt>
                <c:pt idx="40">
                  <c:v>3.6467742174863815E-2</c:v>
                </c:pt>
                <c:pt idx="41">
                  <c:v>0.15825451910495758</c:v>
                </c:pt>
                <c:pt idx="42">
                  <c:v>0.10835643857717514</c:v>
                </c:pt>
                <c:pt idx="43">
                  <c:v>-4.0032606571912766E-2</c:v>
                </c:pt>
                <c:pt idx="44">
                  <c:v>-6.8277686834335327E-2</c:v>
                </c:pt>
                <c:pt idx="45">
                  <c:v>-0.19137223064899445</c:v>
                </c:pt>
                <c:pt idx="46">
                  <c:v>-5.3458888083696365E-2</c:v>
                </c:pt>
                <c:pt idx="47">
                  <c:v>5.0062704831361771E-2</c:v>
                </c:pt>
                <c:pt idx="48">
                  <c:v>-0.25129705667495728</c:v>
                </c:pt>
                <c:pt idx="49">
                  <c:v>-0.24487696588039398</c:v>
                </c:pt>
                <c:pt idx="50">
                  <c:v>7.9226158559322357E-3</c:v>
                </c:pt>
                <c:pt idx="51">
                  <c:v>0.18434454500675201</c:v>
                </c:pt>
                <c:pt idx="52">
                  <c:v>0.13701477646827698</c:v>
                </c:pt>
                <c:pt idx="53">
                  <c:v>0.18402020633220673</c:v>
                </c:pt>
                <c:pt idx="54">
                  <c:v>-1.5677172690629959E-2</c:v>
                </c:pt>
                <c:pt idx="55">
                  <c:v>-1.4509684406220913E-3</c:v>
                </c:pt>
                <c:pt idx="56">
                  <c:v>-0.31315919756889343</c:v>
                </c:pt>
                <c:pt idx="57">
                  <c:v>-0.10346437245607376</c:v>
                </c:pt>
                <c:pt idx="58">
                  <c:v>-8.9059539139270782E-2</c:v>
                </c:pt>
                <c:pt idx="59">
                  <c:v>-5.3857218474149704E-2</c:v>
                </c:pt>
                <c:pt idx="60">
                  <c:v>0.28182554244995117</c:v>
                </c:pt>
                <c:pt idx="61">
                  <c:v>0.23676587641239166</c:v>
                </c:pt>
                <c:pt idx="62">
                  <c:v>4.9688946455717087E-2</c:v>
                </c:pt>
                <c:pt idx="63">
                  <c:v>-8.7400507181882858E-3</c:v>
                </c:pt>
                <c:pt idx="64">
                  <c:v>4.64218370616436E-2</c:v>
                </c:pt>
                <c:pt idx="65">
                  <c:v>0.1443345695734024</c:v>
                </c:pt>
                <c:pt idx="66">
                  <c:v>-1.2910041958093643E-2</c:v>
                </c:pt>
                <c:pt idx="67">
                  <c:v>9.7710061818361282E-3</c:v>
                </c:pt>
                <c:pt idx="68">
                  <c:v>-7.7023714780807495E-2</c:v>
                </c:pt>
                <c:pt idx="69">
                  <c:v>-0.10165782272815704</c:v>
                </c:pt>
                <c:pt idx="70">
                  <c:v>1.9372623413801193E-2</c:v>
                </c:pt>
                <c:pt idx="71">
                  <c:v>-2.8308464214205742E-2</c:v>
                </c:pt>
                <c:pt idx="72">
                  <c:v>8.7615236639976501E-2</c:v>
                </c:pt>
                <c:pt idx="73">
                  <c:v>0.30463260412216187</c:v>
                </c:pt>
                <c:pt idx="74">
                  <c:v>0.10090159624814987</c:v>
                </c:pt>
                <c:pt idx="75">
                  <c:v>-0.17587991058826447</c:v>
                </c:pt>
                <c:pt idx="76">
                  <c:v>-0.20398002862930298</c:v>
                </c:pt>
                <c:pt idx="77">
                  <c:v>-0.13456372916698456</c:v>
                </c:pt>
                <c:pt idx="78">
                  <c:v>8.7462170049548149E-3</c:v>
                </c:pt>
                <c:pt idx="79">
                  <c:v>1.2528019025921822E-2</c:v>
                </c:pt>
                <c:pt idx="80">
                  <c:v>0.10407565534114838</c:v>
                </c:pt>
                <c:pt idx="81">
                  <c:v>-5.1682539284229279E-2</c:v>
                </c:pt>
                <c:pt idx="82">
                  <c:v>-5.3723815828561783E-2</c:v>
                </c:pt>
                <c:pt idx="83">
                  <c:v>-0.20144052803516388</c:v>
                </c:pt>
                <c:pt idx="84">
                  <c:v>-7.5628340244293213E-2</c:v>
                </c:pt>
                <c:pt idx="85">
                  <c:v>8.7656214833259583E-2</c:v>
                </c:pt>
                <c:pt idx="86">
                  <c:v>9.2397041618824005E-2</c:v>
                </c:pt>
                <c:pt idx="87">
                  <c:v>9.8346307873725891E-2</c:v>
                </c:pt>
                <c:pt idx="88">
                  <c:v>0.44960889220237732</c:v>
                </c:pt>
                <c:pt idx="89">
                  <c:v>-0.26255983114242554</c:v>
                </c:pt>
                <c:pt idx="90">
                  <c:v>-5.7503823190927505E-2</c:v>
                </c:pt>
                <c:pt idx="91">
                  <c:v>4.5035291463136673E-2</c:v>
                </c:pt>
                <c:pt idx="92">
                  <c:v>1.7421545460820198E-2</c:v>
                </c:pt>
                <c:pt idx="93">
                  <c:v>-2.2059367969632149E-2</c:v>
                </c:pt>
                <c:pt idx="94">
                  <c:v>-8.7006144225597382E-2</c:v>
                </c:pt>
                <c:pt idx="95">
                  <c:v>-8.2936570048332214E-2</c:v>
                </c:pt>
                <c:pt idx="96">
                  <c:v>0.15947170555591583</c:v>
                </c:pt>
                <c:pt idx="97">
                  <c:v>-3.3987541683018208E-3</c:v>
                </c:pt>
                <c:pt idx="98">
                  <c:v>3.117915615439415E-2</c:v>
                </c:pt>
                <c:pt idx="99">
                  <c:v>1.0004537180066109E-2</c:v>
                </c:pt>
                <c:pt idx="100">
                  <c:v>-3.7801112979650497E-2</c:v>
                </c:pt>
                <c:pt idx="101">
                  <c:v>-7.4434354901313782E-2</c:v>
                </c:pt>
                <c:pt idx="102">
                  <c:v>-3.9065796881914139E-2</c:v>
                </c:pt>
                <c:pt idx="103">
                  <c:v>-4.5955371111631393E-2</c:v>
                </c:pt>
                <c:pt idx="104">
                  <c:v>4.4766973704099655E-2</c:v>
                </c:pt>
                <c:pt idx="105">
                  <c:v>5.603935569524765E-2</c:v>
                </c:pt>
                <c:pt idx="106">
                  <c:v>-4.8054132610559464E-2</c:v>
                </c:pt>
                <c:pt idx="107">
                  <c:v>-2.1008117124438286E-2</c:v>
                </c:pt>
                <c:pt idx="108">
                  <c:v>-2.6144472882151604E-2</c:v>
                </c:pt>
                <c:pt idx="109">
                  <c:v>-7.7168522402644157E-3</c:v>
                </c:pt>
                <c:pt idx="110">
                  <c:v>5.7834791950881481E-3</c:v>
                </c:pt>
                <c:pt idx="111">
                  <c:v>-3.6662346683442593E-3</c:v>
                </c:pt>
                <c:pt idx="112">
                  <c:v>0.16576708853244781</c:v>
                </c:pt>
                <c:pt idx="113">
                  <c:v>-9.933248907327652E-2</c:v>
                </c:pt>
                <c:pt idx="114">
                  <c:v>-0.10317216068506241</c:v>
                </c:pt>
                <c:pt idx="115">
                  <c:v>-0.12647871673107147</c:v>
                </c:pt>
                <c:pt idx="116">
                  <c:v>-8.394971489906311E-2</c:v>
                </c:pt>
                <c:pt idx="117">
                  <c:v>1.6752345487475395E-2</c:v>
                </c:pt>
                <c:pt idx="118">
                  <c:v>0.10567257553339005</c:v>
                </c:pt>
                <c:pt idx="119">
                  <c:v>0.12474106252193451</c:v>
                </c:pt>
                <c:pt idx="120">
                  <c:v>9.9687110632658005E-3</c:v>
                </c:pt>
                <c:pt idx="121">
                  <c:v>-0.11895237118005753</c:v>
                </c:pt>
                <c:pt idx="122">
                  <c:v>-0.25245288014411926</c:v>
                </c:pt>
                <c:pt idx="123">
                  <c:v>6.570984423160553E-2</c:v>
                </c:pt>
                <c:pt idx="124">
                  <c:v>8.0583482980728149E-2</c:v>
                </c:pt>
                <c:pt idx="125">
                  <c:v>0.11309735476970673</c:v>
                </c:pt>
                <c:pt idx="126">
                  <c:v>6.8311966955661774E-2</c:v>
                </c:pt>
                <c:pt idx="127">
                  <c:v>3.3733893185853958E-2</c:v>
                </c:pt>
                <c:pt idx="128">
                  <c:v>9.7498610615730286E-2</c:v>
                </c:pt>
                <c:pt idx="129">
                  <c:v>-8.3495236933231354E-2</c:v>
                </c:pt>
                <c:pt idx="130">
                  <c:v>-0.11152604967355728</c:v>
                </c:pt>
                <c:pt idx="131">
                  <c:v>-1.5560610219836235E-2</c:v>
                </c:pt>
                <c:pt idx="132">
                  <c:v>1.0259779170155525E-2</c:v>
                </c:pt>
                <c:pt idx="133">
                  <c:v>6.328098475933075E-2</c:v>
                </c:pt>
                <c:pt idx="134">
                  <c:v>1.7460387200117111E-2</c:v>
                </c:pt>
                <c:pt idx="135">
                  <c:v>2.2082136943936348E-2</c:v>
                </c:pt>
                <c:pt idx="136">
                  <c:v>1.0791851207613945E-2</c:v>
                </c:pt>
                <c:pt idx="137">
                  <c:v>3.2209895551204681E-2</c:v>
                </c:pt>
                <c:pt idx="138">
                  <c:v>-9.3792833387851715E-2</c:v>
                </c:pt>
                <c:pt idx="139">
                  <c:v>-1.3620002195239067E-2</c:v>
                </c:pt>
                <c:pt idx="140">
                  <c:v>2.2464783862233162E-2</c:v>
                </c:pt>
                <c:pt idx="141">
                  <c:v>4.0709774941205978E-2</c:v>
                </c:pt>
                <c:pt idx="142">
                  <c:v>3.5800144542008638E-3</c:v>
                </c:pt>
                <c:pt idx="143">
                  <c:v>-2.3434883914887905E-3</c:v>
                </c:pt>
                <c:pt idx="144">
                  <c:v>-0.4061238169670105</c:v>
                </c:pt>
                <c:pt idx="145">
                  <c:v>-0.11331341415643692</c:v>
                </c:pt>
                <c:pt idx="146">
                  <c:v>-3.3593807369470596E-2</c:v>
                </c:pt>
                <c:pt idx="147">
                  <c:v>3.3634323626756668E-2</c:v>
                </c:pt>
                <c:pt idx="148">
                  <c:v>0.1898968517780304</c:v>
                </c:pt>
                <c:pt idx="149">
                  <c:v>0.24490503966808319</c:v>
                </c:pt>
                <c:pt idx="150">
                  <c:v>8.7835468351840973E-2</c:v>
                </c:pt>
                <c:pt idx="151">
                  <c:v>-3.2406575046479702E-3</c:v>
                </c:pt>
                <c:pt idx="152">
                  <c:v>-0.36079230904579163</c:v>
                </c:pt>
                <c:pt idx="153">
                  <c:v>-0.4084126353263855</c:v>
                </c:pt>
                <c:pt idx="154">
                  <c:v>-0.32897007465362549</c:v>
                </c:pt>
                <c:pt idx="155">
                  <c:v>-7.8829839825630188E-2</c:v>
                </c:pt>
                <c:pt idx="156">
                  <c:v>0.13414722681045532</c:v>
                </c:pt>
                <c:pt idx="157">
                  <c:v>0.14215643703937531</c:v>
                </c:pt>
                <c:pt idx="158">
                  <c:v>0.33606308698654175</c:v>
                </c:pt>
                <c:pt idx="159">
                  <c:v>0.56463807821273804</c:v>
                </c:pt>
                <c:pt idx="160">
                  <c:v>-0.19241137802600861</c:v>
                </c:pt>
                <c:pt idx="161">
                  <c:v>-0.27144360542297363</c:v>
                </c:pt>
                <c:pt idx="162">
                  <c:v>0.19174724817276001</c:v>
                </c:pt>
                <c:pt idx="163">
                  <c:v>8.5509166121482849E-2</c:v>
                </c:pt>
                <c:pt idx="164">
                  <c:v>0.10291385650634766</c:v>
                </c:pt>
                <c:pt idx="165">
                  <c:v>0.12125135958194733</c:v>
                </c:pt>
                <c:pt idx="166">
                  <c:v>8.8043101131916046E-2</c:v>
                </c:pt>
                <c:pt idx="167">
                  <c:v>-0.12560974061489105</c:v>
                </c:pt>
                <c:pt idx="168">
                  <c:v>-5.1535356789827347E-2</c:v>
                </c:pt>
                <c:pt idx="169">
                  <c:v>4.3577872216701508E-2</c:v>
                </c:pt>
                <c:pt idx="170">
                  <c:v>0.16620424389839172</c:v>
                </c:pt>
                <c:pt idx="171">
                  <c:v>0.12000425159931183</c:v>
                </c:pt>
                <c:pt idx="172">
                  <c:v>2.0661087706685066E-2</c:v>
                </c:pt>
                <c:pt idx="173">
                  <c:v>-4.4518012553453445E-2</c:v>
                </c:pt>
                <c:pt idx="174">
                  <c:v>-9.1384314000606537E-2</c:v>
                </c:pt>
                <c:pt idx="175">
                  <c:v>-0.16300977766513824</c:v>
                </c:pt>
                <c:pt idx="176">
                  <c:v>-0.30680915713310242</c:v>
                </c:pt>
                <c:pt idx="177">
                  <c:v>8.2842104136943817E-2</c:v>
                </c:pt>
                <c:pt idx="178">
                  <c:v>9.0158276259899139E-2</c:v>
                </c:pt>
                <c:pt idx="179">
                  <c:v>8.649502694606781E-2</c:v>
                </c:pt>
                <c:pt idx="180">
                  <c:v>0.11889100074768066</c:v>
                </c:pt>
                <c:pt idx="181">
                  <c:v>-3.7903664633631706E-3</c:v>
                </c:pt>
                <c:pt idx="182">
                  <c:v>-1.7801631242036819E-2</c:v>
                </c:pt>
                <c:pt idx="183">
                  <c:v>-4.9985270947217941E-2</c:v>
                </c:pt>
                <c:pt idx="184">
                  <c:v>0.1207437664270401</c:v>
                </c:pt>
                <c:pt idx="185">
                  <c:v>1.5440425835549831E-2</c:v>
                </c:pt>
                <c:pt idx="186">
                  <c:v>-2.9947970062494278E-2</c:v>
                </c:pt>
                <c:pt idx="187">
                  <c:v>-3.2502572983503342E-2</c:v>
                </c:pt>
                <c:pt idx="188">
                  <c:v>-4.6320236288011074E-3</c:v>
                </c:pt>
                <c:pt idx="189">
                  <c:v>6.4135774970054626E-2</c:v>
                </c:pt>
                <c:pt idx="190">
                  <c:v>-2.371944859623909E-2</c:v>
                </c:pt>
                <c:pt idx="191">
                  <c:v>-0.10951794683933258</c:v>
                </c:pt>
                <c:pt idx="192">
                  <c:v>-0.23829059302806854</c:v>
                </c:pt>
                <c:pt idx="193">
                  <c:v>-0.11921725422143936</c:v>
                </c:pt>
                <c:pt idx="194">
                  <c:v>-3.7829194217920303E-2</c:v>
                </c:pt>
                <c:pt idx="195">
                  <c:v>1.9485967233777046E-2</c:v>
                </c:pt>
                <c:pt idx="196">
                  <c:v>0.21197333931922913</c:v>
                </c:pt>
                <c:pt idx="197">
                  <c:v>0.26820126175880432</c:v>
                </c:pt>
                <c:pt idx="198">
                  <c:v>0.11105255037546158</c:v>
                </c:pt>
                <c:pt idx="199">
                  <c:v>-0.21537609398365021</c:v>
                </c:pt>
                <c:pt idx="200">
                  <c:v>4.1260819882154465E-2</c:v>
                </c:pt>
                <c:pt idx="201">
                  <c:v>-0.16641302406787872</c:v>
                </c:pt>
                <c:pt idx="202">
                  <c:v>-7.9879648983478546E-2</c:v>
                </c:pt>
                <c:pt idx="203">
                  <c:v>-2.4220062419772148E-2</c:v>
                </c:pt>
                <c:pt idx="204">
                  <c:v>1.7190517857670784E-2</c:v>
                </c:pt>
                <c:pt idx="205">
                  <c:v>6.7683055996894836E-2</c:v>
                </c:pt>
                <c:pt idx="206">
                  <c:v>7.0860810577869415E-2</c:v>
                </c:pt>
                <c:pt idx="207">
                  <c:v>7.3517516255378723E-2</c:v>
                </c:pt>
                <c:pt idx="208">
                  <c:v>0.14442123472690582</c:v>
                </c:pt>
                <c:pt idx="209">
                  <c:v>0.19464142620563507</c:v>
                </c:pt>
                <c:pt idx="210">
                  <c:v>0.12692227959632874</c:v>
                </c:pt>
                <c:pt idx="211">
                  <c:v>6.6581442952156067E-2</c:v>
                </c:pt>
                <c:pt idx="212">
                  <c:v>-3.9587881416082382E-2</c:v>
                </c:pt>
                <c:pt idx="213">
                  <c:v>-0.16091050207614899</c:v>
                </c:pt>
                <c:pt idx="214">
                  <c:v>-0.18719841539859772</c:v>
                </c:pt>
                <c:pt idx="215">
                  <c:v>-0.14486958086490631</c:v>
                </c:pt>
                <c:pt idx="216">
                  <c:v>0.17613895237445831</c:v>
                </c:pt>
                <c:pt idx="217">
                  <c:v>0.22787858545780182</c:v>
                </c:pt>
                <c:pt idx="218">
                  <c:v>9.8952852189540863E-2</c:v>
                </c:pt>
                <c:pt idx="219">
                  <c:v>-3.1667780131101608E-3</c:v>
                </c:pt>
                <c:pt idx="220">
                  <c:v>-0.1029338538646698</c:v>
                </c:pt>
                <c:pt idx="221">
                  <c:v>-0.12340231239795685</c:v>
                </c:pt>
                <c:pt idx="222">
                  <c:v>-0.11096151918172836</c:v>
                </c:pt>
                <c:pt idx="223">
                  <c:v>-0.16250593960285187</c:v>
                </c:pt>
                <c:pt idx="224">
                  <c:v>-0.42080587148666382</c:v>
                </c:pt>
                <c:pt idx="225">
                  <c:v>-0.1928548663854599</c:v>
                </c:pt>
                <c:pt idx="226">
                  <c:v>7.9958043992519379E-2</c:v>
                </c:pt>
                <c:pt idx="227">
                  <c:v>-1.7537219449877739E-2</c:v>
                </c:pt>
                <c:pt idx="228">
                  <c:v>-0.18897435069084167</c:v>
                </c:pt>
                <c:pt idx="229">
                  <c:v>-0.10586567223072052</c:v>
                </c:pt>
                <c:pt idx="230">
                  <c:v>0.35170832276344299</c:v>
                </c:pt>
                <c:pt idx="231">
                  <c:v>0.49437159299850464</c:v>
                </c:pt>
                <c:pt idx="232">
                  <c:v>0.22737903892993927</c:v>
                </c:pt>
                <c:pt idx="233">
                  <c:v>0.19525517523288727</c:v>
                </c:pt>
                <c:pt idx="234">
                  <c:v>-7.0920325815677643E-3</c:v>
                </c:pt>
                <c:pt idx="235">
                  <c:v>-0.10255478322505951</c:v>
                </c:pt>
                <c:pt idx="236">
                  <c:v>-3.5901393741369247E-2</c:v>
                </c:pt>
                <c:pt idx="237">
                  <c:v>1.8253011628985405E-2</c:v>
                </c:pt>
                <c:pt idx="238">
                  <c:v>-0.11018344014883041</c:v>
                </c:pt>
                <c:pt idx="239">
                  <c:v>-0.18515558540821075</c:v>
                </c:pt>
                <c:pt idx="240">
                  <c:v>0.11942507326602936</c:v>
                </c:pt>
                <c:pt idx="241">
                  <c:v>0.21838302910327911</c:v>
                </c:pt>
                <c:pt idx="242">
                  <c:v>-4.5765135437250137E-2</c:v>
                </c:pt>
                <c:pt idx="243">
                  <c:v>-1.8729371950030327E-2</c:v>
                </c:pt>
                <c:pt idx="244">
                  <c:v>-6.1028029769659042E-2</c:v>
                </c:pt>
                <c:pt idx="245">
                  <c:v>-9.3263164162635803E-2</c:v>
                </c:pt>
                <c:pt idx="246">
                  <c:v>-7.693924754858017E-2</c:v>
                </c:pt>
                <c:pt idx="247">
                  <c:v>-4.2083155363798141E-2</c:v>
                </c:pt>
                <c:pt idx="248">
                  <c:v>-0.52078640460968018</c:v>
                </c:pt>
                <c:pt idx="249">
                  <c:v>-0.48922890424728394</c:v>
                </c:pt>
                <c:pt idx="250">
                  <c:v>-0.25219810009002686</c:v>
                </c:pt>
                <c:pt idx="251">
                  <c:v>0.16172902286052704</c:v>
                </c:pt>
                <c:pt idx="252">
                  <c:v>0.2232094407081604</c:v>
                </c:pt>
                <c:pt idx="253">
                  <c:v>0.31712013483047485</c:v>
                </c:pt>
                <c:pt idx="254">
                  <c:v>0.28752273321151733</c:v>
                </c:pt>
                <c:pt idx="255">
                  <c:v>0.27263209223747253</c:v>
                </c:pt>
                <c:pt idx="256">
                  <c:v>8.1356599926948547E-2</c:v>
                </c:pt>
                <c:pt idx="257">
                  <c:v>0.13245917856693268</c:v>
                </c:pt>
                <c:pt idx="258">
                  <c:v>9.2196069657802582E-2</c:v>
                </c:pt>
                <c:pt idx="259">
                  <c:v>1.6604797914624214E-2</c:v>
                </c:pt>
                <c:pt idx="260">
                  <c:v>-0.1149267852306366</c:v>
                </c:pt>
                <c:pt idx="261">
                  <c:v>-1.9476132467389107E-2</c:v>
                </c:pt>
                <c:pt idx="262">
                  <c:v>-2.7648050338029861E-2</c:v>
                </c:pt>
                <c:pt idx="263">
                  <c:v>-0.16056568920612335</c:v>
                </c:pt>
                <c:pt idx="264">
                  <c:v>-4.3932307511568069E-2</c:v>
                </c:pt>
                <c:pt idx="265">
                  <c:v>-8.6147703230381012E-2</c:v>
                </c:pt>
                <c:pt idx="266">
                  <c:v>-4.6022746711969376E-2</c:v>
                </c:pt>
                <c:pt idx="267">
                  <c:v>3.4739453345537186E-2</c:v>
                </c:pt>
                <c:pt idx="268">
                  <c:v>4.0540788322687149E-2</c:v>
                </c:pt>
                <c:pt idx="269">
                  <c:v>4.5740466564893723E-2</c:v>
                </c:pt>
                <c:pt idx="270">
                  <c:v>5.7319145649671555E-2</c:v>
                </c:pt>
                <c:pt idx="271">
                  <c:v>-2.2370941005647182E-3</c:v>
                </c:pt>
                <c:pt idx="272">
                  <c:v>0.2184271365404129</c:v>
                </c:pt>
                <c:pt idx="273">
                  <c:v>0.14066900312900543</c:v>
                </c:pt>
                <c:pt idx="274">
                  <c:v>1.3232912868261337E-2</c:v>
                </c:pt>
                <c:pt idx="275">
                  <c:v>1.9426513463258743E-3</c:v>
                </c:pt>
                <c:pt idx="276">
                  <c:v>-9.064134955406189E-2</c:v>
                </c:pt>
                <c:pt idx="277">
                  <c:v>-8.6273506283760071E-2</c:v>
                </c:pt>
                <c:pt idx="278">
                  <c:v>-0.13072414696216583</c:v>
                </c:pt>
                <c:pt idx="279">
                  <c:v>-6.6632702946662903E-2</c:v>
                </c:pt>
                <c:pt idx="280">
                  <c:v>0.10610415041446686</c:v>
                </c:pt>
                <c:pt idx="281">
                  <c:v>0.14319391548633575</c:v>
                </c:pt>
                <c:pt idx="282">
                  <c:v>4.8047330230474472E-2</c:v>
                </c:pt>
                <c:pt idx="283">
                  <c:v>-8.8676642626523972E-3</c:v>
                </c:pt>
                <c:pt idx="284">
                  <c:v>7.7316374517977238E-4</c:v>
                </c:pt>
                <c:pt idx="285">
                  <c:v>-1.6993062570691109E-2</c:v>
                </c:pt>
                <c:pt idx="286">
                  <c:v>-9.8060034215450287E-2</c:v>
                </c:pt>
                <c:pt idx="287">
                  <c:v>-0.17419780790805817</c:v>
                </c:pt>
                <c:pt idx="288">
                  <c:v>1.1511756107211113E-2</c:v>
                </c:pt>
                <c:pt idx="289">
                  <c:v>0.11401023715734482</c:v>
                </c:pt>
                <c:pt idx="290">
                  <c:v>0.20127293467521667</c:v>
                </c:pt>
                <c:pt idx="291">
                  <c:v>0.10839678347110748</c:v>
                </c:pt>
                <c:pt idx="292">
                  <c:v>8.1814676523208618E-2</c:v>
                </c:pt>
                <c:pt idx="293">
                  <c:v>8.958977647125721E-3</c:v>
                </c:pt>
                <c:pt idx="294">
                  <c:v>-0.22498150169849396</c:v>
                </c:pt>
                <c:pt idx="295">
                  <c:v>-0.30098384618759155</c:v>
                </c:pt>
                <c:pt idx="296">
                  <c:v>-0.18711142241954803</c:v>
                </c:pt>
                <c:pt idx="297">
                  <c:v>0.14474929869174957</c:v>
                </c:pt>
                <c:pt idx="298">
                  <c:v>0.1036817654967308</c:v>
                </c:pt>
                <c:pt idx="299">
                  <c:v>-7.0370659232139587E-2</c:v>
                </c:pt>
                <c:pt idx="300">
                  <c:v>-7.9037755727767944E-2</c:v>
                </c:pt>
                <c:pt idx="301">
                  <c:v>-1.7236309126019478E-2</c:v>
                </c:pt>
                <c:pt idx="302">
                  <c:v>6.4191378653049469E-2</c:v>
                </c:pt>
                <c:pt idx="303">
                  <c:v>4.1133690625429153E-2</c:v>
                </c:pt>
                <c:pt idx="304">
                  <c:v>-1.5060179866850376E-3</c:v>
                </c:pt>
                <c:pt idx="305">
                  <c:v>0.14437080919742584</c:v>
                </c:pt>
                <c:pt idx="306">
                  <c:v>8.1857047975063324E-2</c:v>
                </c:pt>
                <c:pt idx="307">
                  <c:v>-4.4259648770093918E-2</c:v>
                </c:pt>
                <c:pt idx="308">
                  <c:v>-8.8112324476242065E-2</c:v>
                </c:pt>
                <c:pt idx="309">
                  <c:v>-5.6119401007890701E-2</c:v>
                </c:pt>
                <c:pt idx="310">
                  <c:v>-1.5458901412785053E-2</c:v>
                </c:pt>
                <c:pt idx="311">
                  <c:v>-2.0771576091647148E-2</c:v>
                </c:pt>
                <c:pt idx="312">
                  <c:v>-0.18366537988185883</c:v>
                </c:pt>
                <c:pt idx="313">
                  <c:v>-6.2856592237949371E-2</c:v>
                </c:pt>
                <c:pt idx="314">
                  <c:v>5.6718848645687103E-3</c:v>
                </c:pt>
                <c:pt idx="315">
                  <c:v>-3.2534163445234299E-2</c:v>
                </c:pt>
                <c:pt idx="316">
                  <c:v>7.5536691583693027E-3</c:v>
                </c:pt>
                <c:pt idx="317">
                  <c:v>4.8275332897901535E-2</c:v>
                </c:pt>
                <c:pt idx="318">
                  <c:v>9.0103603899478912E-2</c:v>
                </c:pt>
                <c:pt idx="319">
                  <c:v>0.12745164334774017</c:v>
                </c:pt>
                <c:pt idx="320">
                  <c:v>0.1184975653886795</c:v>
                </c:pt>
                <c:pt idx="321">
                  <c:v>0.10008206218481064</c:v>
                </c:pt>
                <c:pt idx="322">
                  <c:v>7.6260767877101898E-2</c:v>
                </c:pt>
                <c:pt idx="323">
                  <c:v>4.8769969493150711E-2</c:v>
                </c:pt>
                <c:pt idx="324">
                  <c:v>-5.8101094327867031E-3</c:v>
                </c:pt>
                <c:pt idx="325">
                  <c:v>-5.2167017012834549E-2</c:v>
                </c:pt>
                <c:pt idx="326">
                  <c:v>-0.1258968859910965</c:v>
                </c:pt>
                <c:pt idx="327">
                  <c:v>-0.15973635017871857</c:v>
                </c:pt>
                <c:pt idx="328">
                  <c:v>0.28983837366104126</c:v>
                </c:pt>
                <c:pt idx="329">
                  <c:v>9.8431132733821869E-2</c:v>
                </c:pt>
                <c:pt idx="330">
                  <c:v>-0.11235133558511734</c:v>
                </c:pt>
                <c:pt idx="331">
                  <c:v>-0.31223806738853455</c:v>
                </c:pt>
                <c:pt idx="332">
                  <c:v>-0.45779535174369812</c:v>
                </c:pt>
                <c:pt idx="333">
                  <c:v>4.9496691673994064E-2</c:v>
                </c:pt>
                <c:pt idx="334">
                  <c:v>0.18627230823040009</c:v>
                </c:pt>
                <c:pt idx="335">
                  <c:v>0.25834625959396362</c:v>
                </c:pt>
                <c:pt idx="336">
                  <c:v>6.7582592368125916E-2</c:v>
                </c:pt>
                <c:pt idx="337">
                  <c:v>0.12756769359111786</c:v>
                </c:pt>
                <c:pt idx="338">
                  <c:v>-4.9422983080148697E-2</c:v>
                </c:pt>
                <c:pt idx="339">
                  <c:v>-3.4708451479673386E-2</c:v>
                </c:pt>
                <c:pt idx="340">
                  <c:v>-5.7994898408651352E-2</c:v>
                </c:pt>
                <c:pt idx="341">
                  <c:v>5.2582742646336555E-3</c:v>
                </c:pt>
                <c:pt idx="342">
                  <c:v>-2.5100160390138626E-2</c:v>
                </c:pt>
                <c:pt idx="343">
                  <c:v>-3.3182065933942795E-2</c:v>
                </c:pt>
                <c:pt idx="344">
                  <c:v>-9.3047782778739929E-2</c:v>
                </c:pt>
                <c:pt idx="345">
                  <c:v>9.7057603299617767E-2</c:v>
                </c:pt>
                <c:pt idx="346">
                  <c:v>7.6314292848110199E-2</c:v>
                </c:pt>
                <c:pt idx="347">
                  <c:v>2.9686110094189644E-2</c:v>
                </c:pt>
                <c:pt idx="348">
                  <c:v>-1.6747681424021721E-2</c:v>
                </c:pt>
                <c:pt idx="349">
                  <c:v>2.6047272607684135E-2</c:v>
                </c:pt>
                <c:pt idx="350">
                  <c:v>-7.0021939463913441E-3</c:v>
                </c:pt>
                <c:pt idx="351">
                  <c:v>-0.11230762302875519</c:v>
                </c:pt>
                <c:pt idx="352">
                  <c:v>0.16159035265445709</c:v>
                </c:pt>
                <c:pt idx="353">
                  <c:v>0.20617122948169708</c:v>
                </c:pt>
                <c:pt idx="354">
                  <c:v>0.16320493817329407</c:v>
                </c:pt>
                <c:pt idx="355">
                  <c:v>5.2734453231096268E-2</c:v>
                </c:pt>
                <c:pt idx="356">
                  <c:v>-1.318695954978466E-2</c:v>
                </c:pt>
                <c:pt idx="357">
                  <c:v>-7.8486457467079163E-2</c:v>
                </c:pt>
                <c:pt idx="358">
                  <c:v>-0.22817720472812653</c:v>
                </c:pt>
                <c:pt idx="359">
                  <c:v>-0.26385033130645752</c:v>
                </c:pt>
                <c:pt idx="360">
                  <c:v>-1.5490936115384102E-2</c:v>
                </c:pt>
                <c:pt idx="361">
                  <c:v>-9.9172569811344147E-2</c:v>
                </c:pt>
                <c:pt idx="362">
                  <c:v>-8.8743604719638824E-2</c:v>
                </c:pt>
                <c:pt idx="363">
                  <c:v>-7.3275431990623474E-2</c:v>
                </c:pt>
                <c:pt idx="364">
                  <c:v>-2.3128954693675041E-2</c:v>
                </c:pt>
                <c:pt idx="365">
                  <c:v>0.10874371230602264</c:v>
                </c:pt>
                <c:pt idx="366">
                  <c:v>0.10474172979593277</c:v>
                </c:pt>
                <c:pt idx="367">
                  <c:v>8.6326047778129578E-2</c:v>
                </c:pt>
                <c:pt idx="368">
                  <c:v>0.1781821995973587</c:v>
                </c:pt>
                <c:pt idx="369">
                  <c:v>0.17738033831119537</c:v>
                </c:pt>
                <c:pt idx="370">
                  <c:v>-0.14015808701515198</c:v>
                </c:pt>
                <c:pt idx="371">
                  <c:v>-0.16500578820705414</c:v>
                </c:pt>
                <c:pt idx="372">
                  <c:v>-7.8067988157272339E-2</c:v>
                </c:pt>
                <c:pt idx="373">
                  <c:v>3.9583723992109299E-2</c:v>
                </c:pt>
                <c:pt idx="374">
                  <c:v>-4.1593391448259354E-2</c:v>
                </c:pt>
                <c:pt idx="375">
                  <c:v>2.9678987339138985E-2</c:v>
                </c:pt>
                <c:pt idx="376">
                  <c:v>2.0414425060153008E-2</c:v>
                </c:pt>
                <c:pt idx="377">
                  <c:v>0.22230054438114166</c:v>
                </c:pt>
                <c:pt idx="378">
                  <c:v>0.1922203004360199</c:v>
                </c:pt>
                <c:pt idx="379">
                  <c:v>0.11746300756931305</c:v>
                </c:pt>
                <c:pt idx="380">
                  <c:v>-0.10224148631095886</c:v>
                </c:pt>
                <c:pt idx="381">
                  <c:v>-0.21541662514209747</c:v>
                </c:pt>
                <c:pt idx="382">
                  <c:v>-9.8453126847743988E-2</c:v>
                </c:pt>
                <c:pt idx="383">
                  <c:v>-0.13628704845905304</c:v>
                </c:pt>
                <c:pt idx="384">
                  <c:v>-4.9228120595216751E-2</c:v>
                </c:pt>
                <c:pt idx="385">
                  <c:v>-2.740643173456192E-2</c:v>
                </c:pt>
                <c:pt idx="386">
                  <c:v>3.0283298343420029E-2</c:v>
                </c:pt>
                <c:pt idx="387">
                  <c:v>-5.0641130656003952E-3</c:v>
                </c:pt>
                <c:pt idx="388">
                  <c:v>-3.8704600185155869E-2</c:v>
                </c:pt>
                <c:pt idx="389">
                  <c:v>4.2405169457197189E-2</c:v>
                </c:pt>
                <c:pt idx="390">
                  <c:v>4.1937988251447678E-2</c:v>
                </c:pt>
                <c:pt idx="391">
                  <c:v>5.7768099941313267E-3</c:v>
                </c:pt>
                <c:pt idx="392">
                  <c:v>-0.3284798264503479</c:v>
                </c:pt>
                <c:pt idx="393">
                  <c:v>-0.49157652258872986</c:v>
                </c:pt>
                <c:pt idx="394">
                  <c:v>-0.12093047052621841</c:v>
                </c:pt>
                <c:pt idx="395">
                  <c:v>0.34464886784553528</c:v>
                </c:pt>
                <c:pt idx="396">
                  <c:v>0.42556968331336975</c:v>
                </c:pt>
                <c:pt idx="397">
                  <c:v>0.10635749995708466</c:v>
                </c:pt>
                <c:pt idx="398">
                  <c:v>0.20038585364818573</c:v>
                </c:pt>
                <c:pt idx="399">
                  <c:v>-0.13597507774829865</c:v>
                </c:pt>
                <c:pt idx="400">
                  <c:v>3.1241042539477348E-2</c:v>
                </c:pt>
                <c:pt idx="401">
                  <c:v>-5.5551012046635151E-3</c:v>
                </c:pt>
                <c:pt idx="402">
                  <c:v>0.24990808963775635</c:v>
                </c:pt>
                <c:pt idx="403">
                  <c:v>0.14605371654033661</c:v>
                </c:pt>
                <c:pt idx="404">
                  <c:v>-5.4439004510641098E-2</c:v>
                </c:pt>
                <c:pt idx="405">
                  <c:v>-0.14337866008281708</c:v>
                </c:pt>
                <c:pt idx="406">
                  <c:v>-0.11437254399061203</c:v>
                </c:pt>
                <c:pt idx="407">
                  <c:v>-0.10945753753185272</c:v>
                </c:pt>
                <c:pt idx="408">
                  <c:v>8.6064651608467102E-2</c:v>
                </c:pt>
                <c:pt idx="409">
                  <c:v>0.10961606353521347</c:v>
                </c:pt>
                <c:pt idx="410">
                  <c:v>5.147489532828331E-2</c:v>
                </c:pt>
                <c:pt idx="411">
                  <c:v>6.8169999867677689E-3</c:v>
                </c:pt>
                <c:pt idx="412">
                  <c:v>-5.636898335069418E-3</c:v>
                </c:pt>
                <c:pt idx="413">
                  <c:v>-4.3950993567705154E-2</c:v>
                </c:pt>
                <c:pt idx="414">
                  <c:v>-7.932504266500473E-2</c:v>
                </c:pt>
                <c:pt idx="415">
                  <c:v>-0.12505967915058136</c:v>
                </c:pt>
                <c:pt idx="416">
                  <c:v>0.27973487973213196</c:v>
                </c:pt>
                <c:pt idx="417">
                  <c:v>0.34688210487365723</c:v>
                </c:pt>
                <c:pt idx="418">
                  <c:v>0.13663703203201294</c:v>
                </c:pt>
                <c:pt idx="419">
                  <c:v>-3.9242874830961227E-2</c:v>
                </c:pt>
                <c:pt idx="420">
                  <c:v>-4.1908737272024155E-2</c:v>
                </c:pt>
                <c:pt idx="421">
                  <c:v>-0.18777512013912201</c:v>
                </c:pt>
                <c:pt idx="422">
                  <c:v>-0.24278722703456879</c:v>
                </c:pt>
                <c:pt idx="423">
                  <c:v>-0.25154003500938416</c:v>
                </c:pt>
              </c:numCache>
            </c:numRef>
          </c:xVal>
          <c:yVal>
            <c:numRef>
              <c:f>Sheet1!$F$2:$F$569</c:f>
              <c:numCache>
                <c:formatCode>0.00</c:formatCode>
                <c:ptCount val="424"/>
                <c:pt idx="0">
                  <c:v>2.3888299241662025E-2</c:v>
                </c:pt>
                <c:pt idx="1">
                  <c:v>3.4271381795406342E-2</c:v>
                </c:pt>
                <c:pt idx="2">
                  <c:v>2.1963572129607201E-2</c:v>
                </c:pt>
                <c:pt idx="3">
                  <c:v>3.7645348347723484E-3</c:v>
                </c:pt>
                <c:pt idx="4">
                  <c:v>-1.9319521263241768E-2</c:v>
                </c:pt>
                <c:pt idx="5">
                  <c:v>-3.3299561589956284E-2</c:v>
                </c:pt>
                <c:pt idx="6">
                  <c:v>-2.3400183767080307E-2</c:v>
                </c:pt>
                <c:pt idx="7">
                  <c:v>-7.8685218468308449E-3</c:v>
                </c:pt>
                <c:pt idx="8">
                  <c:v>-2.8542211279273033E-2</c:v>
                </c:pt>
                <c:pt idx="9">
                  <c:v>-1.2457110919058323E-2</c:v>
                </c:pt>
                <c:pt idx="10">
                  <c:v>3.0270575080066919E-3</c:v>
                </c:pt>
                <c:pt idx="11">
                  <c:v>3.3214184804819524E-4</c:v>
                </c:pt>
                <c:pt idx="12">
                  <c:v>1.1819731444120407E-3</c:v>
                </c:pt>
                <c:pt idx="13">
                  <c:v>5.9776352718472481E-3</c:v>
                </c:pt>
                <c:pt idx="14">
                  <c:v>1.3710503466427326E-2</c:v>
                </c:pt>
                <c:pt idx="15">
                  <c:v>1.6770010814070702E-2</c:v>
                </c:pt>
                <c:pt idx="16">
                  <c:v>-8.503635972738266E-2</c:v>
                </c:pt>
                <c:pt idx="17">
                  <c:v>-7.079971581697464E-2</c:v>
                </c:pt>
                <c:pt idx="18">
                  <c:v>-4.6690039336681366E-2</c:v>
                </c:pt>
                <c:pt idx="19">
                  <c:v>-1.4085416682064533E-2</c:v>
                </c:pt>
                <c:pt idx="20">
                  <c:v>2.9709799215197563E-2</c:v>
                </c:pt>
                <c:pt idx="21">
                  <c:v>5.6193206459283829E-2</c:v>
                </c:pt>
                <c:pt idx="22">
                  <c:v>6.381545215845108E-2</c:v>
                </c:pt>
                <c:pt idx="23">
                  <c:v>6.68930783867836E-2</c:v>
                </c:pt>
                <c:pt idx="24">
                  <c:v>-1.2179574929177761E-2</c:v>
                </c:pt>
                <c:pt idx="25">
                  <c:v>2.4669086560606956E-3</c:v>
                </c:pt>
                <c:pt idx="26">
                  <c:v>3.0306039843708277E-3</c:v>
                </c:pt>
                <c:pt idx="27">
                  <c:v>-3.7996820174157619E-3</c:v>
                </c:pt>
                <c:pt idx="28">
                  <c:v>-1.259269006550312E-2</c:v>
                </c:pt>
                <c:pt idx="29">
                  <c:v>-5.7385219261050224E-3</c:v>
                </c:pt>
                <c:pt idx="30">
                  <c:v>1.2194608338177204E-2</c:v>
                </c:pt>
                <c:pt idx="31">
                  <c:v>1.661834679543972E-2</c:v>
                </c:pt>
                <c:pt idx="32">
                  <c:v>-4.0112309157848358E-2</c:v>
                </c:pt>
                <c:pt idx="33">
                  <c:v>-3.6711074411869049E-2</c:v>
                </c:pt>
                <c:pt idx="34">
                  <c:v>-2.9767775908112526E-2</c:v>
                </c:pt>
                <c:pt idx="35">
                  <c:v>-1.7775153741240501E-2</c:v>
                </c:pt>
                <c:pt idx="36">
                  <c:v>-4.1043628007173538E-3</c:v>
                </c:pt>
                <c:pt idx="37">
                  <c:v>1.5016202814877033E-2</c:v>
                </c:pt>
                <c:pt idx="38">
                  <c:v>4.3205145746469498E-2</c:v>
                </c:pt>
                <c:pt idx="39">
                  <c:v>7.0249326527118683E-2</c:v>
                </c:pt>
                <c:pt idx="40">
                  <c:v>5.7191051542758942E-2</c:v>
                </c:pt>
                <c:pt idx="41">
                  <c:v>7.6113097369670868E-2</c:v>
                </c:pt>
                <c:pt idx="42">
                  <c:v>8.1791587173938751E-2</c:v>
                </c:pt>
                <c:pt idx="43">
                  <c:v>5.5098887532949448E-2</c:v>
                </c:pt>
                <c:pt idx="44">
                  <c:v>1.1421186849474907E-2</c:v>
                </c:pt>
                <c:pt idx="45">
                  <c:v>-5.511036142706871E-2</c:v>
                </c:pt>
                <c:pt idx="46">
                  <c:v>-9.8102949559688568E-2</c:v>
                </c:pt>
                <c:pt idx="47">
                  <c:v>-0.12840250134468079</c:v>
                </c:pt>
                <c:pt idx="48">
                  <c:v>2.483157254755497E-2</c:v>
                </c:pt>
                <c:pt idx="49">
                  <c:v>1.3592950068414211E-2</c:v>
                </c:pt>
                <c:pt idx="50">
                  <c:v>5.1611126400530338E-3</c:v>
                </c:pt>
                <c:pt idx="51">
                  <c:v>-1.7833759775385261E-3</c:v>
                </c:pt>
                <c:pt idx="52">
                  <c:v>-4.524843767285347E-3</c:v>
                </c:pt>
                <c:pt idx="53">
                  <c:v>-6.0549033805727959E-3</c:v>
                </c:pt>
                <c:pt idx="54">
                  <c:v>-1.2685562483966351E-2</c:v>
                </c:pt>
                <c:pt idx="55">
                  <c:v>-1.8536949530243874E-2</c:v>
                </c:pt>
                <c:pt idx="56">
                  <c:v>3.1116395257413387E-3</c:v>
                </c:pt>
                <c:pt idx="57">
                  <c:v>1.2566959485411644E-3</c:v>
                </c:pt>
                <c:pt idx="58">
                  <c:v>-3.442109446041286E-4</c:v>
                </c:pt>
                <c:pt idx="59">
                  <c:v>-4.045968409627676E-3</c:v>
                </c:pt>
                <c:pt idx="60">
                  <c:v>-2.8160978108644485E-3</c:v>
                </c:pt>
                <c:pt idx="61">
                  <c:v>-2.4343880795640871E-5</c:v>
                </c:pt>
                <c:pt idx="62">
                  <c:v>3.638015768956393E-4</c:v>
                </c:pt>
                <c:pt idx="63">
                  <c:v>2.4984839837998152E-3</c:v>
                </c:pt>
                <c:pt idx="64">
                  <c:v>-6.081125233322382E-3</c:v>
                </c:pt>
                <c:pt idx="65">
                  <c:v>-2.027113176882267E-2</c:v>
                </c:pt>
                <c:pt idx="66">
                  <c:v>-3.1445734202861786E-2</c:v>
                </c:pt>
                <c:pt idx="67">
                  <c:v>-2.7035778388381004E-2</c:v>
                </c:pt>
                <c:pt idx="68">
                  <c:v>-9.5731783658266068E-3</c:v>
                </c:pt>
                <c:pt idx="69">
                  <c:v>7.2840796783566475E-3</c:v>
                </c:pt>
                <c:pt idx="70">
                  <c:v>2.999630942940712E-2</c:v>
                </c:pt>
                <c:pt idx="71">
                  <c:v>5.7126559317111969E-2</c:v>
                </c:pt>
                <c:pt idx="72">
                  <c:v>3.9731569588184357E-2</c:v>
                </c:pt>
                <c:pt idx="73">
                  <c:v>3.5008929669857025E-2</c:v>
                </c:pt>
                <c:pt idx="74">
                  <c:v>2.499089203774929E-2</c:v>
                </c:pt>
                <c:pt idx="75">
                  <c:v>-1.2611419151653536E-5</c:v>
                </c:pt>
                <c:pt idx="76">
                  <c:v>-1.9237147644162178E-2</c:v>
                </c:pt>
                <c:pt idx="77">
                  <c:v>-1.9219394773244858E-2</c:v>
                </c:pt>
                <c:pt idx="78">
                  <c:v>-2.8970714658498764E-2</c:v>
                </c:pt>
                <c:pt idx="79">
                  <c:v>-3.2291524112224579E-2</c:v>
                </c:pt>
                <c:pt idx="80">
                  <c:v>-5.8538787066936493E-2</c:v>
                </c:pt>
                <c:pt idx="81">
                  <c:v>-4.5164741575717926E-2</c:v>
                </c:pt>
                <c:pt idx="82">
                  <c:v>-1.8838489428162575E-2</c:v>
                </c:pt>
                <c:pt idx="83">
                  <c:v>-3.651296254247427E-3</c:v>
                </c:pt>
                <c:pt idx="84">
                  <c:v>9.3931686133146286E-3</c:v>
                </c:pt>
                <c:pt idx="85">
                  <c:v>2.2765938192605972E-2</c:v>
                </c:pt>
                <c:pt idx="86">
                  <c:v>4.0121857076883316E-2</c:v>
                </c:pt>
                <c:pt idx="87">
                  <c:v>5.3912349045276642E-2</c:v>
                </c:pt>
                <c:pt idx="88">
                  <c:v>-4.4891111552715302E-2</c:v>
                </c:pt>
                <c:pt idx="89">
                  <c:v>-3.098706342279911E-2</c:v>
                </c:pt>
                <c:pt idx="90">
                  <c:v>-7.8930500894784927E-3</c:v>
                </c:pt>
                <c:pt idx="91">
                  <c:v>-3.7496439181268215E-3</c:v>
                </c:pt>
                <c:pt idx="92">
                  <c:v>4.5705568045377731E-3</c:v>
                </c:pt>
                <c:pt idx="93">
                  <c:v>1.6671840101480484E-2</c:v>
                </c:pt>
                <c:pt idx="94">
                  <c:v>3.0934754759073257E-2</c:v>
                </c:pt>
                <c:pt idx="95">
                  <c:v>3.53437140583992E-2</c:v>
                </c:pt>
                <c:pt idx="96">
                  <c:v>-4.0287815034389496E-2</c:v>
                </c:pt>
                <c:pt idx="97">
                  <c:v>-1.2733587063848972E-2</c:v>
                </c:pt>
                <c:pt idx="98">
                  <c:v>1.2721246108412743E-2</c:v>
                </c:pt>
                <c:pt idx="99">
                  <c:v>2.3414963856339455E-2</c:v>
                </c:pt>
                <c:pt idx="100">
                  <c:v>8.8441204279661179E-3</c:v>
                </c:pt>
                <c:pt idx="101">
                  <c:v>2.7945982292294502E-3</c:v>
                </c:pt>
                <c:pt idx="102">
                  <c:v>8.636091835796833E-3</c:v>
                </c:pt>
                <c:pt idx="103">
                  <c:v>-3.3896204549819231E-3</c:v>
                </c:pt>
                <c:pt idx="104">
                  <c:v>-6.5188787877559662E-2</c:v>
                </c:pt>
                <c:pt idx="105">
                  <c:v>-5.3575702011585236E-2</c:v>
                </c:pt>
                <c:pt idx="106">
                  <c:v>-2.2457951679825783E-2</c:v>
                </c:pt>
                <c:pt idx="107">
                  <c:v>7.5054713524878025E-3</c:v>
                </c:pt>
                <c:pt idx="108">
                  <c:v>2.2004289552569389E-2</c:v>
                </c:pt>
                <c:pt idx="109">
                  <c:v>2.7174267917871475E-2</c:v>
                </c:pt>
                <c:pt idx="110">
                  <c:v>3.9757762104272842E-2</c:v>
                </c:pt>
                <c:pt idx="111">
                  <c:v>4.4780649244785309E-2</c:v>
                </c:pt>
                <c:pt idx="112">
                  <c:v>6.5049894154071808E-2</c:v>
                </c:pt>
                <c:pt idx="113">
                  <c:v>6.4961157739162445E-2</c:v>
                </c:pt>
                <c:pt idx="114">
                  <c:v>5.5223263800144196E-2</c:v>
                </c:pt>
                <c:pt idx="115">
                  <c:v>3.2391276210546494E-2</c:v>
                </c:pt>
                <c:pt idx="116">
                  <c:v>1.9517671316862106E-3</c:v>
                </c:pt>
                <c:pt idx="117">
                  <c:v>-4.5502956956624985E-2</c:v>
                </c:pt>
                <c:pt idx="118">
                  <c:v>-7.8182987868785858E-2</c:v>
                </c:pt>
                <c:pt idx="119">
                  <c:v>-9.5891408622264862E-2</c:v>
                </c:pt>
                <c:pt idx="120">
                  <c:v>-1.8667192198336124E-3</c:v>
                </c:pt>
                <c:pt idx="121">
                  <c:v>-3.0545661225914955E-2</c:v>
                </c:pt>
                <c:pt idx="122">
                  <c:v>-6.3529126346111298E-2</c:v>
                </c:pt>
                <c:pt idx="123">
                  <c:v>-6.3051886856555939E-2</c:v>
                </c:pt>
                <c:pt idx="124">
                  <c:v>-2.8319912031292915E-2</c:v>
                </c:pt>
                <c:pt idx="125">
                  <c:v>4.2141471058130264E-2</c:v>
                </c:pt>
                <c:pt idx="126">
                  <c:v>7.3672331869602203E-2</c:v>
                </c:pt>
                <c:pt idx="127">
                  <c:v>7.1499504148960114E-2</c:v>
                </c:pt>
                <c:pt idx="128">
                  <c:v>-4.8344992101192474E-2</c:v>
                </c:pt>
                <c:pt idx="129">
                  <c:v>-2.4443337693810463E-2</c:v>
                </c:pt>
                <c:pt idx="130">
                  <c:v>-5.7893930934369564E-3</c:v>
                </c:pt>
                <c:pt idx="131">
                  <c:v>2.0132609643042088E-3</c:v>
                </c:pt>
                <c:pt idx="132">
                  <c:v>5.6363772600889206E-3</c:v>
                </c:pt>
                <c:pt idx="133">
                  <c:v>1.1118446476757526E-2</c:v>
                </c:pt>
                <c:pt idx="134">
                  <c:v>2.0216260105371475E-2</c:v>
                </c:pt>
                <c:pt idx="135">
                  <c:v>3.9593376219272614E-2</c:v>
                </c:pt>
                <c:pt idx="136">
                  <c:v>9.7854817286133766E-3</c:v>
                </c:pt>
                <c:pt idx="137">
                  <c:v>-7.6234126463532448E-3</c:v>
                </c:pt>
                <c:pt idx="138">
                  <c:v>-1.5311622992157936E-2</c:v>
                </c:pt>
                <c:pt idx="139">
                  <c:v>-2.0087694749236107E-2</c:v>
                </c:pt>
                <c:pt idx="140">
                  <c:v>-8.796321228146553E-3</c:v>
                </c:pt>
                <c:pt idx="141">
                  <c:v>1.307940948754549E-2</c:v>
                </c:pt>
                <c:pt idx="142">
                  <c:v>1.6005281358957291E-2</c:v>
                </c:pt>
                <c:pt idx="143">
                  <c:v>1.2948877178132534E-2</c:v>
                </c:pt>
                <c:pt idx="144">
                  <c:v>1.8051603808999062E-2</c:v>
                </c:pt>
                <c:pt idx="145">
                  <c:v>1.092927809804678E-2</c:v>
                </c:pt>
                <c:pt idx="146">
                  <c:v>1.4653264079242945E-3</c:v>
                </c:pt>
                <c:pt idx="147">
                  <c:v>-1.2647693045437336E-2</c:v>
                </c:pt>
                <c:pt idx="148">
                  <c:v>-1.186557300388813E-2</c:v>
                </c:pt>
                <c:pt idx="149">
                  <c:v>2.4401294067502022E-3</c:v>
                </c:pt>
                <c:pt idx="150">
                  <c:v>-2.0035160705447197E-3</c:v>
                </c:pt>
                <c:pt idx="151">
                  <c:v>-6.3695544376969337E-3</c:v>
                </c:pt>
                <c:pt idx="152">
                  <c:v>-3.1920872628688812E-2</c:v>
                </c:pt>
                <c:pt idx="153">
                  <c:v>-2.3312652483582497E-3</c:v>
                </c:pt>
                <c:pt idx="154">
                  <c:v>-5.5688031716272235E-4</c:v>
                </c:pt>
                <c:pt idx="155">
                  <c:v>-3.9916089735925198E-3</c:v>
                </c:pt>
                <c:pt idx="156">
                  <c:v>1.5416009351611137E-2</c:v>
                </c:pt>
                <c:pt idx="157">
                  <c:v>3.2368157058954239E-2</c:v>
                </c:pt>
                <c:pt idx="158">
                  <c:v>4.4316994026303291E-3</c:v>
                </c:pt>
                <c:pt idx="159">
                  <c:v>-1.3415240682661533E-2</c:v>
                </c:pt>
                <c:pt idx="160">
                  <c:v>-1.0870895348489285E-2</c:v>
                </c:pt>
                <c:pt idx="161">
                  <c:v>-1.7173061147332191E-2</c:v>
                </c:pt>
                <c:pt idx="162">
                  <c:v>-2.7592116966843605E-2</c:v>
                </c:pt>
                <c:pt idx="163">
                  <c:v>-2.8253084048628807E-2</c:v>
                </c:pt>
                <c:pt idx="164">
                  <c:v>-7.7701974660158157E-3</c:v>
                </c:pt>
                <c:pt idx="165">
                  <c:v>1.739189401268959E-2</c:v>
                </c:pt>
                <c:pt idx="166">
                  <c:v>4.3002579361200333E-2</c:v>
                </c:pt>
                <c:pt idx="167">
                  <c:v>3.1264878809452057E-2</c:v>
                </c:pt>
                <c:pt idx="168">
                  <c:v>-5.0382227636873722E-3</c:v>
                </c:pt>
                <c:pt idx="169">
                  <c:v>-5.3415382280945778E-3</c:v>
                </c:pt>
                <c:pt idx="170">
                  <c:v>-5.7870685122907162E-3</c:v>
                </c:pt>
                <c:pt idx="171">
                  <c:v>-6.2248758040368557E-3</c:v>
                </c:pt>
                <c:pt idx="172">
                  <c:v>-3.1246434082277119E-4</c:v>
                </c:pt>
                <c:pt idx="173">
                  <c:v>3.2024132087826729E-3</c:v>
                </c:pt>
                <c:pt idx="174">
                  <c:v>6.8058716133236885E-3</c:v>
                </c:pt>
                <c:pt idx="175">
                  <c:v>1.2695885263383389E-2</c:v>
                </c:pt>
                <c:pt idx="176">
                  <c:v>1.0260322131216526E-2</c:v>
                </c:pt>
                <c:pt idx="177">
                  <c:v>6.7340647801756859E-3</c:v>
                </c:pt>
                <c:pt idx="178">
                  <c:v>1.7493253573775291E-2</c:v>
                </c:pt>
                <c:pt idx="179">
                  <c:v>2.6825601235032082E-2</c:v>
                </c:pt>
                <c:pt idx="180">
                  <c:v>1.6251368448138237E-2</c:v>
                </c:pt>
                <c:pt idx="181">
                  <c:v>-6.2926663085818291E-3</c:v>
                </c:pt>
                <c:pt idx="182">
                  <c:v>-2.6433315128087997E-2</c:v>
                </c:pt>
                <c:pt idx="183">
                  <c:v>-4.483862966299057E-2</c:v>
                </c:pt>
                <c:pt idx="184">
                  <c:v>-8.4831630811095238E-3</c:v>
                </c:pt>
                <c:pt idx="185">
                  <c:v>-7.3440456762909889E-3</c:v>
                </c:pt>
                <c:pt idx="186">
                  <c:v>-8.9456681162118912E-3</c:v>
                </c:pt>
                <c:pt idx="187">
                  <c:v>-1.7054429044947028E-3</c:v>
                </c:pt>
                <c:pt idx="188">
                  <c:v>-6.2042940407991409E-3</c:v>
                </c:pt>
                <c:pt idx="189">
                  <c:v>1.7516063526272774E-3</c:v>
                </c:pt>
                <c:pt idx="190">
                  <c:v>1.523322332650423E-2</c:v>
                </c:pt>
                <c:pt idx="191">
                  <c:v>1.56977828592062E-2</c:v>
                </c:pt>
                <c:pt idx="192">
                  <c:v>-2.8517743572592735E-2</c:v>
                </c:pt>
                <c:pt idx="193">
                  <c:v>-3.9530821144580841E-2</c:v>
                </c:pt>
                <c:pt idx="194">
                  <c:v>-5.2517645061016083E-2</c:v>
                </c:pt>
                <c:pt idx="195">
                  <c:v>-3.4167591482400894E-2</c:v>
                </c:pt>
                <c:pt idx="196">
                  <c:v>5.0595235079526901E-3</c:v>
                </c:pt>
                <c:pt idx="197">
                  <c:v>5.3541336208581924E-2</c:v>
                </c:pt>
                <c:pt idx="198">
                  <c:v>6.1327610164880753E-2</c:v>
                </c:pt>
                <c:pt idx="199">
                  <c:v>3.4805335104465485E-2</c:v>
                </c:pt>
                <c:pt idx="200">
                  <c:v>-3.1295321881771088E-2</c:v>
                </c:pt>
                <c:pt idx="201">
                  <c:v>-2.6250192895531654E-2</c:v>
                </c:pt>
                <c:pt idx="202">
                  <c:v>-2.1396154537796974E-2</c:v>
                </c:pt>
                <c:pt idx="203">
                  <c:v>-1.3783995993435383E-2</c:v>
                </c:pt>
                <c:pt idx="204">
                  <c:v>-1.3627009466290474E-2</c:v>
                </c:pt>
                <c:pt idx="205">
                  <c:v>1.9580470398068428E-3</c:v>
                </c:pt>
                <c:pt idx="206">
                  <c:v>4.1303310543298721E-2</c:v>
                </c:pt>
                <c:pt idx="207">
                  <c:v>6.309131532907486E-2</c:v>
                </c:pt>
                <c:pt idx="208">
                  <c:v>1.3230958022177219E-2</c:v>
                </c:pt>
                <c:pt idx="209">
                  <c:v>1.2593857012689114E-2</c:v>
                </c:pt>
                <c:pt idx="210">
                  <c:v>1.4031117781996727E-2</c:v>
                </c:pt>
                <c:pt idx="211">
                  <c:v>6.199235562235117E-3</c:v>
                </c:pt>
                <c:pt idx="212">
                  <c:v>-5.9609580785036087E-3</c:v>
                </c:pt>
                <c:pt idx="213">
                  <c:v>-1.0748530738055706E-2</c:v>
                </c:pt>
                <c:pt idx="214">
                  <c:v>-1.1829043738543987E-2</c:v>
                </c:pt>
                <c:pt idx="215">
                  <c:v>-1.7516637220978737E-2</c:v>
                </c:pt>
                <c:pt idx="216">
                  <c:v>-5.3957395255565643E-2</c:v>
                </c:pt>
                <c:pt idx="217">
                  <c:v>-3.7662006914615631E-2</c:v>
                </c:pt>
                <c:pt idx="218">
                  <c:v>-2.5803470984101295E-2</c:v>
                </c:pt>
                <c:pt idx="219">
                  <c:v>-2.685234509408474E-2</c:v>
                </c:pt>
                <c:pt idx="220">
                  <c:v>-9.8715908825397491E-4</c:v>
                </c:pt>
                <c:pt idx="221">
                  <c:v>3.52785624563694E-2</c:v>
                </c:pt>
                <c:pt idx="222">
                  <c:v>4.932427778840065E-2</c:v>
                </c:pt>
                <c:pt idx="223">
                  <c:v>6.0659535229206085E-2</c:v>
                </c:pt>
                <c:pt idx="224">
                  <c:v>-2.9395928606390953E-2</c:v>
                </c:pt>
                <c:pt idx="225">
                  <c:v>2.1155829017516226E-4</c:v>
                </c:pt>
                <c:pt idx="226">
                  <c:v>2.0076392684131861E-3</c:v>
                </c:pt>
                <c:pt idx="227">
                  <c:v>-1.2534056790173054E-2</c:v>
                </c:pt>
                <c:pt idx="228">
                  <c:v>-9.4373691827058792E-3</c:v>
                </c:pt>
                <c:pt idx="229">
                  <c:v>3.8519548252224922E-3</c:v>
                </c:pt>
                <c:pt idx="230">
                  <c:v>5.5211232975125313E-3</c:v>
                </c:pt>
                <c:pt idx="231">
                  <c:v>3.9775080978870392E-2</c:v>
                </c:pt>
                <c:pt idx="232">
                  <c:v>3.636787086725235E-2</c:v>
                </c:pt>
                <c:pt idx="233">
                  <c:v>2.073233388364315E-2</c:v>
                </c:pt>
                <c:pt idx="234">
                  <c:v>5.8472217060625553E-3</c:v>
                </c:pt>
                <c:pt idx="235">
                  <c:v>-4.0381602011620998E-3</c:v>
                </c:pt>
                <c:pt idx="236">
                  <c:v>-8.4445048123598099E-3</c:v>
                </c:pt>
                <c:pt idx="237">
                  <c:v>-1.2954558245837688E-2</c:v>
                </c:pt>
                <c:pt idx="238">
                  <c:v>-1.6850318759679794E-2</c:v>
                </c:pt>
                <c:pt idx="239">
                  <c:v>-2.0659888163208961E-2</c:v>
                </c:pt>
                <c:pt idx="240">
                  <c:v>4.7358937561511993E-2</c:v>
                </c:pt>
                <c:pt idx="241">
                  <c:v>3.8337849080562592E-2</c:v>
                </c:pt>
                <c:pt idx="242">
                  <c:v>1.8686508759856224E-2</c:v>
                </c:pt>
                <c:pt idx="243">
                  <c:v>-4.3641082011163235E-3</c:v>
                </c:pt>
                <c:pt idx="244">
                  <c:v>-1.1061178520321846E-2</c:v>
                </c:pt>
                <c:pt idx="245">
                  <c:v>-1.4546985737979412E-2</c:v>
                </c:pt>
                <c:pt idx="246">
                  <c:v>-2.3452397435903549E-2</c:v>
                </c:pt>
                <c:pt idx="247">
                  <c:v>-5.0958625972270966E-2</c:v>
                </c:pt>
                <c:pt idx="248">
                  <c:v>8.0396318808197975E-3</c:v>
                </c:pt>
                <c:pt idx="249">
                  <c:v>-7.816636934876442E-4</c:v>
                </c:pt>
                <c:pt idx="250">
                  <c:v>-3.1557620968669653E-3</c:v>
                </c:pt>
                <c:pt idx="251">
                  <c:v>-3.3384612761437893E-3</c:v>
                </c:pt>
                <c:pt idx="252">
                  <c:v>1.3911556452512741E-3</c:v>
                </c:pt>
                <c:pt idx="253">
                  <c:v>-1.6159070655703545E-3</c:v>
                </c:pt>
                <c:pt idx="254">
                  <c:v>-7.6332228491082788E-4</c:v>
                </c:pt>
                <c:pt idx="255">
                  <c:v>2.243283815914765E-4</c:v>
                </c:pt>
                <c:pt idx="256">
                  <c:v>5.3778357803821564E-2</c:v>
                </c:pt>
                <c:pt idx="257">
                  <c:v>3.5995624959468842E-2</c:v>
                </c:pt>
                <c:pt idx="258">
                  <c:v>1.8021797761321068E-2</c:v>
                </c:pt>
                <c:pt idx="259">
                  <c:v>6.4840406412258744E-4</c:v>
                </c:pt>
                <c:pt idx="260">
                  <c:v>-1.1952625587582588E-2</c:v>
                </c:pt>
                <c:pt idx="261">
                  <c:v>-2.346169576048851E-2</c:v>
                </c:pt>
                <c:pt idx="262">
                  <c:v>-3.3715125173330307E-2</c:v>
                </c:pt>
                <c:pt idx="263">
                  <c:v>-3.9314739406108856E-2</c:v>
                </c:pt>
                <c:pt idx="264">
                  <c:v>-3.382773429621011E-4</c:v>
                </c:pt>
                <c:pt idx="265">
                  <c:v>-2.2561082616448402E-2</c:v>
                </c:pt>
                <c:pt idx="266">
                  <c:v>-2.2958690300583839E-2</c:v>
                </c:pt>
                <c:pt idx="267">
                  <c:v>-1.1085753329098225E-2</c:v>
                </c:pt>
                <c:pt idx="268">
                  <c:v>1.9100736826658249E-3</c:v>
                </c:pt>
                <c:pt idx="269">
                  <c:v>-2.7945174952037632E-4</c:v>
                </c:pt>
                <c:pt idx="270">
                  <c:v>1.8139097839593887E-2</c:v>
                </c:pt>
                <c:pt idx="271">
                  <c:v>3.7174083292484283E-2</c:v>
                </c:pt>
                <c:pt idx="272">
                  <c:v>-4.1302017867565155E-2</c:v>
                </c:pt>
                <c:pt idx="273">
                  <c:v>-3.2296754419803619E-2</c:v>
                </c:pt>
                <c:pt idx="274">
                  <c:v>-1.3029122725129128E-2</c:v>
                </c:pt>
                <c:pt idx="275">
                  <c:v>2.7640247717499733E-2</c:v>
                </c:pt>
                <c:pt idx="276">
                  <c:v>-1.7688143998384476E-3</c:v>
                </c:pt>
                <c:pt idx="277">
                  <c:v>3.796862147282809E-4</c:v>
                </c:pt>
                <c:pt idx="278">
                  <c:v>1.5156631357967854E-2</c:v>
                </c:pt>
                <c:pt idx="279">
                  <c:v>4.5220144093036652E-2</c:v>
                </c:pt>
                <c:pt idx="280">
                  <c:v>-1.3427159748971462E-2</c:v>
                </c:pt>
                <c:pt idx="281">
                  <c:v>-8.5992300882935524E-3</c:v>
                </c:pt>
                <c:pt idx="282">
                  <c:v>-4.7300993464887142E-3</c:v>
                </c:pt>
                <c:pt idx="283">
                  <c:v>-4.4791153632104397E-3</c:v>
                </c:pt>
                <c:pt idx="284">
                  <c:v>-7.4680335819721222E-4</c:v>
                </c:pt>
                <c:pt idx="285">
                  <c:v>2.7535306289792061E-3</c:v>
                </c:pt>
                <c:pt idx="286">
                  <c:v>1.1326824314892292E-2</c:v>
                </c:pt>
                <c:pt idx="287">
                  <c:v>1.7902052029967308E-2</c:v>
                </c:pt>
                <c:pt idx="288">
                  <c:v>5.5694468319416046E-2</c:v>
                </c:pt>
                <c:pt idx="289">
                  <c:v>4.613717645406723E-2</c:v>
                </c:pt>
                <c:pt idx="290">
                  <c:v>3.1928218901157379E-2</c:v>
                </c:pt>
                <c:pt idx="291">
                  <c:v>7.0234187878668308E-3</c:v>
                </c:pt>
                <c:pt idx="292">
                  <c:v>-2.0937727764248848E-2</c:v>
                </c:pt>
                <c:pt idx="293">
                  <c:v>-3.6258157342672348E-2</c:v>
                </c:pt>
                <c:pt idx="294">
                  <c:v>-4.0411647409200668E-2</c:v>
                </c:pt>
                <c:pt idx="295">
                  <c:v>-4.3175749480724335E-2</c:v>
                </c:pt>
                <c:pt idx="296">
                  <c:v>7.6105691492557526E-2</c:v>
                </c:pt>
                <c:pt idx="297">
                  <c:v>6.5980486571788788E-2</c:v>
                </c:pt>
                <c:pt idx="298">
                  <c:v>5.2488692104816437E-2</c:v>
                </c:pt>
                <c:pt idx="299">
                  <c:v>4.5931633561849594E-2</c:v>
                </c:pt>
                <c:pt idx="300">
                  <c:v>4.2261313647031784E-3</c:v>
                </c:pt>
                <c:pt idx="301">
                  <c:v>-5.315801128745079E-2</c:v>
                </c:pt>
                <c:pt idx="302">
                  <c:v>-9.111543744802475E-2</c:v>
                </c:pt>
                <c:pt idx="303">
                  <c:v>-0.10045918077230453</c:v>
                </c:pt>
                <c:pt idx="304">
                  <c:v>2.9853442683815956E-2</c:v>
                </c:pt>
                <c:pt idx="305">
                  <c:v>2.2935202345252037E-2</c:v>
                </c:pt>
                <c:pt idx="306">
                  <c:v>9.4460304826498032E-3</c:v>
                </c:pt>
                <c:pt idx="307">
                  <c:v>-1.8732001772150397E-3</c:v>
                </c:pt>
                <c:pt idx="308">
                  <c:v>-6.1021614819765091E-3</c:v>
                </c:pt>
                <c:pt idx="309">
                  <c:v>-1.1330808512866497E-2</c:v>
                </c:pt>
                <c:pt idx="310">
                  <c:v>-1.809784397482872E-2</c:v>
                </c:pt>
                <c:pt idx="311">
                  <c:v>-2.4830663576722145E-2</c:v>
                </c:pt>
                <c:pt idx="312">
                  <c:v>-4.7046147286891937E-2</c:v>
                </c:pt>
                <c:pt idx="313">
                  <c:v>-2.7746686711907387E-2</c:v>
                </c:pt>
                <c:pt idx="314">
                  <c:v>-2.2467912640422583E-3</c:v>
                </c:pt>
                <c:pt idx="315">
                  <c:v>4.9053903669118881E-2</c:v>
                </c:pt>
                <c:pt idx="316">
                  <c:v>2.1227939054369926E-2</c:v>
                </c:pt>
                <c:pt idx="317">
                  <c:v>4.8410641029477119E-3</c:v>
                </c:pt>
                <c:pt idx="318">
                  <c:v>7.7569233253598213E-3</c:v>
                </c:pt>
                <c:pt idx="319">
                  <c:v>-5.8402055874466896E-3</c:v>
                </c:pt>
                <c:pt idx="320">
                  <c:v>2.0575353875756264E-2</c:v>
                </c:pt>
                <c:pt idx="321">
                  <c:v>1.2850305996835232E-2</c:v>
                </c:pt>
                <c:pt idx="322">
                  <c:v>5.8616162277758121E-3</c:v>
                </c:pt>
                <c:pt idx="323">
                  <c:v>2.3522623814642429E-3</c:v>
                </c:pt>
                <c:pt idx="324">
                  <c:v>-2.566920593380928E-3</c:v>
                </c:pt>
                <c:pt idx="325">
                  <c:v>-9.5806075260043144E-3</c:v>
                </c:pt>
                <c:pt idx="326">
                  <c:v>-1.2408013455569744E-2</c:v>
                </c:pt>
                <c:pt idx="327">
                  <c:v>-1.7083996906876564E-2</c:v>
                </c:pt>
                <c:pt idx="328">
                  <c:v>7.5132377445697784E-2</c:v>
                </c:pt>
                <c:pt idx="329">
                  <c:v>5.2769862115383148E-2</c:v>
                </c:pt>
                <c:pt idx="330">
                  <c:v>2.908853255212307E-2</c:v>
                </c:pt>
                <c:pt idx="331">
                  <c:v>2.8874524869024754E-3</c:v>
                </c:pt>
                <c:pt idx="332">
                  <c:v>-2.2110151126980782E-2</c:v>
                </c:pt>
                <c:pt idx="333">
                  <c:v>-3.4610088914632797E-2</c:v>
                </c:pt>
                <c:pt idx="334">
                  <c:v>-4.6345528215169907E-2</c:v>
                </c:pt>
                <c:pt idx="335">
                  <c:v>-5.6812457740306854E-2</c:v>
                </c:pt>
                <c:pt idx="336">
                  <c:v>-0.11259590834379196</c:v>
                </c:pt>
                <c:pt idx="337">
                  <c:v>-8.4162868559360504E-2</c:v>
                </c:pt>
                <c:pt idx="338">
                  <c:v>-4.804142564535141E-2</c:v>
                </c:pt>
                <c:pt idx="339">
                  <c:v>1.382912159897387E-3</c:v>
                </c:pt>
                <c:pt idx="340">
                  <c:v>4.5330952852964401E-2</c:v>
                </c:pt>
                <c:pt idx="341">
                  <c:v>4.9798551946878433E-2</c:v>
                </c:pt>
                <c:pt idx="342">
                  <c:v>6.8530865013599396E-2</c:v>
                </c:pt>
                <c:pt idx="343">
                  <c:v>7.9756923019886017E-2</c:v>
                </c:pt>
                <c:pt idx="344">
                  <c:v>1.3504314119927585E-4</c:v>
                </c:pt>
                <c:pt idx="345">
                  <c:v>-5.0801876932382584E-4</c:v>
                </c:pt>
                <c:pt idx="346">
                  <c:v>-2.1306218113750219E-3</c:v>
                </c:pt>
                <c:pt idx="347">
                  <c:v>-4.9536498408997431E-5</c:v>
                </c:pt>
                <c:pt idx="348">
                  <c:v>5.4086875170469284E-3</c:v>
                </c:pt>
                <c:pt idx="349">
                  <c:v>4.5461999252438545E-3</c:v>
                </c:pt>
                <c:pt idx="350">
                  <c:v>-2.0595923706423491E-4</c:v>
                </c:pt>
                <c:pt idx="351">
                  <c:v>-7.1957940235733986E-3</c:v>
                </c:pt>
                <c:pt idx="352">
                  <c:v>8.8277764618396759E-2</c:v>
                </c:pt>
                <c:pt idx="353">
                  <c:v>8.0649517476558685E-2</c:v>
                </c:pt>
                <c:pt idx="354">
                  <c:v>6.4856745302677155E-2</c:v>
                </c:pt>
                <c:pt idx="355">
                  <c:v>2.8640890493988991E-2</c:v>
                </c:pt>
                <c:pt idx="356">
                  <c:v>-1.1548982933163643E-2</c:v>
                </c:pt>
                <c:pt idx="357">
                  <c:v>-4.9645300954580307E-2</c:v>
                </c:pt>
                <c:pt idx="358">
                  <c:v>-8.4637276828289032E-2</c:v>
                </c:pt>
                <c:pt idx="359">
                  <c:v>-0.11659335345029831</c:v>
                </c:pt>
                <c:pt idx="360">
                  <c:v>-9.4405924901366234E-3</c:v>
                </c:pt>
                <c:pt idx="361">
                  <c:v>-8.2366252318024635E-3</c:v>
                </c:pt>
                <c:pt idx="362">
                  <c:v>-2.3416662588715553E-2</c:v>
                </c:pt>
                <c:pt idx="363">
                  <c:v>-3.2313559204339981E-2</c:v>
                </c:pt>
                <c:pt idx="364">
                  <c:v>-7.0108044892549515E-3</c:v>
                </c:pt>
                <c:pt idx="365">
                  <c:v>1.488757599145174E-2</c:v>
                </c:pt>
                <c:pt idx="366">
                  <c:v>2.7647498995065689E-2</c:v>
                </c:pt>
                <c:pt idx="367">
                  <c:v>3.7883169949054718E-2</c:v>
                </c:pt>
                <c:pt idx="368">
                  <c:v>-7.1665854193270206E-3</c:v>
                </c:pt>
                <c:pt idx="369">
                  <c:v>-6.742485798895359E-3</c:v>
                </c:pt>
                <c:pt idx="370">
                  <c:v>-5.6442557834088802E-3</c:v>
                </c:pt>
                <c:pt idx="371">
                  <c:v>-7.3270848952233791E-3</c:v>
                </c:pt>
                <c:pt idx="372">
                  <c:v>-2.8556752949953079E-3</c:v>
                </c:pt>
                <c:pt idx="373">
                  <c:v>2.7014957740902901E-3</c:v>
                </c:pt>
                <c:pt idx="374">
                  <c:v>9.970162995159626E-3</c:v>
                </c:pt>
                <c:pt idx="375">
                  <c:v>1.7064427956938744E-2</c:v>
                </c:pt>
                <c:pt idx="376">
                  <c:v>6.55389204621315E-2</c:v>
                </c:pt>
                <c:pt idx="377">
                  <c:v>4.9403421580791473E-2</c:v>
                </c:pt>
                <c:pt idx="378">
                  <c:v>3.2428808510303497E-2</c:v>
                </c:pt>
                <c:pt idx="379">
                  <c:v>1.4665598981082439E-2</c:v>
                </c:pt>
                <c:pt idx="380">
                  <c:v>-2.7603078633546829E-3</c:v>
                </c:pt>
                <c:pt idx="381">
                  <c:v>-3.059866651892662E-2</c:v>
                </c:pt>
                <c:pt idx="382">
                  <c:v>-5.5535580962896347E-2</c:v>
                </c:pt>
                <c:pt idx="383">
                  <c:v>-7.3142193257808685E-2</c:v>
                </c:pt>
                <c:pt idx="384">
                  <c:v>4.381183534860611E-2</c:v>
                </c:pt>
                <c:pt idx="385">
                  <c:v>3.0119648203253746E-2</c:v>
                </c:pt>
                <c:pt idx="386">
                  <c:v>1.7000501975417137E-2</c:v>
                </c:pt>
                <c:pt idx="387">
                  <c:v>3.7336298264563084E-3</c:v>
                </c:pt>
                <c:pt idx="388">
                  <c:v>-7.805483415722847E-3</c:v>
                </c:pt>
                <c:pt idx="389">
                  <c:v>-2.2170331329107285E-2</c:v>
                </c:pt>
                <c:pt idx="390">
                  <c:v>-3.1387593597173691E-2</c:v>
                </c:pt>
                <c:pt idx="391">
                  <c:v>-3.330221027135849E-2</c:v>
                </c:pt>
                <c:pt idx="392">
                  <c:v>3.4039415419101715E-2</c:v>
                </c:pt>
                <c:pt idx="393">
                  <c:v>1.8955579027533531E-2</c:v>
                </c:pt>
                <c:pt idx="394">
                  <c:v>-7.1073113940656185E-3</c:v>
                </c:pt>
                <c:pt idx="395">
                  <c:v>-1.1883382685482502E-2</c:v>
                </c:pt>
                <c:pt idx="396">
                  <c:v>-1.1726396158337593E-2</c:v>
                </c:pt>
                <c:pt idx="397">
                  <c:v>-1.1077071540057659E-2</c:v>
                </c:pt>
                <c:pt idx="398">
                  <c:v>-7.4736131355166435E-3</c:v>
                </c:pt>
                <c:pt idx="399">
                  <c:v>-3.7272211629897356E-3</c:v>
                </c:pt>
                <c:pt idx="400">
                  <c:v>-1.3587764464318752E-2</c:v>
                </c:pt>
                <c:pt idx="401">
                  <c:v>-1.4767890388611704E-4</c:v>
                </c:pt>
                <c:pt idx="402">
                  <c:v>3.5086371004581451E-2</c:v>
                </c:pt>
                <c:pt idx="403">
                  <c:v>6.147327646613121E-2</c:v>
                </c:pt>
                <c:pt idx="404">
                  <c:v>5.6608211249113083E-2</c:v>
                </c:pt>
                <c:pt idx="405">
                  <c:v>5.5998610332608223E-3</c:v>
                </c:pt>
                <c:pt idx="406">
                  <c:v>-7.0066563785076141E-2</c:v>
                </c:pt>
                <c:pt idx="407">
                  <c:v>-7.4965707957744598E-2</c:v>
                </c:pt>
                <c:pt idx="408">
                  <c:v>-1.0949335061013699E-2</c:v>
                </c:pt>
                <c:pt idx="409">
                  <c:v>-2.1330604329705238E-2</c:v>
                </c:pt>
                <c:pt idx="410">
                  <c:v>-2.3607188835740089E-2</c:v>
                </c:pt>
                <c:pt idx="411">
                  <c:v>-1.636696420609951E-2</c:v>
                </c:pt>
                <c:pt idx="412">
                  <c:v>-1.4221327379345894E-2</c:v>
                </c:pt>
                <c:pt idx="413">
                  <c:v>1.9644949585199356E-2</c:v>
                </c:pt>
                <c:pt idx="414">
                  <c:v>3.1542036682367325E-2</c:v>
                </c:pt>
                <c:pt idx="415">
                  <c:v>3.5288430750370026E-2</c:v>
                </c:pt>
                <c:pt idx="416">
                  <c:v>-5.5225701071321964E-3</c:v>
                </c:pt>
                <c:pt idx="417">
                  <c:v>-2.5709951296448708E-3</c:v>
                </c:pt>
                <c:pt idx="418">
                  <c:v>3.0741153750568628E-3</c:v>
                </c:pt>
                <c:pt idx="419">
                  <c:v>-1.7019560327753425E-3</c:v>
                </c:pt>
                <c:pt idx="420">
                  <c:v>-1.5449691563844681E-3</c:v>
                </c:pt>
                <c:pt idx="421">
                  <c:v>-8.9564459631219506E-4</c:v>
                </c:pt>
                <c:pt idx="422">
                  <c:v>2.7078138664364815E-3</c:v>
                </c:pt>
                <c:pt idx="423">
                  <c:v>6.4542060717940331E-3</c:v>
                </c:pt>
              </c:numCache>
            </c:numRef>
          </c:yVal>
          <c:smooth val="0"/>
          <c:extLst>
            <c:ext xmlns:c16="http://schemas.microsoft.com/office/drawing/2014/chart" uri="{C3380CC4-5D6E-409C-BE32-E72D297353CC}">
              <c16:uniqueId val="{00000001-4983-4315-B4F8-E2C78B100528}"/>
            </c:ext>
          </c:extLst>
        </c:ser>
        <c:dLbls>
          <c:showLegendKey val="0"/>
          <c:showVal val="0"/>
          <c:showCatName val="0"/>
          <c:showSerName val="0"/>
          <c:showPercent val="0"/>
          <c:showBubbleSize val="0"/>
        </c:dLbls>
        <c:axId val="451429888"/>
        <c:axId val="451431808"/>
      </c:scatterChart>
      <c:valAx>
        <c:axId val="451429888"/>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LiquidLiabilities</a:t>
                </a:r>
                <a:r>
                  <a:rPr lang="en-NZ" sz="800" baseline="0">
                    <a:solidFill>
                      <a:sysClr val="windowText" lastClr="000000"/>
                    </a:solidFill>
                    <a:latin typeface="Times New Roman" panose="02020603050405020304" pitchFamily="18" charset="0"/>
                    <a:cs typeface="Times New Roman" panose="02020603050405020304" pitchFamily="18" charset="0"/>
                  </a:rPr>
                  <a:t> </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1431808"/>
        <c:crosses val="autoZero"/>
        <c:crossBetween val="midCat"/>
      </c:valAx>
      <c:valAx>
        <c:axId val="45143180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1429888"/>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LTO</a:t>
            </a:r>
          </a:p>
        </c:rich>
      </c:tx>
      <c:overlay val="0"/>
      <c:spPr>
        <a:noFill/>
        <a:ln>
          <a:noFill/>
        </a:ln>
        <a:effectLst/>
      </c:spPr>
    </c:title>
    <c:autoTitleDeleted val="0"/>
    <c:plotArea>
      <c:layout/>
      <c:scatterChart>
        <c:scatterStyle val="lineMarker"/>
        <c:varyColors val="0"/>
        <c:ser>
          <c:idx val="0"/>
          <c:order val="0"/>
          <c:tx>
            <c:strRef>
              <c:f>Sheet1!$G$1</c:f>
              <c:strCache>
                <c:ptCount val="1"/>
                <c:pt idx="0">
                  <c:v>FD1Res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Sheet1!$G$2:$G$569</c:f>
              <c:numCache>
                <c:formatCode>0.00</c:formatCode>
                <c:ptCount val="144"/>
                <c:pt idx="0">
                  <c:v>-0.11514540761709213</c:v>
                </c:pt>
                <c:pt idx="1">
                  <c:v>-3.298703208565712E-2</c:v>
                </c:pt>
                <c:pt idx="2">
                  <c:v>1.5698671340942383E-2</c:v>
                </c:pt>
                <c:pt idx="3">
                  <c:v>8.6855292320251465E-2</c:v>
                </c:pt>
                <c:pt idx="4">
                  <c:v>3.6448430269956589E-2</c:v>
                </c:pt>
                <c:pt idx="5">
                  <c:v>1.6104154288768768E-2</c:v>
                </c:pt>
                <c:pt idx="6">
                  <c:v>-3.6166399717330933E-2</c:v>
                </c:pt>
                <c:pt idx="7">
                  <c:v>2.9192285612225533E-2</c:v>
                </c:pt>
                <c:pt idx="8">
                  <c:v>-0.25675475597381592</c:v>
                </c:pt>
                <c:pt idx="9">
                  <c:v>-0.15018659830093384</c:v>
                </c:pt>
                <c:pt idx="10">
                  <c:v>-4.4909864664077759E-2</c:v>
                </c:pt>
                <c:pt idx="11">
                  <c:v>3.1282637268304825E-2</c:v>
                </c:pt>
                <c:pt idx="12">
                  <c:v>-4.7895484603941441E-3</c:v>
                </c:pt>
                <c:pt idx="13">
                  <c:v>0.11835124343633652</c:v>
                </c:pt>
                <c:pt idx="14">
                  <c:v>0.13695895671844482</c:v>
                </c:pt>
                <c:pt idx="15">
                  <c:v>0.17004792392253876</c:v>
                </c:pt>
                <c:pt idx="16">
                  <c:v>0.42402347922325134</c:v>
                </c:pt>
                <c:pt idx="17">
                  <c:v>-2.4232005700469017E-2</c:v>
                </c:pt>
                <c:pt idx="18">
                  <c:v>-0.19103139638900757</c:v>
                </c:pt>
                <c:pt idx="19">
                  <c:v>-0.31481319665908813</c:v>
                </c:pt>
                <c:pt idx="20">
                  <c:v>-0.162001833319664</c:v>
                </c:pt>
                <c:pt idx="21">
                  <c:v>1.2367002665996552E-2</c:v>
                </c:pt>
                <c:pt idx="22">
                  <c:v>0.15597710013389587</c:v>
                </c:pt>
                <c:pt idx="23">
                  <c:v>9.9710837006568909E-2</c:v>
                </c:pt>
                <c:pt idx="24">
                  <c:v>-1.1507413350045681E-2</c:v>
                </c:pt>
                <c:pt idx="25">
                  <c:v>0.12848606705665588</c:v>
                </c:pt>
                <c:pt idx="26">
                  <c:v>0.15100294351577759</c:v>
                </c:pt>
                <c:pt idx="27">
                  <c:v>0.12265557050704956</c:v>
                </c:pt>
                <c:pt idx="28">
                  <c:v>-0.19490455090999603</c:v>
                </c:pt>
                <c:pt idx="29">
                  <c:v>-0.10978532582521439</c:v>
                </c:pt>
                <c:pt idx="30">
                  <c:v>-9.7485929727554321E-2</c:v>
                </c:pt>
                <c:pt idx="31">
                  <c:v>1.1538642458617687E-2</c:v>
                </c:pt>
                <c:pt idx="32">
                  <c:v>0.32734549045562744</c:v>
                </c:pt>
                <c:pt idx="33">
                  <c:v>0.29675287008285522</c:v>
                </c:pt>
                <c:pt idx="34">
                  <c:v>-0.23400869965553284</c:v>
                </c:pt>
                <c:pt idx="35">
                  <c:v>-0.22669795155525208</c:v>
                </c:pt>
                <c:pt idx="36">
                  <c:v>-8.8546231389045715E-2</c:v>
                </c:pt>
                <c:pt idx="37">
                  <c:v>-0.17652271687984467</c:v>
                </c:pt>
                <c:pt idx="38">
                  <c:v>-2.4180054664611816E-2</c:v>
                </c:pt>
                <c:pt idx="39">
                  <c:v>0.12585727870464325</c:v>
                </c:pt>
                <c:pt idx="40">
                  <c:v>9.8111934959888458E-2</c:v>
                </c:pt>
                <c:pt idx="41">
                  <c:v>0.40286505222320557</c:v>
                </c:pt>
                <c:pt idx="42">
                  <c:v>0.49078682065010071</c:v>
                </c:pt>
                <c:pt idx="43">
                  <c:v>0.39928069710731506</c:v>
                </c:pt>
                <c:pt idx="44">
                  <c:v>5.3293924778699875E-2</c:v>
                </c:pt>
                <c:pt idx="45">
                  <c:v>-0.34945657849311829</c:v>
                </c:pt>
                <c:pt idx="46">
                  <c:v>-0.58863133192062378</c:v>
                </c:pt>
                <c:pt idx="47">
                  <c:v>-0.50625050067901611</c:v>
                </c:pt>
                <c:pt idx="48">
                  <c:v>-0.17681999504566193</c:v>
                </c:pt>
                <c:pt idx="49">
                  <c:v>-0.19077959656715393</c:v>
                </c:pt>
                <c:pt idx="50">
                  <c:v>-4.2998313903808594E-2</c:v>
                </c:pt>
                <c:pt idx="51">
                  <c:v>7.5494170188903809E-2</c:v>
                </c:pt>
                <c:pt idx="52">
                  <c:v>0.1229822188615799</c:v>
                </c:pt>
                <c:pt idx="53">
                  <c:v>8.9073590934276581E-2</c:v>
                </c:pt>
                <c:pt idx="54">
                  <c:v>9.7227364778518677E-2</c:v>
                </c:pt>
                <c:pt idx="55">
                  <c:v>2.5820570066571236E-2</c:v>
                </c:pt>
                <c:pt idx="56">
                  <c:v>-0.44280841946601868</c:v>
                </c:pt>
                <c:pt idx="57">
                  <c:v>-0.48247238993644714</c:v>
                </c:pt>
                <c:pt idx="58">
                  <c:v>-4.5743763446807861E-2</c:v>
                </c:pt>
                <c:pt idx="59">
                  <c:v>0.1040080189704895</c:v>
                </c:pt>
                <c:pt idx="60">
                  <c:v>0.16021908819675446</c:v>
                </c:pt>
                <c:pt idx="61">
                  <c:v>0.2084420770406723</c:v>
                </c:pt>
                <c:pt idx="62">
                  <c:v>0.15213987231254578</c:v>
                </c:pt>
                <c:pt idx="63">
                  <c:v>0.34621551632881165</c:v>
                </c:pt>
                <c:pt idx="64">
                  <c:v>1.1046507395803928E-2</c:v>
                </c:pt>
                <c:pt idx="65">
                  <c:v>-4.181966558098793E-2</c:v>
                </c:pt>
                <c:pt idx="66">
                  <c:v>1.9361793994903564E-2</c:v>
                </c:pt>
                <c:pt idx="67">
                  <c:v>4.7237817198038101E-2</c:v>
                </c:pt>
                <c:pt idx="68">
                  <c:v>1.559687964618206E-2</c:v>
                </c:pt>
                <c:pt idx="69">
                  <c:v>5.9854976832866669E-2</c:v>
                </c:pt>
                <c:pt idx="70">
                  <c:v>1.5853350050747395E-3</c:v>
                </c:pt>
                <c:pt idx="71">
                  <c:v>-0.11286364495754242</c:v>
                </c:pt>
                <c:pt idx="72">
                  <c:v>0.67566037178039551</c:v>
                </c:pt>
                <c:pt idx="73">
                  <c:v>0.61816310882568359</c:v>
                </c:pt>
                <c:pt idx="74">
                  <c:v>0.27304905652999878</c:v>
                </c:pt>
                <c:pt idx="75">
                  <c:v>-0.12136048078536987</c:v>
                </c:pt>
                <c:pt idx="76">
                  <c:v>-0.31340992450714111</c:v>
                </c:pt>
                <c:pt idx="77">
                  <c:v>-0.34672224521636963</c:v>
                </c:pt>
                <c:pt idx="78">
                  <c:v>-0.3790610134601593</c:v>
                </c:pt>
                <c:pt idx="79">
                  <c:v>-0.40631887316703796</c:v>
                </c:pt>
                <c:pt idx="80">
                  <c:v>-9.2253781855106354E-2</c:v>
                </c:pt>
                <c:pt idx="81">
                  <c:v>-4.845135286450386E-2</c:v>
                </c:pt>
                <c:pt idx="82">
                  <c:v>-1.6915947198867798E-3</c:v>
                </c:pt>
                <c:pt idx="83">
                  <c:v>-7.4722900986671448E-2</c:v>
                </c:pt>
                <c:pt idx="84">
                  <c:v>0.25666064023971558</c:v>
                </c:pt>
                <c:pt idx="85">
                  <c:v>0.12562599778175354</c:v>
                </c:pt>
                <c:pt idx="86">
                  <c:v>-0.13274143636226654</c:v>
                </c:pt>
                <c:pt idx="87">
                  <c:v>-3.2425578683614731E-2</c:v>
                </c:pt>
                <c:pt idx="88">
                  <c:v>0.20810325443744659</c:v>
                </c:pt>
                <c:pt idx="89">
                  <c:v>0.1820296049118042</c:v>
                </c:pt>
                <c:pt idx="90">
                  <c:v>0.18506839871406555</c:v>
                </c:pt>
                <c:pt idx="91">
                  <c:v>0.3288055956363678</c:v>
                </c:pt>
                <c:pt idx="92">
                  <c:v>0.21648858487606049</c:v>
                </c:pt>
                <c:pt idx="93">
                  <c:v>-0.16408614814281464</c:v>
                </c:pt>
                <c:pt idx="94">
                  <c:v>-0.46508949995040894</c:v>
                </c:pt>
                <c:pt idx="95">
                  <c:v>-0.49131977558135986</c:v>
                </c:pt>
                <c:pt idx="96">
                  <c:v>-6.9896630942821503E-2</c:v>
                </c:pt>
                <c:pt idx="97">
                  <c:v>0.35144531726837158</c:v>
                </c:pt>
                <c:pt idx="98">
                  <c:v>0.15801480412483215</c:v>
                </c:pt>
                <c:pt idx="99">
                  <c:v>-0.16069421172142029</c:v>
                </c:pt>
                <c:pt idx="100">
                  <c:v>-0.252093106508255</c:v>
                </c:pt>
                <c:pt idx="101">
                  <c:v>-0.15802602469921112</c:v>
                </c:pt>
                <c:pt idx="102">
                  <c:v>-1.8632590770721436E-2</c:v>
                </c:pt>
                <c:pt idx="103">
                  <c:v>0.14988242089748383</c:v>
                </c:pt>
                <c:pt idx="104">
                  <c:v>-0.10005601495504379</c:v>
                </c:pt>
                <c:pt idx="105">
                  <c:v>-0.12301448732614517</c:v>
                </c:pt>
                <c:pt idx="106">
                  <c:v>-0.42974627017974854</c:v>
                </c:pt>
                <c:pt idx="107">
                  <c:v>-0.39197492599487305</c:v>
                </c:pt>
                <c:pt idx="108">
                  <c:v>-0.11381141841411591</c:v>
                </c:pt>
                <c:pt idx="109">
                  <c:v>0.17939667403697968</c:v>
                </c:pt>
                <c:pt idx="110">
                  <c:v>0.42625394463539124</c:v>
                </c:pt>
                <c:pt idx="111">
                  <c:v>0.55295246839523315</c:v>
                </c:pt>
                <c:pt idx="112">
                  <c:v>0.10874035209417343</c:v>
                </c:pt>
                <c:pt idx="113">
                  <c:v>-0.47547334432601929</c:v>
                </c:pt>
                <c:pt idx="114">
                  <c:v>-0.53357148170471191</c:v>
                </c:pt>
                <c:pt idx="115">
                  <c:v>-7.0440784096717834E-2</c:v>
                </c:pt>
                <c:pt idx="116">
                  <c:v>0.21648710966110229</c:v>
                </c:pt>
                <c:pt idx="117">
                  <c:v>0.20883098244667053</c:v>
                </c:pt>
                <c:pt idx="118">
                  <c:v>0.25681832432746887</c:v>
                </c:pt>
                <c:pt idx="119">
                  <c:v>0.2886088490486145</c:v>
                </c:pt>
                <c:pt idx="120">
                  <c:v>-0.27620840072631836</c:v>
                </c:pt>
                <c:pt idx="121">
                  <c:v>-0.29000064730644226</c:v>
                </c:pt>
                <c:pt idx="122">
                  <c:v>-0.14933793246746063</c:v>
                </c:pt>
                <c:pt idx="123">
                  <c:v>-1.0737340897321701E-2</c:v>
                </c:pt>
                <c:pt idx="124">
                  <c:v>2.0549444481730461E-2</c:v>
                </c:pt>
                <c:pt idx="125">
                  <c:v>0.16528189182281494</c:v>
                </c:pt>
                <c:pt idx="126">
                  <c:v>0.23405741155147552</c:v>
                </c:pt>
                <c:pt idx="127">
                  <c:v>0.30639556050300598</c:v>
                </c:pt>
                <c:pt idx="128">
                  <c:v>0.14717762172222137</c:v>
                </c:pt>
                <c:pt idx="129">
                  <c:v>0.4459974467754364</c:v>
                </c:pt>
                <c:pt idx="130">
                  <c:v>0.82095086574554443</c:v>
                </c:pt>
                <c:pt idx="131">
                  <c:v>0.10931277275085449</c:v>
                </c:pt>
                <c:pt idx="132">
                  <c:v>-0.26857393980026245</c:v>
                </c:pt>
                <c:pt idx="133">
                  <c:v>-0.48683637380599976</c:v>
                </c:pt>
                <c:pt idx="134">
                  <c:v>-0.39030298590660095</c:v>
                </c:pt>
                <c:pt idx="135">
                  <c:v>-0.37772539258003235</c:v>
                </c:pt>
                <c:pt idx="136">
                  <c:v>0.17936141788959503</c:v>
                </c:pt>
                <c:pt idx="137">
                  <c:v>0.15471804141998291</c:v>
                </c:pt>
                <c:pt idx="138">
                  <c:v>0.1538555920124054</c:v>
                </c:pt>
                <c:pt idx="139">
                  <c:v>0.14724388718605042</c:v>
                </c:pt>
                <c:pt idx="140">
                  <c:v>4.5084219425916672E-2</c:v>
                </c:pt>
                <c:pt idx="141">
                  <c:v>-0.15889386832714081</c:v>
                </c:pt>
                <c:pt idx="142">
                  <c:v>-0.26469844579696655</c:v>
                </c:pt>
                <c:pt idx="143">
                  <c:v>-0.25667083263397217</c:v>
                </c:pt>
              </c:numCache>
            </c:numRef>
          </c:xVal>
          <c:yVal>
            <c:numRef>
              <c:f>Sheet1!$F$2:$F$569</c:f>
              <c:numCache>
                <c:formatCode>0.00</c:formatCode>
                <c:ptCount val="144"/>
                <c:pt idx="0">
                  <c:v>-2.8542211279273033E-2</c:v>
                </c:pt>
                <c:pt idx="1">
                  <c:v>-1.2457110919058323E-2</c:v>
                </c:pt>
                <c:pt idx="2">
                  <c:v>3.0270575080066919E-3</c:v>
                </c:pt>
                <c:pt idx="3">
                  <c:v>3.3214184804819524E-4</c:v>
                </c:pt>
                <c:pt idx="4">
                  <c:v>1.1819731444120407E-3</c:v>
                </c:pt>
                <c:pt idx="5">
                  <c:v>5.9776352718472481E-3</c:v>
                </c:pt>
                <c:pt idx="6">
                  <c:v>1.3710503466427326E-2</c:v>
                </c:pt>
                <c:pt idx="7">
                  <c:v>1.6770010814070702E-2</c:v>
                </c:pt>
                <c:pt idx="8">
                  <c:v>-1.9547552801668644E-3</c:v>
                </c:pt>
                <c:pt idx="9">
                  <c:v>3.0564423650503159E-4</c:v>
                </c:pt>
                <c:pt idx="10">
                  <c:v>-5.3995259804651141E-4</c:v>
                </c:pt>
                <c:pt idx="11">
                  <c:v>7.8963726991787553E-4</c:v>
                </c:pt>
                <c:pt idx="12">
                  <c:v>2.6842188090085983E-3</c:v>
                </c:pt>
                <c:pt idx="13">
                  <c:v>7.2595936944708228E-4</c:v>
                </c:pt>
                <c:pt idx="14">
                  <c:v>-9.0625422308221459E-4</c:v>
                </c:pt>
                <c:pt idx="15">
                  <c:v>-1.1044975835829973E-3</c:v>
                </c:pt>
                <c:pt idx="16">
                  <c:v>6.9280005991458893E-2</c:v>
                </c:pt>
                <c:pt idx="17">
                  <c:v>5.1346592605113983E-2</c:v>
                </c:pt>
                <c:pt idx="18">
                  <c:v>3.1988747417926788E-2</c:v>
                </c:pt>
                <c:pt idx="19">
                  <c:v>1.0295446030795574E-2</c:v>
                </c:pt>
                <c:pt idx="20">
                  <c:v>-1.8583612516522408E-2</c:v>
                </c:pt>
                <c:pt idx="21">
                  <c:v>-4.4924225658178329E-2</c:v>
                </c:pt>
                <c:pt idx="22">
                  <c:v>-5.7161297649145126E-2</c:v>
                </c:pt>
                <c:pt idx="23">
                  <c:v>-4.2241655290126801E-2</c:v>
                </c:pt>
                <c:pt idx="24">
                  <c:v>-0.10766168683767319</c:v>
                </c:pt>
                <c:pt idx="25">
                  <c:v>-6.8456657230854034E-2</c:v>
                </c:pt>
                <c:pt idx="26">
                  <c:v>-4.4097243808209896E-3</c:v>
                </c:pt>
                <c:pt idx="27">
                  <c:v>3.3951994031667709E-2</c:v>
                </c:pt>
                <c:pt idx="28">
                  <c:v>4.8855166882276535E-2</c:v>
                </c:pt>
                <c:pt idx="29">
                  <c:v>4.7190401703119278E-2</c:v>
                </c:pt>
                <c:pt idx="30">
                  <c:v>2.1011088043451309E-2</c:v>
                </c:pt>
                <c:pt idx="31">
                  <c:v>2.9519414529204369E-2</c:v>
                </c:pt>
                <c:pt idx="32">
                  <c:v>2.481372095644474E-2</c:v>
                </c:pt>
                <c:pt idx="33">
                  <c:v>2.0825644955039024E-2</c:v>
                </c:pt>
                <c:pt idx="34">
                  <c:v>8.2136150449514389E-3</c:v>
                </c:pt>
                <c:pt idx="35">
                  <c:v>-1.0442708618938923E-2</c:v>
                </c:pt>
                <c:pt idx="36">
                  <c:v>1.9754065200686455E-2</c:v>
                </c:pt>
                <c:pt idx="37">
                  <c:v>6.1218785122036934E-3</c:v>
                </c:pt>
                <c:pt idx="38">
                  <c:v>-1.8177744001150131E-2</c:v>
                </c:pt>
                <c:pt idx="39">
                  <c:v>-5.1108472049236298E-2</c:v>
                </c:pt>
                <c:pt idx="40">
                  <c:v>-1.8112054094672203E-2</c:v>
                </c:pt>
                <c:pt idx="41">
                  <c:v>-1.2834467925131321E-2</c:v>
                </c:pt>
                <c:pt idx="42">
                  <c:v>-1.3074005022644997E-2</c:v>
                </c:pt>
                <c:pt idx="43">
                  <c:v>-2.1593963727355003E-2</c:v>
                </c:pt>
                <c:pt idx="44">
                  <c:v>-1.7693089321255684E-2</c:v>
                </c:pt>
                <c:pt idx="45">
                  <c:v>7.320706732571125E-3</c:v>
                </c:pt>
                <c:pt idx="46">
                  <c:v>4.1098896414041519E-2</c:v>
                </c:pt>
                <c:pt idx="47">
                  <c:v>3.4887976944446564E-2</c:v>
                </c:pt>
                <c:pt idx="48">
                  <c:v>-7.6632730662822723E-2</c:v>
                </c:pt>
                <c:pt idx="49">
                  <c:v>-6.2718905508518219E-2</c:v>
                </c:pt>
                <c:pt idx="50">
                  <c:v>-4.0049038827419281E-2</c:v>
                </c:pt>
                <c:pt idx="51">
                  <c:v>-2.265488263219595E-3</c:v>
                </c:pt>
                <c:pt idx="52">
                  <c:v>1.7506672069430351E-2</c:v>
                </c:pt>
                <c:pt idx="53">
                  <c:v>4.0673438459634781E-2</c:v>
                </c:pt>
                <c:pt idx="54">
                  <c:v>5.7935658842325211E-2</c:v>
                </c:pt>
                <c:pt idx="55">
                  <c:v>6.5550394356250763E-2</c:v>
                </c:pt>
                <c:pt idx="56">
                  <c:v>6.6579677164554596E-2</c:v>
                </c:pt>
                <c:pt idx="57">
                  <c:v>4.8741869628429413E-2</c:v>
                </c:pt>
                <c:pt idx="58">
                  <c:v>3.0703430995345116E-2</c:v>
                </c:pt>
                <c:pt idx="59">
                  <c:v>9.4967437908053398E-3</c:v>
                </c:pt>
                <c:pt idx="60">
                  <c:v>-1.1656122282147408E-2</c:v>
                </c:pt>
                <c:pt idx="61">
                  <c:v>-3.8298811763525009E-2</c:v>
                </c:pt>
                <c:pt idx="62">
                  <c:v>-5.5463042110204697E-2</c:v>
                </c:pt>
                <c:pt idx="63">
                  <c:v>-5.0103746354579926E-2</c:v>
                </c:pt>
                <c:pt idx="64">
                  <c:v>-3.1295321881771088E-2</c:v>
                </c:pt>
                <c:pt idx="65">
                  <c:v>-2.6250192895531654E-2</c:v>
                </c:pt>
                <c:pt idx="66">
                  <c:v>-2.1396154537796974E-2</c:v>
                </c:pt>
                <c:pt idx="67">
                  <c:v>-1.3783995993435383E-2</c:v>
                </c:pt>
                <c:pt idx="68">
                  <c:v>-1.3627009466290474E-2</c:v>
                </c:pt>
                <c:pt idx="69">
                  <c:v>1.9580470398068428E-3</c:v>
                </c:pt>
                <c:pt idx="70">
                  <c:v>4.1303310543298721E-2</c:v>
                </c:pt>
                <c:pt idx="71">
                  <c:v>6.309131532907486E-2</c:v>
                </c:pt>
                <c:pt idx="72">
                  <c:v>-5.3957395255565643E-2</c:v>
                </c:pt>
                <c:pt idx="73">
                  <c:v>-3.7662006914615631E-2</c:v>
                </c:pt>
                <c:pt idx="74">
                  <c:v>-2.5803470984101295E-2</c:v>
                </c:pt>
                <c:pt idx="75">
                  <c:v>-2.685234509408474E-2</c:v>
                </c:pt>
                <c:pt idx="76">
                  <c:v>-9.8715908825397491E-4</c:v>
                </c:pt>
                <c:pt idx="77">
                  <c:v>3.52785624563694E-2</c:v>
                </c:pt>
                <c:pt idx="78">
                  <c:v>4.932427778840065E-2</c:v>
                </c:pt>
                <c:pt idx="79">
                  <c:v>6.0659535229206085E-2</c:v>
                </c:pt>
                <c:pt idx="80">
                  <c:v>2.9673108831048012E-2</c:v>
                </c:pt>
                <c:pt idx="81">
                  <c:v>1.9142588600516319E-2</c:v>
                </c:pt>
                <c:pt idx="82">
                  <c:v>4.1509033180773258E-3</c:v>
                </c:pt>
                <c:pt idx="83">
                  <c:v>-5.7514063082635403E-3</c:v>
                </c:pt>
                <c:pt idx="84">
                  <c:v>-6.3289869576692581E-3</c:v>
                </c:pt>
                <c:pt idx="85">
                  <c:v>-9.3601299449801445E-3</c:v>
                </c:pt>
                <c:pt idx="86">
                  <c:v>-1.3158614747226238E-2</c:v>
                </c:pt>
                <c:pt idx="87">
                  <c:v>-1.836746372282505E-2</c:v>
                </c:pt>
                <c:pt idx="88">
                  <c:v>1.0575243271887302E-2</c:v>
                </c:pt>
                <c:pt idx="89">
                  <c:v>3.1539415940642357E-3</c:v>
                </c:pt>
                <c:pt idx="90">
                  <c:v>-2.8980018105357885E-3</c:v>
                </c:pt>
                <c:pt idx="91">
                  <c:v>-3.0034533701837063E-3</c:v>
                </c:pt>
                <c:pt idx="92">
                  <c:v>-1.9149649888277054E-3</c:v>
                </c:pt>
                <c:pt idx="93">
                  <c:v>-3.1295968219637871E-3</c:v>
                </c:pt>
                <c:pt idx="94">
                  <c:v>-2.3285103961825371E-3</c:v>
                </c:pt>
                <c:pt idx="95">
                  <c:v>-4.5465794391930103E-4</c:v>
                </c:pt>
                <c:pt idx="96">
                  <c:v>7.6105691492557526E-2</c:v>
                </c:pt>
                <c:pt idx="97">
                  <c:v>6.5980486571788788E-2</c:v>
                </c:pt>
                <c:pt idx="98">
                  <c:v>5.2488692104816437E-2</c:v>
                </c:pt>
                <c:pt idx="99">
                  <c:v>4.5931633561849594E-2</c:v>
                </c:pt>
                <c:pt idx="100">
                  <c:v>4.2261313647031784E-3</c:v>
                </c:pt>
                <c:pt idx="101">
                  <c:v>-5.315801128745079E-2</c:v>
                </c:pt>
                <c:pt idx="102">
                  <c:v>-9.111543744802475E-2</c:v>
                </c:pt>
                <c:pt idx="103">
                  <c:v>-0.10045918077230453</c:v>
                </c:pt>
                <c:pt idx="104">
                  <c:v>3.4059889614582062E-2</c:v>
                </c:pt>
                <c:pt idx="105">
                  <c:v>2.064116857945919E-2</c:v>
                </c:pt>
                <c:pt idx="106">
                  <c:v>8.5670109838247299E-3</c:v>
                </c:pt>
                <c:pt idx="107">
                  <c:v>-2.0526996813714504E-3</c:v>
                </c:pt>
                <c:pt idx="108">
                  <c:v>-1.2205170467495918E-2</c:v>
                </c:pt>
                <c:pt idx="109">
                  <c:v>-1.9731219857931137E-2</c:v>
                </c:pt>
                <c:pt idx="110">
                  <c:v>-2.1365340799093246E-2</c:v>
                </c:pt>
                <c:pt idx="111">
                  <c:v>-7.9136425629258156E-3</c:v>
                </c:pt>
                <c:pt idx="112">
                  <c:v>-1.795252226293087E-2</c:v>
                </c:pt>
                <c:pt idx="113">
                  <c:v>-1.5147813595831394E-2</c:v>
                </c:pt>
                <c:pt idx="114">
                  <c:v>-1.2786680832505226E-2</c:v>
                </c:pt>
                <c:pt idx="115">
                  <c:v>-7.4616721831262112E-3</c:v>
                </c:pt>
                <c:pt idx="116">
                  <c:v>1.865847036242485E-3</c:v>
                </c:pt>
                <c:pt idx="117">
                  <c:v>8.3075510337948799E-3</c:v>
                </c:pt>
                <c:pt idx="118">
                  <c:v>1.6849134117364883E-2</c:v>
                </c:pt>
                <c:pt idx="119">
                  <c:v>2.6326155290007591E-2</c:v>
                </c:pt>
                <c:pt idx="120">
                  <c:v>-4.8005790449678898E-3</c:v>
                </c:pt>
                <c:pt idx="121">
                  <c:v>-5.8227265253663063E-3</c:v>
                </c:pt>
                <c:pt idx="122">
                  <c:v>2.6059738593176007E-4</c:v>
                </c:pt>
                <c:pt idx="123">
                  <c:v>2.6737996377050877E-3</c:v>
                </c:pt>
                <c:pt idx="124">
                  <c:v>3.5467576235532761E-3</c:v>
                </c:pt>
                <c:pt idx="125">
                  <c:v>1.3288604095578194E-3</c:v>
                </c:pt>
                <c:pt idx="126">
                  <c:v>-8.273972780443728E-4</c:v>
                </c:pt>
                <c:pt idx="127">
                  <c:v>3.6406877916306257E-3</c:v>
                </c:pt>
                <c:pt idx="128">
                  <c:v>-1.3587764464318752E-2</c:v>
                </c:pt>
                <c:pt idx="129">
                  <c:v>-1.4767890388611704E-4</c:v>
                </c:pt>
                <c:pt idx="130">
                  <c:v>3.5086371004581451E-2</c:v>
                </c:pt>
                <c:pt idx="131">
                  <c:v>6.147327646613121E-2</c:v>
                </c:pt>
                <c:pt idx="132">
                  <c:v>5.6608211249113083E-2</c:v>
                </c:pt>
                <c:pt idx="133">
                  <c:v>5.5998610332608223E-3</c:v>
                </c:pt>
                <c:pt idx="134">
                  <c:v>-7.0066563785076141E-2</c:v>
                </c:pt>
                <c:pt idx="135">
                  <c:v>-7.4965707957744598E-2</c:v>
                </c:pt>
                <c:pt idx="136">
                  <c:v>-1.0949335061013699E-2</c:v>
                </c:pt>
                <c:pt idx="137">
                  <c:v>-2.1330604329705238E-2</c:v>
                </c:pt>
                <c:pt idx="138">
                  <c:v>-2.3607188835740089E-2</c:v>
                </c:pt>
                <c:pt idx="139">
                  <c:v>-1.636696420609951E-2</c:v>
                </c:pt>
                <c:pt idx="140">
                  <c:v>-1.4221327379345894E-2</c:v>
                </c:pt>
                <c:pt idx="141">
                  <c:v>1.9644949585199356E-2</c:v>
                </c:pt>
                <c:pt idx="142">
                  <c:v>3.1542036682367325E-2</c:v>
                </c:pt>
                <c:pt idx="143">
                  <c:v>3.5288430750370026E-2</c:v>
                </c:pt>
              </c:numCache>
            </c:numRef>
          </c:yVal>
          <c:smooth val="0"/>
          <c:extLst>
            <c:ext xmlns:c16="http://schemas.microsoft.com/office/drawing/2014/chart" uri="{C3380CC4-5D6E-409C-BE32-E72D297353CC}">
              <c16:uniqueId val="{00000001-BCF4-4D28-B355-AEF046811195}"/>
            </c:ext>
          </c:extLst>
        </c:ser>
        <c:dLbls>
          <c:showLegendKey val="0"/>
          <c:showVal val="0"/>
          <c:showCatName val="0"/>
          <c:showSerName val="0"/>
          <c:showPercent val="0"/>
          <c:showBubbleSize val="0"/>
        </c:dLbls>
        <c:axId val="461092736"/>
        <c:axId val="461094912"/>
      </c:scatterChart>
      <c:valAx>
        <c:axId val="461092736"/>
        <c:scaling>
          <c:orientation val="minMax"/>
          <c:max val="1"/>
          <c:min val="-1"/>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a:solidFill>
                      <a:sysClr val="windowText" lastClr="000000"/>
                    </a:solidFill>
                    <a:latin typeface="Times New Roman" panose="02020603050405020304" pitchFamily="18" charset="0"/>
                    <a:cs typeface="Times New Roman" panose="02020603050405020304" pitchFamily="18" charset="0"/>
                  </a:rPr>
                  <a:t>PrivateCredit</a:t>
                </a:r>
                <a:r>
                  <a:rPr lang="en-NZ" sz="800" baseline="0">
                    <a:solidFill>
                      <a:sysClr val="windowText" lastClr="000000"/>
                    </a:solidFill>
                    <a:latin typeface="Times New Roman" panose="02020603050405020304" pitchFamily="18" charset="0"/>
                    <a:cs typeface="Times New Roman" panose="02020603050405020304" pitchFamily="18" charset="0"/>
                  </a:rPr>
                  <a:t> </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1094912"/>
        <c:crosses val="autoZero"/>
        <c:crossBetween val="midCat"/>
        <c:majorUnit val="0.5"/>
      </c:valAx>
      <c:valAx>
        <c:axId val="461094912"/>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1092736"/>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aseline="0">
                <a:solidFill>
                  <a:sysClr val="windowText" lastClr="000000"/>
                </a:solidFill>
                <a:latin typeface="Times New Roman" panose="02020603050405020304" pitchFamily="18" charset="0"/>
                <a:cs typeface="Times New Roman" panose="02020603050405020304" pitchFamily="18" charset="0"/>
              </a:rPr>
              <a:t>HTO</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lineMarker"/>
        <c:varyColors val="0"/>
        <c:ser>
          <c:idx val="0"/>
          <c:order val="0"/>
          <c:tx>
            <c:strRef>
              <c:f>Sheet1!$G$1</c:f>
              <c:strCache>
                <c:ptCount val="1"/>
                <c:pt idx="0">
                  <c:v>FD1Res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Sheet1!$G$2:$G$569</c:f>
              <c:numCache>
                <c:formatCode>0.00</c:formatCode>
                <c:ptCount val="424"/>
                <c:pt idx="0">
                  <c:v>-0.99694782495498657</c:v>
                </c:pt>
                <c:pt idx="1">
                  <c:v>-1.019389271736145</c:v>
                </c:pt>
                <c:pt idx="2">
                  <c:v>-0.68858945369720459</c:v>
                </c:pt>
                <c:pt idx="3">
                  <c:v>-0.14362667500972748</c:v>
                </c:pt>
                <c:pt idx="4">
                  <c:v>0.64169484376907349</c:v>
                </c:pt>
                <c:pt idx="5">
                  <c:v>0.81404954195022583</c:v>
                </c:pt>
                <c:pt idx="6">
                  <c:v>0.76724952459335327</c:v>
                </c:pt>
                <c:pt idx="7">
                  <c:v>0.62555932998657227</c:v>
                </c:pt>
                <c:pt idx="8">
                  <c:v>-0.33102059364318848</c:v>
                </c:pt>
                <c:pt idx="9">
                  <c:v>-0.46652504801750183</c:v>
                </c:pt>
                <c:pt idx="10">
                  <c:v>-0.43822485208511353</c:v>
                </c:pt>
                <c:pt idx="11">
                  <c:v>-0.68224579095840454</c:v>
                </c:pt>
                <c:pt idx="12">
                  <c:v>-0.21456250548362732</c:v>
                </c:pt>
                <c:pt idx="13">
                  <c:v>0.46922957897186279</c:v>
                </c:pt>
                <c:pt idx="14">
                  <c:v>0.80521917343139648</c:v>
                </c:pt>
                <c:pt idx="15">
                  <c:v>0.85813003778457642</c:v>
                </c:pt>
                <c:pt idx="16">
                  <c:v>0.29284068942070007</c:v>
                </c:pt>
                <c:pt idx="17">
                  <c:v>0.31807234883308411</c:v>
                </c:pt>
                <c:pt idx="18">
                  <c:v>0.14034956693649292</c:v>
                </c:pt>
                <c:pt idx="19">
                  <c:v>7.4483215808868408E-2</c:v>
                </c:pt>
                <c:pt idx="20">
                  <c:v>-7.7900037169456482E-2</c:v>
                </c:pt>
                <c:pt idx="21">
                  <c:v>-0.13289608061313629</c:v>
                </c:pt>
                <c:pt idx="22">
                  <c:v>-0.25029876828193665</c:v>
                </c:pt>
                <c:pt idx="23">
                  <c:v>-0.36465093493461609</c:v>
                </c:pt>
                <c:pt idx="24">
                  <c:v>0.41817143559455872</c:v>
                </c:pt>
                <c:pt idx="25">
                  <c:v>0.38366779685020447</c:v>
                </c:pt>
                <c:pt idx="26">
                  <c:v>0.19035720825195313</c:v>
                </c:pt>
                <c:pt idx="27">
                  <c:v>7.4002385139465332E-2</c:v>
                </c:pt>
                <c:pt idx="28">
                  <c:v>-7.9692170023918152E-2</c:v>
                </c:pt>
                <c:pt idx="29">
                  <c:v>-0.30872851610183716</c:v>
                </c:pt>
                <c:pt idx="30">
                  <c:v>-0.37290665507316589</c:v>
                </c:pt>
                <c:pt idx="31">
                  <c:v>-0.30487146973609924</c:v>
                </c:pt>
                <c:pt idx="32">
                  <c:v>0.46741658449172974</c:v>
                </c:pt>
                <c:pt idx="33">
                  <c:v>-1.072147011756897</c:v>
                </c:pt>
                <c:pt idx="34">
                  <c:v>-0.69278144836425781</c:v>
                </c:pt>
                <c:pt idx="35">
                  <c:v>2.5544080883264542E-2</c:v>
                </c:pt>
                <c:pt idx="36">
                  <c:v>0.36768838763237</c:v>
                </c:pt>
                <c:pt idx="37">
                  <c:v>0.45300313830375671</c:v>
                </c:pt>
                <c:pt idx="38">
                  <c:v>0.34293466806411743</c:v>
                </c:pt>
                <c:pt idx="39">
                  <c:v>0.10834155976772308</c:v>
                </c:pt>
                <c:pt idx="40">
                  <c:v>0.37990477681159973</c:v>
                </c:pt>
                <c:pt idx="41">
                  <c:v>0.53582578897476196</c:v>
                </c:pt>
                <c:pt idx="42">
                  <c:v>0.34053182601928711</c:v>
                </c:pt>
                <c:pt idx="43">
                  <c:v>3.6726120859384537E-2</c:v>
                </c:pt>
                <c:pt idx="44">
                  <c:v>-0.41399174928665161</c:v>
                </c:pt>
                <c:pt idx="45">
                  <c:v>-0.44508272409439087</c:v>
                </c:pt>
                <c:pt idx="46">
                  <c:v>-0.35181161761283875</c:v>
                </c:pt>
                <c:pt idx="47">
                  <c:v>-8.2102462649345398E-2</c:v>
                </c:pt>
                <c:pt idx="48">
                  <c:v>-0.14451877772808075</c:v>
                </c:pt>
                <c:pt idx="49">
                  <c:v>-9.3931086361408234E-2</c:v>
                </c:pt>
                <c:pt idx="50">
                  <c:v>1.8441945314407349E-2</c:v>
                </c:pt>
                <c:pt idx="51">
                  <c:v>0.11656561493873596</c:v>
                </c:pt>
                <c:pt idx="52">
                  <c:v>1.0076029226183891E-2</c:v>
                </c:pt>
                <c:pt idx="53">
                  <c:v>7.5836621224880219E-2</c:v>
                </c:pt>
                <c:pt idx="54">
                  <c:v>3.2275974750518799E-2</c:v>
                </c:pt>
                <c:pt idx="55">
                  <c:v>-1.4746320433914661E-2</c:v>
                </c:pt>
                <c:pt idx="56">
                  <c:v>-0.24616651237010956</c:v>
                </c:pt>
                <c:pt idx="57">
                  <c:v>-0.31090950965881348</c:v>
                </c:pt>
                <c:pt idx="58">
                  <c:v>-2.4158328771591187E-2</c:v>
                </c:pt>
                <c:pt idx="59">
                  <c:v>9.8088055849075317E-2</c:v>
                </c:pt>
                <c:pt idx="60">
                  <c:v>7.309300359338522E-3</c:v>
                </c:pt>
                <c:pt idx="61">
                  <c:v>0.1136988028883934</c:v>
                </c:pt>
                <c:pt idx="62">
                  <c:v>0.18702811002731323</c:v>
                </c:pt>
                <c:pt idx="63">
                  <c:v>0.17511008679866791</c:v>
                </c:pt>
                <c:pt idx="64">
                  <c:v>0.25585314631462097</c:v>
                </c:pt>
                <c:pt idx="65">
                  <c:v>0.21234825253486633</c:v>
                </c:pt>
                <c:pt idx="66">
                  <c:v>9.3054711818695068E-2</c:v>
                </c:pt>
                <c:pt idx="67">
                  <c:v>4.8023764044046402E-2</c:v>
                </c:pt>
                <c:pt idx="68">
                  <c:v>-0.10927854478359222</c:v>
                </c:pt>
                <c:pt idx="69">
                  <c:v>-0.16410817205905914</c:v>
                </c:pt>
                <c:pt idx="70">
                  <c:v>-0.16449359059333801</c:v>
                </c:pt>
                <c:pt idx="71">
                  <c:v>-0.17139957845211029</c:v>
                </c:pt>
                <c:pt idx="72">
                  <c:v>-9.3810871476307511E-4</c:v>
                </c:pt>
                <c:pt idx="73">
                  <c:v>8.4718100726604462E-2</c:v>
                </c:pt>
                <c:pt idx="74">
                  <c:v>0.14987185597419739</c:v>
                </c:pt>
                <c:pt idx="75">
                  <c:v>7.7310234308242798E-2</c:v>
                </c:pt>
                <c:pt idx="76">
                  <c:v>-2.1307723596692085E-2</c:v>
                </c:pt>
                <c:pt idx="77">
                  <c:v>-0.13790063560009003</c:v>
                </c:pt>
                <c:pt idx="78">
                  <c:v>-8.2943856716156006E-2</c:v>
                </c:pt>
                <c:pt idx="79">
                  <c:v>-6.8809881806373596E-2</c:v>
                </c:pt>
                <c:pt idx="80">
                  <c:v>0.34595933556556702</c:v>
                </c:pt>
                <c:pt idx="81">
                  <c:v>0.17744871973991394</c:v>
                </c:pt>
                <c:pt idx="82">
                  <c:v>3.7866473197937012E-2</c:v>
                </c:pt>
                <c:pt idx="83">
                  <c:v>-0.15731453895568848</c:v>
                </c:pt>
                <c:pt idx="84">
                  <c:v>-0.20165078341960907</c:v>
                </c:pt>
                <c:pt idx="85">
                  <c:v>-0.18561048805713654</c:v>
                </c:pt>
                <c:pt idx="86">
                  <c:v>-0.144094318151474</c:v>
                </c:pt>
                <c:pt idx="87">
                  <c:v>0.12739558517932892</c:v>
                </c:pt>
                <c:pt idx="88">
                  <c:v>-0.64022535085678101</c:v>
                </c:pt>
                <c:pt idx="89">
                  <c:v>-0.31229627132415771</c:v>
                </c:pt>
                <c:pt idx="90">
                  <c:v>3.1038790941238403E-2</c:v>
                </c:pt>
                <c:pt idx="91">
                  <c:v>0.11524024605751038</c:v>
                </c:pt>
                <c:pt idx="92">
                  <c:v>0.18632744252681732</c:v>
                </c:pt>
                <c:pt idx="93">
                  <c:v>0.14842386543750763</c:v>
                </c:pt>
                <c:pt idx="94">
                  <c:v>0.18255263566970825</c:v>
                </c:pt>
                <c:pt idx="95">
                  <c:v>0.28893864154815674</c:v>
                </c:pt>
                <c:pt idx="96">
                  <c:v>0.63849079608917236</c:v>
                </c:pt>
                <c:pt idx="97">
                  <c:v>0.43125957250595093</c:v>
                </c:pt>
                <c:pt idx="98">
                  <c:v>-8.4858089685440063E-2</c:v>
                </c:pt>
                <c:pt idx="99">
                  <c:v>-0.32770135998725891</c:v>
                </c:pt>
                <c:pt idx="100">
                  <c:v>-0.16201634705066681</c:v>
                </c:pt>
                <c:pt idx="101">
                  <c:v>-0.1683802455663681</c:v>
                </c:pt>
                <c:pt idx="102">
                  <c:v>-0.15331375598907471</c:v>
                </c:pt>
                <c:pt idx="103">
                  <c:v>-0.17348058521747589</c:v>
                </c:pt>
                <c:pt idx="104">
                  <c:v>0.32197996973991394</c:v>
                </c:pt>
                <c:pt idx="105">
                  <c:v>0.37197807431221008</c:v>
                </c:pt>
                <c:pt idx="106">
                  <c:v>0.32498830556869507</c:v>
                </c:pt>
                <c:pt idx="107">
                  <c:v>0.20625787973403931</c:v>
                </c:pt>
                <c:pt idx="108">
                  <c:v>-7.7514514327049255E-2</c:v>
                </c:pt>
                <c:pt idx="109">
                  <c:v>-0.24891270697116852</c:v>
                </c:pt>
                <c:pt idx="110">
                  <c:v>-0.4064355194568634</c:v>
                </c:pt>
                <c:pt idx="111">
                  <c:v>-0.49234148859977722</c:v>
                </c:pt>
                <c:pt idx="112">
                  <c:v>0.12435112148523331</c:v>
                </c:pt>
                <c:pt idx="113">
                  <c:v>0.26249924302101135</c:v>
                </c:pt>
                <c:pt idx="114">
                  <c:v>0.47585588693618774</c:v>
                </c:pt>
                <c:pt idx="115">
                  <c:v>9.88578200340271E-2</c:v>
                </c:pt>
                <c:pt idx="116">
                  <c:v>-0.29951262474060059</c:v>
                </c:pt>
                <c:pt idx="117">
                  <c:v>-0.25191640853881836</c:v>
                </c:pt>
                <c:pt idx="118">
                  <c:v>-0.24448075890541077</c:v>
                </c:pt>
                <c:pt idx="119">
                  <c:v>-0.16565428674221039</c:v>
                </c:pt>
                <c:pt idx="120">
                  <c:v>0.26823228597640991</c:v>
                </c:pt>
                <c:pt idx="121">
                  <c:v>0.22301483154296875</c:v>
                </c:pt>
                <c:pt idx="122">
                  <c:v>0.14262619614601135</c:v>
                </c:pt>
                <c:pt idx="123">
                  <c:v>-0.13403245806694031</c:v>
                </c:pt>
                <c:pt idx="124">
                  <c:v>-0.17055644094944</c:v>
                </c:pt>
                <c:pt idx="125">
                  <c:v>-0.1652168482542038</c:v>
                </c:pt>
                <c:pt idx="126">
                  <c:v>-0.11590176820755005</c:v>
                </c:pt>
                <c:pt idx="127">
                  <c:v>-4.8165809363126755E-2</c:v>
                </c:pt>
                <c:pt idx="128">
                  <c:v>-0.19268585741519928</c:v>
                </c:pt>
                <c:pt idx="129">
                  <c:v>-0.13473650813102722</c:v>
                </c:pt>
                <c:pt idx="130">
                  <c:v>1.043623685836792E-2</c:v>
                </c:pt>
                <c:pt idx="131">
                  <c:v>0.14167624711990356</c:v>
                </c:pt>
                <c:pt idx="132">
                  <c:v>0.26505792140960693</c:v>
                </c:pt>
                <c:pt idx="133">
                  <c:v>0.21374450623989105</c:v>
                </c:pt>
                <c:pt idx="134">
                  <c:v>-5.3136642090976238E-3</c:v>
                </c:pt>
                <c:pt idx="135">
                  <c:v>-0.29817888140678406</c:v>
                </c:pt>
                <c:pt idx="136">
                  <c:v>0.14797647297382355</c:v>
                </c:pt>
                <c:pt idx="137">
                  <c:v>-0.1001674011349678</c:v>
                </c:pt>
                <c:pt idx="138">
                  <c:v>-9.4299525022506714E-2</c:v>
                </c:pt>
                <c:pt idx="139">
                  <c:v>5.9134098701179028E-3</c:v>
                </c:pt>
                <c:pt idx="140">
                  <c:v>-2.1689670160412788E-2</c:v>
                </c:pt>
                <c:pt idx="141">
                  <c:v>2.8204165399074554E-2</c:v>
                </c:pt>
                <c:pt idx="142">
                  <c:v>2.6777803897857666E-2</c:v>
                </c:pt>
                <c:pt idx="143">
                  <c:v>7.2847483679652214E-3</c:v>
                </c:pt>
                <c:pt idx="144">
                  <c:v>0.2575933039188385</c:v>
                </c:pt>
                <c:pt idx="145">
                  <c:v>0.15727803111076355</c:v>
                </c:pt>
                <c:pt idx="146">
                  <c:v>5.4371953010559082E-2</c:v>
                </c:pt>
                <c:pt idx="147">
                  <c:v>-9.9151097238063812E-3</c:v>
                </c:pt>
                <c:pt idx="148">
                  <c:v>-7.710091769695282E-2</c:v>
                </c:pt>
                <c:pt idx="149">
                  <c:v>-8.3584971725940704E-2</c:v>
                </c:pt>
                <c:pt idx="150">
                  <c:v>-0.14047273993492126</c:v>
                </c:pt>
                <c:pt idx="151">
                  <c:v>-0.15816955268383026</c:v>
                </c:pt>
                <c:pt idx="152">
                  <c:v>1.5664487145841122E-3</c:v>
                </c:pt>
                <c:pt idx="153">
                  <c:v>-1.8451845273375511E-2</c:v>
                </c:pt>
                <c:pt idx="154">
                  <c:v>7.2439193725585938E-2</c:v>
                </c:pt>
                <c:pt idx="155">
                  <c:v>0.12784731388092041</c:v>
                </c:pt>
                <c:pt idx="156">
                  <c:v>0.15361137688159943</c:v>
                </c:pt>
                <c:pt idx="157">
                  <c:v>7.1022681891918182E-2</c:v>
                </c:pt>
                <c:pt idx="158">
                  <c:v>-0.12828347086906433</c:v>
                </c:pt>
                <c:pt idx="159">
                  <c:v>-0.27975168824195862</c:v>
                </c:pt>
                <c:pt idx="160">
                  <c:v>-0.89238560199737549</c:v>
                </c:pt>
                <c:pt idx="161">
                  <c:v>-0.91592234373092651</c:v>
                </c:pt>
                <c:pt idx="162">
                  <c:v>-0.52429789304733276</c:v>
                </c:pt>
                <c:pt idx="163">
                  <c:v>-0.22937969863414764</c:v>
                </c:pt>
                <c:pt idx="164">
                  <c:v>0.4614429771900177</c:v>
                </c:pt>
                <c:pt idx="165">
                  <c:v>0.50733017921447754</c:v>
                </c:pt>
                <c:pt idx="166">
                  <c:v>0.65460669994354248</c:v>
                </c:pt>
                <c:pt idx="167">
                  <c:v>0.93860572576522827</c:v>
                </c:pt>
                <c:pt idx="168">
                  <c:v>-0.38093966245651245</c:v>
                </c:pt>
                <c:pt idx="169">
                  <c:v>-0.31571817398071289</c:v>
                </c:pt>
                <c:pt idx="170">
                  <c:v>-0.14871010184288025</c:v>
                </c:pt>
                <c:pt idx="171">
                  <c:v>-0.14835438132286072</c:v>
                </c:pt>
                <c:pt idx="172">
                  <c:v>0.18932102620601654</c:v>
                </c:pt>
                <c:pt idx="173">
                  <c:v>0.19870610535144806</c:v>
                </c:pt>
                <c:pt idx="174">
                  <c:v>0.2513614296913147</c:v>
                </c:pt>
                <c:pt idx="175">
                  <c:v>0.35433375835418701</c:v>
                </c:pt>
                <c:pt idx="176">
                  <c:v>-0.54145669937133789</c:v>
                </c:pt>
                <c:pt idx="177">
                  <c:v>-0.49936622381210327</c:v>
                </c:pt>
                <c:pt idx="178">
                  <c:v>-5.7494193315505981E-2</c:v>
                </c:pt>
                <c:pt idx="179">
                  <c:v>7.6695054769515991E-2</c:v>
                </c:pt>
                <c:pt idx="180">
                  <c:v>0.14349238574504852</c:v>
                </c:pt>
                <c:pt idx="181">
                  <c:v>0.30281510949134827</c:v>
                </c:pt>
                <c:pt idx="182">
                  <c:v>0.35185384750366211</c:v>
                </c:pt>
                <c:pt idx="183">
                  <c:v>0.22346071898937225</c:v>
                </c:pt>
                <c:pt idx="184">
                  <c:v>0.24589483439922333</c:v>
                </c:pt>
                <c:pt idx="185">
                  <c:v>0.27215597033500671</c:v>
                </c:pt>
                <c:pt idx="186">
                  <c:v>0.12009990215301514</c:v>
                </c:pt>
                <c:pt idx="187">
                  <c:v>1.894092932343483E-2</c:v>
                </c:pt>
                <c:pt idx="188">
                  <c:v>-0.22987501323223114</c:v>
                </c:pt>
                <c:pt idx="189">
                  <c:v>-9.5691151916980743E-2</c:v>
                </c:pt>
                <c:pt idx="190">
                  <c:v>-0.14889487624168396</c:v>
                </c:pt>
                <c:pt idx="191">
                  <c:v>-0.18263058364391327</c:v>
                </c:pt>
                <c:pt idx="192">
                  <c:v>-0.41460239887237549</c:v>
                </c:pt>
                <c:pt idx="193">
                  <c:v>-1.0548895224928856E-2</c:v>
                </c:pt>
                <c:pt idx="194">
                  <c:v>7.865414023399353E-2</c:v>
                </c:pt>
                <c:pt idx="195">
                  <c:v>5.7503435760736465E-2</c:v>
                </c:pt>
                <c:pt idx="196">
                  <c:v>0.12852315604686737</c:v>
                </c:pt>
                <c:pt idx="197">
                  <c:v>1.3273023068904877E-2</c:v>
                </c:pt>
                <c:pt idx="198">
                  <c:v>6.7559599876403809E-2</c:v>
                </c:pt>
                <c:pt idx="199">
                  <c:v>7.9637929797172546E-2</c:v>
                </c:pt>
                <c:pt idx="200">
                  <c:v>-0.22796784341335297</c:v>
                </c:pt>
                <c:pt idx="201">
                  <c:v>-0.2288859486579895</c:v>
                </c:pt>
                <c:pt idx="202">
                  <c:v>2.4873107671737671E-2</c:v>
                </c:pt>
                <c:pt idx="203">
                  <c:v>0.27263185381889343</c:v>
                </c:pt>
                <c:pt idx="204">
                  <c:v>0.3629787266254425</c:v>
                </c:pt>
                <c:pt idx="205">
                  <c:v>0.25213316082954407</c:v>
                </c:pt>
                <c:pt idx="206">
                  <c:v>-5.0657391548156738E-2</c:v>
                </c:pt>
                <c:pt idx="207">
                  <c:v>-0.40510565042495728</c:v>
                </c:pt>
                <c:pt idx="208">
                  <c:v>0.86671924591064453</c:v>
                </c:pt>
                <c:pt idx="209">
                  <c:v>0.63073545694351196</c:v>
                </c:pt>
                <c:pt idx="210">
                  <c:v>-0.28686168789863586</c:v>
                </c:pt>
                <c:pt idx="211">
                  <c:v>-0.13629832863807678</c:v>
                </c:pt>
                <c:pt idx="212">
                  <c:v>-0.31480488181114197</c:v>
                </c:pt>
                <c:pt idx="213">
                  <c:v>-0.38088187575340271</c:v>
                </c:pt>
                <c:pt idx="214">
                  <c:v>-0.19093728065490723</c:v>
                </c:pt>
                <c:pt idx="215">
                  <c:v>-0.18767066299915314</c:v>
                </c:pt>
                <c:pt idx="216">
                  <c:v>-9.2075996100902557E-2</c:v>
                </c:pt>
                <c:pt idx="217">
                  <c:v>0.16049540042877197</c:v>
                </c:pt>
                <c:pt idx="218">
                  <c:v>-1.7408579587936401E-2</c:v>
                </c:pt>
                <c:pt idx="219">
                  <c:v>0.26241293549537659</c:v>
                </c:pt>
                <c:pt idx="220">
                  <c:v>0.45769211649894714</c:v>
                </c:pt>
                <c:pt idx="221">
                  <c:v>0.25725743174552917</c:v>
                </c:pt>
                <c:pt idx="222">
                  <c:v>-0.14027279615402222</c:v>
                </c:pt>
                <c:pt idx="223">
                  <c:v>-0.88810050487518311</c:v>
                </c:pt>
                <c:pt idx="224">
                  <c:v>0.11769617348909378</c:v>
                </c:pt>
                <c:pt idx="225">
                  <c:v>0.13732022047042847</c:v>
                </c:pt>
                <c:pt idx="226">
                  <c:v>-0.13092246651649475</c:v>
                </c:pt>
                <c:pt idx="227">
                  <c:v>-9.8848134279251099E-2</c:v>
                </c:pt>
                <c:pt idx="228">
                  <c:v>1.0817093774676323E-2</c:v>
                </c:pt>
                <c:pt idx="229">
                  <c:v>-6.5147139132022858E-2</c:v>
                </c:pt>
                <c:pt idx="230">
                  <c:v>-4.416501522064209E-2</c:v>
                </c:pt>
                <c:pt idx="231">
                  <c:v>7.3249265551567078E-2</c:v>
                </c:pt>
                <c:pt idx="232">
                  <c:v>-5.8112971484661102E-2</c:v>
                </c:pt>
                <c:pt idx="233">
                  <c:v>0.10198967903852463</c:v>
                </c:pt>
                <c:pt idx="234">
                  <c:v>6.9382041692733765E-2</c:v>
                </c:pt>
                <c:pt idx="235">
                  <c:v>1.2795660644769669E-2</c:v>
                </c:pt>
                <c:pt idx="236">
                  <c:v>-0.16933389008045197</c:v>
                </c:pt>
                <c:pt idx="237">
                  <c:v>-0.10588119179010391</c:v>
                </c:pt>
                <c:pt idx="238">
                  <c:v>2.7570366859436035E-2</c:v>
                </c:pt>
                <c:pt idx="239">
                  <c:v>0.12159030139446259</c:v>
                </c:pt>
                <c:pt idx="240">
                  <c:v>-0.26181387901306152</c:v>
                </c:pt>
                <c:pt idx="241">
                  <c:v>-8.8922686874866486E-2</c:v>
                </c:pt>
                <c:pt idx="242">
                  <c:v>7.9873532056808472E-2</c:v>
                </c:pt>
                <c:pt idx="243">
                  <c:v>5.5118653923273087E-2</c:v>
                </c:pt>
                <c:pt idx="244">
                  <c:v>-1.7380552366375923E-2</c:v>
                </c:pt>
                <c:pt idx="245">
                  <c:v>-8.9315749704837799E-2</c:v>
                </c:pt>
                <c:pt idx="246">
                  <c:v>0.10454034805297852</c:v>
                </c:pt>
                <c:pt idx="247">
                  <c:v>0.21790032088756561</c:v>
                </c:pt>
                <c:pt idx="248">
                  <c:v>2.0847329869866371E-2</c:v>
                </c:pt>
                <c:pt idx="249">
                  <c:v>0.16132956743240356</c:v>
                </c:pt>
                <c:pt idx="250">
                  <c:v>8.2386940717697144E-2</c:v>
                </c:pt>
                <c:pt idx="251">
                  <c:v>0.11798867583274841</c:v>
                </c:pt>
                <c:pt idx="252">
                  <c:v>-4.5794803649187088E-2</c:v>
                </c:pt>
                <c:pt idx="253">
                  <c:v>-0.27594026923179626</c:v>
                </c:pt>
                <c:pt idx="254">
                  <c:v>-0.23251533508300781</c:v>
                </c:pt>
                <c:pt idx="255">
                  <c:v>0.17169789969921112</c:v>
                </c:pt>
                <c:pt idx="256">
                  <c:v>0.64068323373794556</c:v>
                </c:pt>
                <c:pt idx="257">
                  <c:v>0.51102316379547119</c:v>
                </c:pt>
                <c:pt idx="258">
                  <c:v>0.17426972091197968</c:v>
                </c:pt>
                <c:pt idx="259">
                  <c:v>-0.64592951536178589</c:v>
                </c:pt>
                <c:pt idx="260">
                  <c:v>-0.50464224815368652</c:v>
                </c:pt>
                <c:pt idx="261">
                  <c:v>-0.24447920918464661</c:v>
                </c:pt>
                <c:pt idx="262">
                  <c:v>5.2190378308296204E-2</c:v>
                </c:pt>
                <c:pt idx="263">
                  <c:v>1.6884448006749153E-2</c:v>
                </c:pt>
                <c:pt idx="264">
                  <c:v>0.52768111228942871</c:v>
                </c:pt>
                <c:pt idx="265">
                  <c:v>0.21354895830154419</c:v>
                </c:pt>
                <c:pt idx="266">
                  <c:v>-0.16657593846321106</c:v>
                </c:pt>
                <c:pt idx="267">
                  <c:v>-0.2119545042514801</c:v>
                </c:pt>
                <c:pt idx="268">
                  <c:v>-0.17014868557453156</c:v>
                </c:pt>
                <c:pt idx="269">
                  <c:v>-0.16932927072048187</c:v>
                </c:pt>
                <c:pt idx="270">
                  <c:v>-8.4678411483764648E-2</c:v>
                </c:pt>
                <c:pt idx="271">
                  <c:v>6.1456728726625443E-2</c:v>
                </c:pt>
                <c:pt idx="272">
                  <c:v>-0.72537142038345337</c:v>
                </c:pt>
                <c:pt idx="273">
                  <c:v>-1.0758864879608154</c:v>
                </c:pt>
                <c:pt idx="274">
                  <c:v>-0.66399633884429932</c:v>
                </c:pt>
                <c:pt idx="275">
                  <c:v>0.21390867233276367</c:v>
                </c:pt>
                <c:pt idx="276">
                  <c:v>0.48429518938064575</c:v>
                </c:pt>
                <c:pt idx="277">
                  <c:v>0.43621188402175903</c:v>
                </c:pt>
                <c:pt idx="278">
                  <c:v>0.6955217719078064</c:v>
                </c:pt>
                <c:pt idx="279">
                  <c:v>0.63531678915023804</c:v>
                </c:pt>
                <c:pt idx="280">
                  <c:v>0.296812504529953</c:v>
                </c:pt>
                <c:pt idx="281">
                  <c:v>0.4298427402973175</c:v>
                </c:pt>
                <c:pt idx="282">
                  <c:v>0.19157832860946655</c:v>
                </c:pt>
                <c:pt idx="283">
                  <c:v>1.8617216497659683E-2</c:v>
                </c:pt>
                <c:pt idx="284">
                  <c:v>-0.26546132564544678</c:v>
                </c:pt>
                <c:pt idx="285">
                  <c:v>-0.250174880027771</c:v>
                </c:pt>
                <c:pt idx="286">
                  <c:v>-0.21161225438117981</c:v>
                </c:pt>
                <c:pt idx="287">
                  <c:v>-0.20960234105587006</c:v>
                </c:pt>
                <c:pt idx="288">
                  <c:v>7.6642967760562897E-2</c:v>
                </c:pt>
                <c:pt idx="289">
                  <c:v>0.13372209668159485</c:v>
                </c:pt>
                <c:pt idx="290">
                  <c:v>0.20020240545272827</c:v>
                </c:pt>
                <c:pt idx="291">
                  <c:v>0.1493869423866272</c:v>
                </c:pt>
                <c:pt idx="292">
                  <c:v>-5.1940787583589554E-2</c:v>
                </c:pt>
                <c:pt idx="293">
                  <c:v>-0.11646164208650589</c:v>
                </c:pt>
                <c:pt idx="294">
                  <c:v>-0.16445401310920715</c:v>
                </c:pt>
                <c:pt idx="295">
                  <c:v>-0.22709797322750092</c:v>
                </c:pt>
                <c:pt idx="296">
                  <c:v>-0.13879092037677765</c:v>
                </c:pt>
                <c:pt idx="297">
                  <c:v>-1.4173543080687523E-2</c:v>
                </c:pt>
                <c:pt idx="298">
                  <c:v>-3.1102538108825684E-2</c:v>
                </c:pt>
                <c:pt idx="299">
                  <c:v>7.6692136935889721E-3</c:v>
                </c:pt>
                <c:pt idx="300">
                  <c:v>1.9934965297579765E-2</c:v>
                </c:pt>
                <c:pt idx="301">
                  <c:v>6.5686993300914764E-2</c:v>
                </c:pt>
                <c:pt idx="302">
                  <c:v>-1.7008143186103553E-4</c:v>
                </c:pt>
                <c:pt idx="303">
                  <c:v>9.0945914387702942E-2</c:v>
                </c:pt>
                <c:pt idx="304">
                  <c:v>-1.6552409157156944E-2</c:v>
                </c:pt>
                <c:pt idx="305">
                  <c:v>9.4480834901332855E-2</c:v>
                </c:pt>
                <c:pt idx="306">
                  <c:v>4.86602783203125E-2</c:v>
                </c:pt>
                <c:pt idx="307">
                  <c:v>3.9713028818368912E-2</c:v>
                </c:pt>
                <c:pt idx="308">
                  <c:v>2.5672150775790215E-2</c:v>
                </c:pt>
                <c:pt idx="309">
                  <c:v>-1.8953152000904083E-2</c:v>
                </c:pt>
                <c:pt idx="310">
                  <c:v>-7.9950302839279175E-2</c:v>
                </c:pt>
                <c:pt idx="311">
                  <c:v>-9.3070432543754578E-2</c:v>
                </c:pt>
                <c:pt idx="312">
                  <c:v>7.7125169336795807E-2</c:v>
                </c:pt>
                <c:pt idx="313">
                  <c:v>0.27620640397071838</c:v>
                </c:pt>
                <c:pt idx="314">
                  <c:v>0.33711439371109009</c:v>
                </c:pt>
                <c:pt idx="315">
                  <c:v>8.4450423717498779E-2</c:v>
                </c:pt>
                <c:pt idx="316">
                  <c:v>-6.5093263983726501E-2</c:v>
                </c:pt>
                <c:pt idx="317">
                  <c:v>-0.18807341158390045</c:v>
                </c:pt>
                <c:pt idx="318">
                  <c:v>-0.30463066697120667</c:v>
                </c:pt>
                <c:pt idx="319">
                  <c:v>-0.21709905564785004</c:v>
                </c:pt>
                <c:pt idx="320">
                  <c:v>0.32485294342041016</c:v>
                </c:pt>
                <c:pt idx="321">
                  <c:v>0.50797086954116821</c:v>
                </c:pt>
                <c:pt idx="322">
                  <c:v>0.17414042353630066</c:v>
                </c:pt>
                <c:pt idx="323">
                  <c:v>-0.11764755845069885</c:v>
                </c:pt>
                <c:pt idx="324">
                  <c:v>-0.39463672041893005</c:v>
                </c:pt>
                <c:pt idx="325">
                  <c:v>-0.30886921286582947</c:v>
                </c:pt>
                <c:pt idx="326">
                  <c:v>-0.18218183517456055</c:v>
                </c:pt>
                <c:pt idx="327">
                  <c:v>-3.6289216950535774E-3</c:v>
                </c:pt>
                <c:pt idx="328">
                  <c:v>-0.371204674243927</c:v>
                </c:pt>
                <c:pt idx="329">
                  <c:v>-0.1589653491973877</c:v>
                </c:pt>
                <c:pt idx="330">
                  <c:v>-4.3395131826400757E-2</c:v>
                </c:pt>
                <c:pt idx="331">
                  <c:v>-7.620665431022644E-2</c:v>
                </c:pt>
                <c:pt idx="332">
                  <c:v>8.4286317229270935E-2</c:v>
                </c:pt>
                <c:pt idx="333">
                  <c:v>0.19075997173786163</c:v>
                </c:pt>
                <c:pt idx="334">
                  <c:v>0.18459099531173706</c:v>
                </c:pt>
                <c:pt idx="335">
                  <c:v>0.19013451039791107</c:v>
                </c:pt>
                <c:pt idx="336">
                  <c:v>-0.29408088326454163</c:v>
                </c:pt>
                <c:pt idx="337">
                  <c:v>-7.674870640039444E-2</c:v>
                </c:pt>
                <c:pt idx="338">
                  <c:v>0.21272736787796021</c:v>
                </c:pt>
                <c:pt idx="339">
                  <c:v>0.18008655309677124</c:v>
                </c:pt>
                <c:pt idx="340">
                  <c:v>0.1323247104883194</c:v>
                </c:pt>
                <c:pt idx="341">
                  <c:v>0.14496754109859467</c:v>
                </c:pt>
                <c:pt idx="342">
                  <c:v>-1.0812908411026001E-2</c:v>
                </c:pt>
                <c:pt idx="343">
                  <c:v>-0.28846368193626404</c:v>
                </c:pt>
                <c:pt idx="344">
                  <c:v>0.39348754286766052</c:v>
                </c:pt>
                <c:pt idx="345">
                  <c:v>0.28629985451698303</c:v>
                </c:pt>
                <c:pt idx="346">
                  <c:v>6.7515671253204346E-2</c:v>
                </c:pt>
                <c:pt idx="347">
                  <c:v>-0.52289658784866333</c:v>
                </c:pt>
                <c:pt idx="348">
                  <c:v>-0.62094354629516602</c:v>
                </c:pt>
                <c:pt idx="349">
                  <c:v>-9.3994148075580597E-2</c:v>
                </c:pt>
                <c:pt idx="350">
                  <c:v>0.16925176978111267</c:v>
                </c:pt>
                <c:pt idx="351">
                  <c:v>0.32127943634986877</c:v>
                </c:pt>
                <c:pt idx="352">
                  <c:v>-0.25890955328941345</c:v>
                </c:pt>
                <c:pt idx="353">
                  <c:v>-0.48176458477973938</c:v>
                </c:pt>
                <c:pt idx="354">
                  <c:v>-0.61716759204864502</c:v>
                </c:pt>
                <c:pt idx="355">
                  <c:v>-3.5046335309743881E-2</c:v>
                </c:pt>
                <c:pt idx="356">
                  <c:v>0.41620475053787231</c:v>
                </c:pt>
                <c:pt idx="357">
                  <c:v>0.51514774560928345</c:v>
                </c:pt>
                <c:pt idx="358">
                  <c:v>0.34540596604347229</c:v>
                </c:pt>
                <c:pt idx="359">
                  <c:v>0.11612959206104279</c:v>
                </c:pt>
                <c:pt idx="360">
                  <c:v>0.13943324983119965</c:v>
                </c:pt>
                <c:pt idx="361">
                  <c:v>0.23613134026527405</c:v>
                </c:pt>
                <c:pt idx="362">
                  <c:v>0.19737893342971802</c:v>
                </c:pt>
                <c:pt idx="363">
                  <c:v>4.3537560850381851E-2</c:v>
                </c:pt>
                <c:pt idx="364">
                  <c:v>-0.23708818852901459</c:v>
                </c:pt>
                <c:pt idx="365">
                  <c:v>-0.22116567194461823</c:v>
                </c:pt>
                <c:pt idx="366">
                  <c:v>-6.5796524286270142E-2</c:v>
                </c:pt>
                <c:pt idx="367">
                  <c:v>-9.243069589138031E-2</c:v>
                </c:pt>
                <c:pt idx="368">
                  <c:v>6.2159068882465363E-2</c:v>
                </c:pt>
                <c:pt idx="369">
                  <c:v>0.23842078447341919</c:v>
                </c:pt>
                <c:pt idx="370">
                  <c:v>0.19387790560722351</c:v>
                </c:pt>
                <c:pt idx="371">
                  <c:v>0.13972935080528259</c:v>
                </c:pt>
                <c:pt idx="372">
                  <c:v>-1.4792518690228462E-2</c:v>
                </c:pt>
                <c:pt idx="373">
                  <c:v>-0.16582833230495453</c:v>
                </c:pt>
                <c:pt idx="374">
                  <c:v>-0.23987030982971191</c:v>
                </c:pt>
                <c:pt idx="375">
                  <c:v>-0.2136959582567215</c:v>
                </c:pt>
                <c:pt idx="376">
                  <c:v>-0.63092637062072754</c:v>
                </c:pt>
                <c:pt idx="377">
                  <c:v>-0.58461952209472656</c:v>
                </c:pt>
                <c:pt idx="378">
                  <c:v>8.9960753917694092E-2</c:v>
                </c:pt>
                <c:pt idx="379">
                  <c:v>0.27222901582717896</c:v>
                </c:pt>
                <c:pt idx="380">
                  <c:v>0.22846068441867828</c:v>
                </c:pt>
                <c:pt idx="381">
                  <c:v>0.22561059892177582</c:v>
                </c:pt>
                <c:pt idx="382">
                  <c:v>0.21838352084159851</c:v>
                </c:pt>
                <c:pt idx="383">
                  <c:v>0.18090130388736725</c:v>
                </c:pt>
                <c:pt idx="384">
                  <c:v>0.23840413987636566</c:v>
                </c:pt>
                <c:pt idx="385">
                  <c:v>2.4332189932465553E-2</c:v>
                </c:pt>
                <c:pt idx="386">
                  <c:v>-0.33392661809921265</c:v>
                </c:pt>
                <c:pt idx="387">
                  <c:v>7.2986516170203686E-3</c:v>
                </c:pt>
                <c:pt idx="388">
                  <c:v>9.9721446633338928E-2</c:v>
                </c:pt>
                <c:pt idx="389">
                  <c:v>3.7960045039653778E-2</c:v>
                </c:pt>
                <c:pt idx="390">
                  <c:v>-2.9274851083755493E-2</c:v>
                </c:pt>
                <c:pt idx="391">
                  <c:v>-4.4514995068311691E-2</c:v>
                </c:pt>
                <c:pt idx="392">
                  <c:v>0.52148813009262085</c:v>
                </c:pt>
                <c:pt idx="393">
                  <c:v>0.54989928007125854</c:v>
                </c:pt>
                <c:pt idx="394">
                  <c:v>7.5052618980407715E-2</c:v>
                </c:pt>
                <c:pt idx="395">
                  <c:v>-4.266786202788353E-2</c:v>
                </c:pt>
                <c:pt idx="396">
                  <c:v>-0.3177608847618103</c:v>
                </c:pt>
                <c:pt idx="397">
                  <c:v>-0.33250230550765991</c:v>
                </c:pt>
                <c:pt idx="398">
                  <c:v>-0.22442445158958435</c:v>
                </c:pt>
                <c:pt idx="399">
                  <c:v>-0.22908453643321991</c:v>
                </c:pt>
                <c:pt idx="400">
                  <c:v>9.3589611351490021E-2</c:v>
                </c:pt>
                <c:pt idx="401">
                  <c:v>-3.1076723244041204E-3</c:v>
                </c:pt>
                <c:pt idx="402">
                  <c:v>0.10431411862373352</c:v>
                </c:pt>
                <c:pt idx="403">
                  <c:v>3.9998922497034073E-2</c:v>
                </c:pt>
                <c:pt idx="404">
                  <c:v>-0.15356971323490143</c:v>
                </c:pt>
                <c:pt idx="405">
                  <c:v>-7.2070159018039703E-2</c:v>
                </c:pt>
                <c:pt idx="406">
                  <c:v>-2.0528972148895264E-2</c:v>
                </c:pt>
                <c:pt idx="407">
                  <c:v>1.137386541813612E-2</c:v>
                </c:pt>
                <c:pt idx="408">
                  <c:v>-1.4971847534179688</c:v>
                </c:pt>
                <c:pt idx="409">
                  <c:v>-1.0720381736755371</c:v>
                </c:pt>
                <c:pt idx="410">
                  <c:v>-0.3227999210357666</c:v>
                </c:pt>
                <c:pt idx="411">
                  <c:v>0.27443566918373108</c:v>
                </c:pt>
                <c:pt idx="412">
                  <c:v>0.84126847982406616</c:v>
                </c:pt>
                <c:pt idx="413">
                  <c:v>0.84249919652938843</c:v>
                </c:pt>
                <c:pt idx="414">
                  <c:v>0.67844659090042114</c:v>
                </c:pt>
                <c:pt idx="415">
                  <c:v>0.25537285208702087</c:v>
                </c:pt>
                <c:pt idx="416">
                  <c:v>0.15290568768978119</c:v>
                </c:pt>
                <c:pt idx="417">
                  <c:v>0.21016648411750793</c:v>
                </c:pt>
                <c:pt idx="418">
                  <c:v>0.16852825880050659</c:v>
                </c:pt>
                <c:pt idx="419">
                  <c:v>4.7645870596170425E-2</c:v>
                </c:pt>
                <c:pt idx="420">
                  <c:v>3.615940734744072E-2</c:v>
                </c:pt>
                <c:pt idx="421">
                  <c:v>-0.12347472459077835</c:v>
                </c:pt>
                <c:pt idx="422">
                  <c:v>-0.22277095913887024</c:v>
                </c:pt>
                <c:pt idx="423">
                  <c:v>-0.26916000247001648</c:v>
                </c:pt>
              </c:numCache>
            </c:numRef>
          </c:xVal>
          <c:yVal>
            <c:numRef>
              <c:f>Sheet1!$F$2:$F$569</c:f>
              <c:numCache>
                <c:formatCode>0.00</c:formatCode>
                <c:ptCount val="424"/>
                <c:pt idx="0">
                  <c:v>-1.0719946585595608E-2</c:v>
                </c:pt>
                <c:pt idx="1">
                  <c:v>-1.4814593829214573E-2</c:v>
                </c:pt>
                <c:pt idx="2">
                  <c:v>-1.3328457251191139E-2</c:v>
                </c:pt>
                <c:pt idx="3">
                  <c:v>-9.7012268379330635E-3</c:v>
                </c:pt>
                <c:pt idx="4">
                  <c:v>-5.1962025463581085E-4</c:v>
                </c:pt>
                <c:pt idx="5">
                  <c:v>7.016901858150959E-3</c:v>
                </c:pt>
                <c:pt idx="6">
                  <c:v>1.6778472810983658E-2</c:v>
                </c:pt>
                <c:pt idx="7">
                  <c:v>2.5288468226790428E-2</c:v>
                </c:pt>
                <c:pt idx="8">
                  <c:v>2.3888299241662025E-2</c:v>
                </c:pt>
                <c:pt idx="9">
                  <c:v>3.4271381795406342E-2</c:v>
                </c:pt>
                <c:pt idx="10">
                  <c:v>2.1963572129607201E-2</c:v>
                </c:pt>
                <c:pt idx="11">
                  <c:v>3.7645348347723484E-3</c:v>
                </c:pt>
                <c:pt idx="12">
                  <c:v>-1.9319521263241768E-2</c:v>
                </c:pt>
                <c:pt idx="13">
                  <c:v>-3.3299561589956284E-2</c:v>
                </c:pt>
                <c:pt idx="14">
                  <c:v>-2.3400183767080307E-2</c:v>
                </c:pt>
                <c:pt idx="15">
                  <c:v>-7.8685218468308449E-3</c:v>
                </c:pt>
                <c:pt idx="16">
                  <c:v>-8.503635972738266E-2</c:v>
                </c:pt>
                <c:pt idx="17">
                  <c:v>-7.079971581697464E-2</c:v>
                </c:pt>
                <c:pt idx="18">
                  <c:v>-4.6690039336681366E-2</c:v>
                </c:pt>
                <c:pt idx="19">
                  <c:v>-1.4085416682064533E-2</c:v>
                </c:pt>
                <c:pt idx="20">
                  <c:v>2.9709799215197563E-2</c:v>
                </c:pt>
                <c:pt idx="21">
                  <c:v>5.6193206459283829E-2</c:v>
                </c:pt>
                <c:pt idx="22">
                  <c:v>6.381545215845108E-2</c:v>
                </c:pt>
                <c:pt idx="23">
                  <c:v>6.68930783867836E-2</c:v>
                </c:pt>
                <c:pt idx="24">
                  <c:v>-1.2179574929177761E-2</c:v>
                </c:pt>
                <c:pt idx="25">
                  <c:v>2.4669086560606956E-3</c:v>
                </c:pt>
                <c:pt idx="26">
                  <c:v>3.0306039843708277E-3</c:v>
                </c:pt>
                <c:pt idx="27">
                  <c:v>-3.7996820174157619E-3</c:v>
                </c:pt>
                <c:pt idx="28">
                  <c:v>-1.259269006550312E-2</c:v>
                </c:pt>
                <c:pt idx="29">
                  <c:v>-5.7385219261050224E-3</c:v>
                </c:pt>
                <c:pt idx="30">
                  <c:v>1.2194608338177204E-2</c:v>
                </c:pt>
                <c:pt idx="31">
                  <c:v>1.661834679543972E-2</c:v>
                </c:pt>
                <c:pt idx="32">
                  <c:v>-4.0112309157848358E-2</c:v>
                </c:pt>
                <c:pt idx="33">
                  <c:v>-3.6711074411869049E-2</c:v>
                </c:pt>
                <c:pt idx="34">
                  <c:v>-2.9767775908112526E-2</c:v>
                </c:pt>
                <c:pt idx="35">
                  <c:v>-1.7775153741240501E-2</c:v>
                </c:pt>
                <c:pt idx="36">
                  <c:v>-4.1043628007173538E-3</c:v>
                </c:pt>
                <c:pt idx="37">
                  <c:v>1.5016202814877033E-2</c:v>
                </c:pt>
                <c:pt idx="38">
                  <c:v>4.3205145746469498E-2</c:v>
                </c:pt>
                <c:pt idx="39">
                  <c:v>7.0249326527118683E-2</c:v>
                </c:pt>
                <c:pt idx="40">
                  <c:v>5.7191051542758942E-2</c:v>
                </c:pt>
                <c:pt idx="41">
                  <c:v>7.6113097369670868E-2</c:v>
                </c:pt>
                <c:pt idx="42">
                  <c:v>8.1791587173938751E-2</c:v>
                </c:pt>
                <c:pt idx="43">
                  <c:v>5.5098887532949448E-2</c:v>
                </c:pt>
                <c:pt idx="44">
                  <c:v>1.1421186849474907E-2</c:v>
                </c:pt>
                <c:pt idx="45">
                  <c:v>-5.511036142706871E-2</c:v>
                </c:pt>
                <c:pt idx="46">
                  <c:v>-9.8102949559688568E-2</c:v>
                </c:pt>
                <c:pt idx="47">
                  <c:v>-0.12840250134468079</c:v>
                </c:pt>
                <c:pt idx="48">
                  <c:v>2.483157254755497E-2</c:v>
                </c:pt>
                <c:pt idx="49">
                  <c:v>1.3592950068414211E-2</c:v>
                </c:pt>
                <c:pt idx="50">
                  <c:v>5.1611126400530338E-3</c:v>
                </c:pt>
                <c:pt idx="51">
                  <c:v>-1.7833759775385261E-3</c:v>
                </c:pt>
                <c:pt idx="52">
                  <c:v>-4.524843767285347E-3</c:v>
                </c:pt>
                <c:pt idx="53">
                  <c:v>-6.0549033805727959E-3</c:v>
                </c:pt>
                <c:pt idx="54">
                  <c:v>-1.2685562483966351E-2</c:v>
                </c:pt>
                <c:pt idx="55">
                  <c:v>-1.8536949530243874E-2</c:v>
                </c:pt>
                <c:pt idx="56">
                  <c:v>3.1116395257413387E-3</c:v>
                </c:pt>
                <c:pt idx="57">
                  <c:v>1.2566959485411644E-3</c:v>
                </c:pt>
                <c:pt idx="58">
                  <c:v>-3.442109446041286E-4</c:v>
                </c:pt>
                <c:pt idx="59">
                  <c:v>-4.045968409627676E-3</c:v>
                </c:pt>
                <c:pt idx="60">
                  <c:v>-2.8160978108644485E-3</c:v>
                </c:pt>
                <c:pt idx="61">
                  <c:v>-2.4343880795640871E-5</c:v>
                </c:pt>
                <c:pt idx="62">
                  <c:v>3.638015768956393E-4</c:v>
                </c:pt>
                <c:pt idx="63">
                  <c:v>2.4984839837998152E-3</c:v>
                </c:pt>
                <c:pt idx="64">
                  <c:v>-6.081125233322382E-3</c:v>
                </c:pt>
                <c:pt idx="65">
                  <c:v>-2.027113176882267E-2</c:v>
                </c:pt>
                <c:pt idx="66">
                  <c:v>-3.1445734202861786E-2</c:v>
                </c:pt>
                <c:pt idx="67">
                  <c:v>-2.7035778388381004E-2</c:v>
                </c:pt>
                <c:pt idx="68">
                  <c:v>-9.5731783658266068E-3</c:v>
                </c:pt>
                <c:pt idx="69">
                  <c:v>7.2840796783566475E-3</c:v>
                </c:pt>
                <c:pt idx="70">
                  <c:v>2.999630942940712E-2</c:v>
                </c:pt>
                <c:pt idx="71">
                  <c:v>5.7126559317111969E-2</c:v>
                </c:pt>
                <c:pt idx="72">
                  <c:v>3.9731569588184357E-2</c:v>
                </c:pt>
                <c:pt idx="73">
                  <c:v>3.5008929669857025E-2</c:v>
                </c:pt>
                <c:pt idx="74">
                  <c:v>2.499089203774929E-2</c:v>
                </c:pt>
                <c:pt idx="75">
                  <c:v>-1.2611419151653536E-5</c:v>
                </c:pt>
                <c:pt idx="76">
                  <c:v>-1.9237147644162178E-2</c:v>
                </c:pt>
                <c:pt idx="77">
                  <c:v>-1.9219394773244858E-2</c:v>
                </c:pt>
                <c:pt idx="78">
                  <c:v>-2.8970714658498764E-2</c:v>
                </c:pt>
                <c:pt idx="79">
                  <c:v>-3.2291524112224579E-2</c:v>
                </c:pt>
                <c:pt idx="80">
                  <c:v>-5.8538787066936493E-2</c:v>
                </c:pt>
                <c:pt idx="81">
                  <c:v>-4.5164741575717926E-2</c:v>
                </c:pt>
                <c:pt idx="82">
                  <c:v>-1.8838489428162575E-2</c:v>
                </c:pt>
                <c:pt idx="83">
                  <c:v>-3.651296254247427E-3</c:v>
                </c:pt>
                <c:pt idx="84">
                  <c:v>9.3931686133146286E-3</c:v>
                </c:pt>
                <c:pt idx="85">
                  <c:v>2.2765938192605972E-2</c:v>
                </c:pt>
                <c:pt idx="86">
                  <c:v>4.0121857076883316E-2</c:v>
                </c:pt>
                <c:pt idx="87">
                  <c:v>5.3912349045276642E-2</c:v>
                </c:pt>
                <c:pt idx="88">
                  <c:v>-4.4891111552715302E-2</c:v>
                </c:pt>
                <c:pt idx="89">
                  <c:v>-3.098706342279911E-2</c:v>
                </c:pt>
                <c:pt idx="90">
                  <c:v>-7.8930500894784927E-3</c:v>
                </c:pt>
                <c:pt idx="91">
                  <c:v>-3.7496439181268215E-3</c:v>
                </c:pt>
                <c:pt idx="92">
                  <c:v>4.5705568045377731E-3</c:v>
                </c:pt>
                <c:pt idx="93">
                  <c:v>1.6671840101480484E-2</c:v>
                </c:pt>
                <c:pt idx="94">
                  <c:v>3.0934754759073257E-2</c:v>
                </c:pt>
                <c:pt idx="95">
                  <c:v>3.53437140583992E-2</c:v>
                </c:pt>
                <c:pt idx="96">
                  <c:v>-4.0287815034389496E-2</c:v>
                </c:pt>
                <c:pt idx="97">
                  <c:v>-1.2733587063848972E-2</c:v>
                </c:pt>
                <c:pt idx="98">
                  <c:v>1.2721246108412743E-2</c:v>
                </c:pt>
                <c:pt idx="99">
                  <c:v>2.3414963856339455E-2</c:v>
                </c:pt>
                <c:pt idx="100">
                  <c:v>8.8441204279661179E-3</c:v>
                </c:pt>
                <c:pt idx="101">
                  <c:v>2.7945982292294502E-3</c:v>
                </c:pt>
                <c:pt idx="102">
                  <c:v>8.636091835796833E-3</c:v>
                </c:pt>
                <c:pt idx="103">
                  <c:v>-3.3896204549819231E-3</c:v>
                </c:pt>
                <c:pt idx="104">
                  <c:v>-6.5188787877559662E-2</c:v>
                </c:pt>
                <c:pt idx="105">
                  <c:v>-5.3575702011585236E-2</c:v>
                </c:pt>
                <c:pt idx="106">
                  <c:v>-2.2457951679825783E-2</c:v>
                </c:pt>
                <c:pt idx="107">
                  <c:v>7.5054713524878025E-3</c:v>
                </c:pt>
                <c:pt idx="108">
                  <c:v>2.2004289552569389E-2</c:v>
                </c:pt>
                <c:pt idx="109">
                  <c:v>2.7174267917871475E-2</c:v>
                </c:pt>
                <c:pt idx="110">
                  <c:v>3.9757762104272842E-2</c:v>
                </c:pt>
                <c:pt idx="111">
                  <c:v>4.4780649244785309E-2</c:v>
                </c:pt>
                <c:pt idx="112">
                  <c:v>1.9385585561394691E-2</c:v>
                </c:pt>
                <c:pt idx="113">
                  <c:v>2.1269043907523155E-2</c:v>
                </c:pt>
                <c:pt idx="114">
                  <c:v>2.7775799855589867E-2</c:v>
                </c:pt>
                <c:pt idx="115">
                  <c:v>3.3666577190160751E-2</c:v>
                </c:pt>
                <c:pt idx="116">
                  <c:v>2.5165392085909843E-2</c:v>
                </c:pt>
                <c:pt idx="117">
                  <c:v>-7.5102401897311211E-3</c:v>
                </c:pt>
                <c:pt idx="118">
                  <c:v>-4.1966494172811508E-2</c:v>
                </c:pt>
                <c:pt idx="119">
                  <c:v>-7.7785663306713104E-2</c:v>
                </c:pt>
                <c:pt idx="120">
                  <c:v>6.5049894154071808E-2</c:v>
                </c:pt>
                <c:pt idx="121">
                  <c:v>6.4961157739162445E-2</c:v>
                </c:pt>
                <c:pt idx="122">
                  <c:v>5.5223263800144196E-2</c:v>
                </c:pt>
                <c:pt idx="123">
                  <c:v>3.2391276210546494E-2</c:v>
                </c:pt>
                <c:pt idx="124">
                  <c:v>1.9517671316862106E-3</c:v>
                </c:pt>
                <c:pt idx="125">
                  <c:v>-4.5502956956624985E-2</c:v>
                </c:pt>
                <c:pt idx="126">
                  <c:v>-7.8182987868785858E-2</c:v>
                </c:pt>
                <c:pt idx="127">
                  <c:v>-9.5891408622264862E-2</c:v>
                </c:pt>
                <c:pt idx="128">
                  <c:v>-1.8667192198336124E-3</c:v>
                </c:pt>
                <c:pt idx="129">
                  <c:v>-3.0545661225914955E-2</c:v>
                </c:pt>
                <c:pt idx="130">
                  <c:v>-6.3529126346111298E-2</c:v>
                </c:pt>
                <c:pt idx="131">
                  <c:v>-6.3051886856555939E-2</c:v>
                </c:pt>
                <c:pt idx="132">
                  <c:v>-2.8319912031292915E-2</c:v>
                </c:pt>
                <c:pt idx="133">
                  <c:v>4.2141471058130264E-2</c:v>
                </c:pt>
                <c:pt idx="134">
                  <c:v>7.3672331869602203E-2</c:v>
                </c:pt>
                <c:pt idx="135">
                  <c:v>7.1499504148960114E-2</c:v>
                </c:pt>
                <c:pt idx="136">
                  <c:v>-4.8344992101192474E-2</c:v>
                </c:pt>
                <c:pt idx="137">
                  <c:v>-2.4443337693810463E-2</c:v>
                </c:pt>
                <c:pt idx="138">
                  <c:v>-5.7893930934369564E-3</c:v>
                </c:pt>
                <c:pt idx="139">
                  <c:v>2.0132609643042088E-3</c:v>
                </c:pt>
                <c:pt idx="140">
                  <c:v>5.6363772600889206E-3</c:v>
                </c:pt>
                <c:pt idx="141">
                  <c:v>1.1118446476757526E-2</c:v>
                </c:pt>
                <c:pt idx="142">
                  <c:v>2.0216260105371475E-2</c:v>
                </c:pt>
                <c:pt idx="143">
                  <c:v>3.9593376219272614E-2</c:v>
                </c:pt>
                <c:pt idx="144">
                  <c:v>9.7854817286133766E-3</c:v>
                </c:pt>
                <c:pt idx="145">
                  <c:v>-7.6234126463532448E-3</c:v>
                </c:pt>
                <c:pt idx="146">
                  <c:v>-1.5311622992157936E-2</c:v>
                </c:pt>
                <c:pt idx="147">
                  <c:v>-2.0087694749236107E-2</c:v>
                </c:pt>
                <c:pt idx="148">
                  <c:v>-8.796321228146553E-3</c:v>
                </c:pt>
                <c:pt idx="149">
                  <c:v>1.307940948754549E-2</c:v>
                </c:pt>
                <c:pt idx="150">
                  <c:v>1.6005281358957291E-2</c:v>
                </c:pt>
                <c:pt idx="151">
                  <c:v>1.2948877178132534E-2</c:v>
                </c:pt>
                <c:pt idx="152">
                  <c:v>1.8051603808999062E-2</c:v>
                </c:pt>
                <c:pt idx="153">
                  <c:v>1.092927809804678E-2</c:v>
                </c:pt>
                <c:pt idx="154">
                  <c:v>1.4653264079242945E-3</c:v>
                </c:pt>
                <c:pt idx="155">
                  <c:v>-1.2647693045437336E-2</c:v>
                </c:pt>
                <c:pt idx="156">
                  <c:v>-1.186557300388813E-2</c:v>
                </c:pt>
                <c:pt idx="157">
                  <c:v>2.4401294067502022E-3</c:v>
                </c:pt>
                <c:pt idx="158">
                  <c:v>-2.0035160705447197E-3</c:v>
                </c:pt>
                <c:pt idx="159">
                  <c:v>-6.3695544376969337E-3</c:v>
                </c:pt>
                <c:pt idx="160">
                  <c:v>-3.1920872628688812E-2</c:v>
                </c:pt>
                <c:pt idx="161">
                  <c:v>-2.3312652483582497E-3</c:v>
                </c:pt>
                <c:pt idx="162">
                  <c:v>-5.5688031716272235E-4</c:v>
                </c:pt>
                <c:pt idx="163">
                  <c:v>-3.9916089735925198E-3</c:v>
                </c:pt>
                <c:pt idx="164">
                  <c:v>1.5416009351611137E-2</c:v>
                </c:pt>
                <c:pt idx="165">
                  <c:v>3.2368157058954239E-2</c:v>
                </c:pt>
                <c:pt idx="166">
                  <c:v>4.4316994026303291E-3</c:v>
                </c:pt>
                <c:pt idx="167">
                  <c:v>-1.3415240682661533E-2</c:v>
                </c:pt>
                <c:pt idx="168">
                  <c:v>-2.8360893949866295E-2</c:v>
                </c:pt>
                <c:pt idx="169">
                  <c:v>-2.3474792018532753E-2</c:v>
                </c:pt>
                <c:pt idx="170">
                  <c:v>-1.662757433950901E-2</c:v>
                </c:pt>
                <c:pt idx="171">
                  <c:v>-5.5004111491143703E-3</c:v>
                </c:pt>
                <c:pt idx="172">
                  <c:v>4.3764244765043259E-3</c:v>
                </c:pt>
                <c:pt idx="173">
                  <c:v>1.3914708979427814E-2</c:v>
                </c:pt>
                <c:pt idx="174">
                  <c:v>2.5597456842660904E-2</c:v>
                </c:pt>
                <c:pt idx="175">
                  <c:v>3.0075078830122948E-2</c:v>
                </c:pt>
                <c:pt idx="176">
                  <c:v>-1.0870895348489285E-2</c:v>
                </c:pt>
                <c:pt idx="177">
                  <c:v>-1.7173061147332191E-2</c:v>
                </c:pt>
                <c:pt idx="178">
                  <c:v>-2.7592116966843605E-2</c:v>
                </c:pt>
                <c:pt idx="179">
                  <c:v>-2.8253084048628807E-2</c:v>
                </c:pt>
                <c:pt idx="180">
                  <c:v>-7.7701974660158157E-3</c:v>
                </c:pt>
                <c:pt idx="181">
                  <c:v>1.739189401268959E-2</c:v>
                </c:pt>
                <c:pt idx="182">
                  <c:v>4.3002579361200333E-2</c:v>
                </c:pt>
                <c:pt idx="183">
                  <c:v>3.1264878809452057E-2</c:v>
                </c:pt>
                <c:pt idx="184">
                  <c:v>-5.0382227636873722E-3</c:v>
                </c:pt>
                <c:pt idx="185">
                  <c:v>-5.3415382280945778E-3</c:v>
                </c:pt>
                <c:pt idx="186">
                  <c:v>-5.7870685122907162E-3</c:v>
                </c:pt>
                <c:pt idx="187">
                  <c:v>-6.2248758040368557E-3</c:v>
                </c:pt>
                <c:pt idx="188">
                  <c:v>-3.1246434082277119E-4</c:v>
                </c:pt>
                <c:pt idx="189">
                  <c:v>3.2024132087826729E-3</c:v>
                </c:pt>
                <c:pt idx="190">
                  <c:v>6.8058716133236885E-3</c:v>
                </c:pt>
                <c:pt idx="191">
                  <c:v>1.2695885263383389E-2</c:v>
                </c:pt>
                <c:pt idx="192">
                  <c:v>1.0260322131216526E-2</c:v>
                </c:pt>
                <c:pt idx="193">
                  <c:v>6.7340647801756859E-3</c:v>
                </c:pt>
                <c:pt idx="194">
                  <c:v>1.7493253573775291E-2</c:v>
                </c:pt>
                <c:pt idx="195">
                  <c:v>2.6825601235032082E-2</c:v>
                </c:pt>
                <c:pt idx="196">
                  <c:v>1.6251368448138237E-2</c:v>
                </c:pt>
                <c:pt idx="197">
                  <c:v>-6.2926663085818291E-3</c:v>
                </c:pt>
                <c:pt idx="198">
                  <c:v>-2.6433315128087997E-2</c:v>
                </c:pt>
                <c:pt idx="199">
                  <c:v>-4.483862966299057E-2</c:v>
                </c:pt>
                <c:pt idx="200">
                  <c:v>-8.4831630811095238E-3</c:v>
                </c:pt>
                <c:pt idx="201">
                  <c:v>-7.3440456762909889E-3</c:v>
                </c:pt>
                <c:pt idx="202">
                  <c:v>-8.9456681162118912E-3</c:v>
                </c:pt>
                <c:pt idx="203">
                  <c:v>-1.7054429044947028E-3</c:v>
                </c:pt>
                <c:pt idx="204">
                  <c:v>-6.2042940407991409E-3</c:v>
                </c:pt>
                <c:pt idx="205">
                  <c:v>1.7516063526272774E-3</c:v>
                </c:pt>
                <c:pt idx="206">
                  <c:v>1.523322332650423E-2</c:v>
                </c:pt>
                <c:pt idx="207">
                  <c:v>1.56977828592062E-2</c:v>
                </c:pt>
                <c:pt idx="208">
                  <c:v>-6.8283588625490665E-3</c:v>
                </c:pt>
                <c:pt idx="209">
                  <c:v>-2.4521449580788612E-2</c:v>
                </c:pt>
                <c:pt idx="210">
                  <c:v>-3.8353703916072845E-2</c:v>
                </c:pt>
                <c:pt idx="211">
                  <c:v>-3.1184053048491478E-2</c:v>
                </c:pt>
                <c:pt idx="212">
                  <c:v>-1.0875212028622627E-2</c:v>
                </c:pt>
                <c:pt idx="213">
                  <c:v>1.602661982178688E-2</c:v>
                </c:pt>
                <c:pt idx="214">
                  <c:v>4.2840365320444107E-2</c:v>
                </c:pt>
                <c:pt idx="215">
                  <c:v>5.2895791828632355E-2</c:v>
                </c:pt>
                <c:pt idx="216">
                  <c:v>-2.8517743572592735E-2</c:v>
                </c:pt>
                <c:pt idx="217">
                  <c:v>-3.9530821144580841E-2</c:v>
                </c:pt>
                <c:pt idx="218">
                  <c:v>-5.2517645061016083E-2</c:v>
                </c:pt>
                <c:pt idx="219">
                  <c:v>-3.4167591482400894E-2</c:v>
                </c:pt>
                <c:pt idx="220">
                  <c:v>5.0595235079526901E-3</c:v>
                </c:pt>
                <c:pt idx="221">
                  <c:v>5.3541336208581924E-2</c:v>
                </c:pt>
                <c:pt idx="222">
                  <c:v>6.1327610164880753E-2</c:v>
                </c:pt>
                <c:pt idx="223">
                  <c:v>3.4805335104465485E-2</c:v>
                </c:pt>
                <c:pt idx="224">
                  <c:v>1.3230958022177219E-2</c:v>
                </c:pt>
                <c:pt idx="225">
                  <c:v>1.2593857012689114E-2</c:v>
                </c:pt>
                <c:pt idx="226">
                  <c:v>1.4031117781996727E-2</c:v>
                </c:pt>
                <c:pt idx="227">
                  <c:v>6.199235562235117E-3</c:v>
                </c:pt>
                <c:pt idx="228">
                  <c:v>-5.9609580785036087E-3</c:v>
                </c:pt>
                <c:pt idx="229">
                  <c:v>-1.0748530738055706E-2</c:v>
                </c:pt>
                <c:pt idx="230">
                  <c:v>-1.1829043738543987E-2</c:v>
                </c:pt>
                <c:pt idx="231">
                  <c:v>-1.7516637220978737E-2</c:v>
                </c:pt>
                <c:pt idx="232">
                  <c:v>3.5255737602710724E-2</c:v>
                </c:pt>
                <c:pt idx="233">
                  <c:v>2.155282162129879E-2</c:v>
                </c:pt>
                <c:pt idx="234">
                  <c:v>9.1913696378469467E-3</c:v>
                </c:pt>
                <c:pt idx="235">
                  <c:v>-9.8655128385871649E-4</c:v>
                </c:pt>
                <c:pt idx="236">
                  <c:v>-8.9872945100069046E-3</c:v>
                </c:pt>
                <c:pt idx="237">
                  <c:v>-1.5874858945608139E-2</c:v>
                </c:pt>
                <c:pt idx="238">
                  <c:v>-1.9865509122610092E-2</c:v>
                </c:pt>
                <c:pt idx="239">
                  <c:v>-2.0285720005631447E-2</c:v>
                </c:pt>
                <c:pt idx="240">
                  <c:v>-2.9395928606390953E-2</c:v>
                </c:pt>
                <c:pt idx="241">
                  <c:v>2.1155829017516226E-4</c:v>
                </c:pt>
                <c:pt idx="242">
                  <c:v>2.0076392684131861E-3</c:v>
                </c:pt>
                <c:pt idx="243">
                  <c:v>-1.2534056790173054E-2</c:v>
                </c:pt>
                <c:pt idx="244">
                  <c:v>-9.4373691827058792E-3</c:v>
                </c:pt>
                <c:pt idx="245">
                  <c:v>3.8519548252224922E-3</c:v>
                </c:pt>
                <c:pt idx="246">
                  <c:v>5.5211232975125313E-3</c:v>
                </c:pt>
                <c:pt idx="247">
                  <c:v>3.9775080978870392E-2</c:v>
                </c:pt>
                <c:pt idx="248">
                  <c:v>-2.4515291675925255E-2</c:v>
                </c:pt>
                <c:pt idx="249">
                  <c:v>-1.5564628876745701E-2</c:v>
                </c:pt>
                <c:pt idx="250">
                  <c:v>-4.7718225978314877E-3</c:v>
                </c:pt>
                <c:pt idx="251">
                  <c:v>4.1509219445288181E-3</c:v>
                </c:pt>
                <c:pt idx="252">
                  <c:v>8.0801676958799362E-3</c:v>
                </c:pt>
                <c:pt idx="253">
                  <c:v>7.2224484756588936E-3</c:v>
                </c:pt>
                <c:pt idx="254">
                  <c:v>1.0825906880199909E-2</c:v>
                </c:pt>
                <c:pt idx="255">
                  <c:v>1.4572299085557461E-2</c:v>
                </c:pt>
                <c:pt idx="256">
                  <c:v>3.636787086725235E-2</c:v>
                </c:pt>
                <c:pt idx="257">
                  <c:v>2.073233388364315E-2</c:v>
                </c:pt>
                <c:pt idx="258">
                  <c:v>5.8472217060625553E-3</c:v>
                </c:pt>
                <c:pt idx="259">
                  <c:v>-4.0381602011620998E-3</c:v>
                </c:pt>
                <c:pt idx="260">
                  <c:v>-8.4445048123598099E-3</c:v>
                </c:pt>
                <c:pt idx="261">
                  <c:v>-1.2954558245837688E-2</c:v>
                </c:pt>
                <c:pt idx="262">
                  <c:v>-1.6850318759679794E-2</c:v>
                </c:pt>
                <c:pt idx="263">
                  <c:v>-2.0659888163208961E-2</c:v>
                </c:pt>
                <c:pt idx="264">
                  <c:v>4.7358937561511993E-2</c:v>
                </c:pt>
                <c:pt idx="265">
                  <c:v>3.8337849080562592E-2</c:v>
                </c:pt>
                <c:pt idx="266">
                  <c:v>1.8686508759856224E-2</c:v>
                </c:pt>
                <c:pt idx="267">
                  <c:v>-4.3641082011163235E-3</c:v>
                </c:pt>
                <c:pt idx="268">
                  <c:v>-1.1061178520321846E-2</c:v>
                </c:pt>
                <c:pt idx="269">
                  <c:v>-1.4546985737979412E-2</c:v>
                </c:pt>
                <c:pt idx="270">
                  <c:v>-2.3452397435903549E-2</c:v>
                </c:pt>
                <c:pt idx="271">
                  <c:v>-5.0958625972270966E-2</c:v>
                </c:pt>
                <c:pt idx="272">
                  <c:v>8.0396318808197975E-3</c:v>
                </c:pt>
                <c:pt idx="273">
                  <c:v>-7.816636934876442E-4</c:v>
                </c:pt>
                <c:pt idx="274">
                  <c:v>-3.1557620968669653E-3</c:v>
                </c:pt>
                <c:pt idx="275">
                  <c:v>-3.3384612761437893E-3</c:v>
                </c:pt>
                <c:pt idx="276">
                  <c:v>1.3911556452512741E-3</c:v>
                </c:pt>
                <c:pt idx="277">
                  <c:v>-1.6159070655703545E-3</c:v>
                </c:pt>
                <c:pt idx="278">
                  <c:v>-7.6332228491082788E-4</c:v>
                </c:pt>
                <c:pt idx="279">
                  <c:v>2.243283815914765E-4</c:v>
                </c:pt>
                <c:pt idx="280">
                  <c:v>5.3778357803821564E-2</c:v>
                </c:pt>
                <c:pt idx="281">
                  <c:v>3.5995624959468842E-2</c:v>
                </c:pt>
                <c:pt idx="282">
                  <c:v>1.8021797761321068E-2</c:v>
                </c:pt>
                <c:pt idx="283">
                  <c:v>6.4840406412258744E-4</c:v>
                </c:pt>
                <c:pt idx="284">
                  <c:v>-1.1952625587582588E-2</c:v>
                </c:pt>
                <c:pt idx="285">
                  <c:v>-2.346169576048851E-2</c:v>
                </c:pt>
                <c:pt idx="286">
                  <c:v>-3.3715125173330307E-2</c:v>
                </c:pt>
                <c:pt idx="287">
                  <c:v>-3.9314739406108856E-2</c:v>
                </c:pt>
                <c:pt idx="288">
                  <c:v>-3.382773429621011E-4</c:v>
                </c:pt>
                <c:pt idx="289">
                  <c:v>-2.2561082616448402E-2</c:v>
                </c:pt>
                <c:pt idx="290">
                  <c:v>-2.2958690300583839E-2</c:v>
                </c:pt>
                <c:pt idx="291">
                  <c:v>-1.1085753329098225E-2</c:v>
                </c:pt>
                <c:pt idx="292">
                  <c:v>1.9100736826658249E-3</c:v>
                </c:pt>
                <c:pt idx="293">
                  <c:v>-2.7945174952037632E-4</c:v>
                </c:pt>
                <c:pt idx="294">
                  <c:v>1.8139097839593887E-2</c:v>
                </c:pt>
                <c:pt idx="295">
                  <c:v>3.7174083292484283E-2</c:v>
                </c:pt>
                <c:pt idx="296">
                  <c:v>-4.1302017867565155E-2</c:v>
                </c:pt>
                <c:pt idx="297">
                  <c:v>-3.2296754419803619E-2</c:v>
                </c:pt>
                <c:pt idx="298">
                  <c:v>-1.3029122725129128E-2</c:v>
                </c:pt>
                <c:pt idx="299">
                  <c:v>2.7640247717499733E-2</c:v>
                </c:pt>
                <c:pt idx="300">
                  <c:v>-1.7688143998384476E-3</c:v>
                </c:pt>
                <c:pt idx="301">
                  <c:v>3.796862147282809E-4</c:v>
                </c:pt>
                <c:pt idx="302">
                  <c:v>1.5156631357967854E-2</c:v>
                </c:pt>
                <c:pt idx="303">
                  <c:v>4.5220144093036652E-2</c:v>
                </c:pt>
                <c:pt idx="304">
                  <c:v>-1.3427159748971462E-2</c:v>
                </c:pt>
                <c:pt idx="305">
                  <c:v>-8.5992300882935524E-3</c:v>
                </c:pt>
                <c:pt idx="306">
                  <c:v>-4.7300993464887142E-3</c:v>
                </c:pt>
                <c:pt idx="307">
                  <c:v>-4.4791153632104397E-3</c:v>
                </c:pt>
                <c:pt idx="308">
                  <c:v>-7.4680335819721222E-4</c:v>
                </c:pt>
                <c:pt idx="309">
                  <c:v>2.7535306289792061E-3</c:v>
                </c:pt>
                <c:pt idx="310">
                  <c:v>1.1326824314892292E-2</c:v>
                </c:pt>
                <c:pt idx="311">
                  <c:v>1.7902052029967308E-2</c:v>
                </c:pt>
                <c:pt idx="312">
                  <c:v>5.5694468319416046E-2</c:v>
                </c:pt>
                <c:pt idx="313">
                  <c:v>4.613717645406723E-2</c:v>
                </c:pt>
                <c:pt idx="314">
                  <c:v>3.1928218901157379E-2</c:v>
                </c:pt>
                <c:pt idx="315">
                  <c:v>7.0234187878668308E-3</c:v>
                </c:pt>
                <c:pt idx="316">
                  <c:v>-2.0937727764248848E-2</c:v>
                </c:pt>
                <c:pt idx="317">
                  <c:v>-3.6258157342672348E-2</c:v>
                </c:pt>
                <c:pt idx="318">
                  <c:v>-4.0411647409200668E-2</c:v>
                </c:pt>
                <c:pt idx="319">
                  <c:v>-4.3175749480724335E-2</c:v>
                </c:pt>
                <c:pt idx="320">
                  <c:v>2.9853442683815956E-2</c:v>
                </c:pt>
                <c:pt idx="321">
                  <c:v>2.2935202345252037E-2</c:v>
                </c:pt>
                <c:pt idx="322">
                  <c:v>9.4460304826498032E-3</c:v>
                </c:pt>
                <c:pt idx="323">
                  <c:v>-1.8732001772150397E-3</c:v>
                </c:pt>
                <c:pt idx="324">
                  <c:v>-6.1021614819765091E-3</c:v>
                </c:pt>
                <c:pt idx="325">
                  <c:v>-1.1330808512866497E-2</c:v>
                </c:pt>
                <c:pt idx="326">
                  <c:v>-1.809784397482872E-2</c:v>
                </c:pt>
                <c:pt idx="327">
                  <c:v>-2.4830663576722145E-2</c:v>
                </c:pt>
                <c:pt idx="328">
                  <c:v>-4.7046147286891937E-2</c:v>
                </c:pt>
                <c:pt idx="329">
                  <c:v>-2.7746686711907387E-2</c:v>
                </c:pt>
                <c:pt idx="330">
                  <c:v>-2.2467912640422583E-3</c:v>
                </c:pt>
                <c:pt idx="331">
                  <c:v>4.9053903669118881E-2</c:v>
                </c:pt>
                <c:pt idx="332">
                  <c:v>2.1227939054369926E-2</c:v>
                </c:pt>
                <c:pt idx="333">
                  <c:v>4.8410641029477119E-3</c:v>
                </c:pt>
                <c:pt idx="334">
                  <c:v>7.7569233253598213E-3</c:v>
                </c:pt>
                <c:pt idx="335">
                  <c:v>-5.8402055874466896E-3</c:v>
                </c:pt>
                <c:pt idx="336">
                  <c:v>2.0575353875756264E-2</c:v>
                </c:pt>
                <c:pt idx="337">
                  <c:v>1.2850305996835232E-2</c:v>
                </c:pt>
                <c:pt idx="338">
                  <c:v>5.8616162277758121E-3</c:v>
                </c:pt>
                <c:pt idx="339">
                  <c:v>2.3522623814642429E-3</c:v>
                </c:pt>
                <c:pt idx="340">
                  <c:v>-2.566920593380928E-3</c:v>
                </c:pt>
                <c:pt idx="341">
                  <c:v>-9.5806075260043144E-3</c:v>
                </c:pt>
                <c:pt idx="342">
                  <c:v>-1.2408013455569744E-2</c:v>
                </c:pt>
                <c:pt idx="343">
                  <c:v>-1.7083996906876564E-2</c:v>
                </c:pt>
                <c:pt idx="344">
                  <c:v>7.5132377445697784E-2</c:v>
                </c:pt>
                <c:pt idx="345">
                  <c:v>5.2769862115383148E-2</c:v>
                </c:pt>
                <c:pt idx="346">
                  <c:v>2.908853255212307E-2</c:v>
                </c:pt>
                <c:pt idx="347">
                  <c:v>2.8874524869024754E-3</c:v>
                </c:pt>
                <c:pt idx="348">
                  <c:v>-2.2110151126980782E-2</c:v>
                </c:pt>
                <c:pt idx="349">
                  <c:v>-3.4610088914632797E-2</c:v>
                </c:pt>
                <c:pt idx="350">
                  <c:v>-4.6345528215169907E-2</c:v>
                </c:pt>
                <c:pt idx="351">
                  <c:v>-5.6812457740306854E-2</c:v>
                </c:pt>
                <c:pt idx="352">
                  <c:v>-0.11259590834379196</c:v>
                </c:pt>
                <c:pt idx="353">
                  <c:v>-8.4162868559360504E-2</c:v>
                </c:pt>
                <c:pt idx="354">
                  <c:v>-4.804142564535141E-2</c:v>
                </c:pt>
                <c:pt idx="355">
                  <c:v>1.382912159897387E-3</c:v>
                </c:pt>
                <c:pt idx="356">
                  <c:v>4.5330952852964401E-2</c:v>
                </c:pt>
                <c:pt idx="357">
                  <c:v>4.9798551946878433E-2</c:v>
                </c:pt>
                <c:pt idx="358">
                  <c:v>6.8530865013599396E-2</c:v>
                </c:pt>
                <c:pt idx="359">
                  <c:v>7.9756923019886017E-2</c:v>
                </c:pt>
                <c:pt idx="360">
                  <c:v>1.3504314119927585E-4</c:v>
                </c:pt>
                <c:pt idx="361">
                  <c:v>-5.0801876932382584E-4</c:v>
                </c:pt>
                <c:pt idx="362">
                  <c:v>-2.1306218113750219E-3</c:v>
                </c:pt>
                <c:pt idx="363">
                  <c:v>-4.9536498408997431E-5</c:v>
                </c:pt>
                <c:pt idx="364">
                  <c:v>5.4086875170469284E-3</c:v>
                </c:pt>
                <c:pt idx="365">
                  <c:v>4.5461999252438545E-3</c:v>
                </c:pt>
                <c:pt idx="366">
                  <c:v>-2.0595923706423491E-4</c:v>
                </c:pt>
                <c:pt idx="367">
                  <c:v>-7.1957940235733986E-3</c:v>
                </c:pt>
                <c:pt idx="368">
                  <c:v>8.8277764618396759E-2</c:v>
                </c:pt>
                <c:pt idx="369">
                  <c:v>8.0649517476558685E-2</c:v>
                </c:pt>
                <c:pt idx="370">
                  <c:v>6.4856745302677155E-2</c:v>
                </c:pt>
                <c:pt idx="371">
                  <c:v>2.8640890493988991E-2</c:v>
                </c:pt>
                <c:pt idx="372">
                  <c:v>-1.1548982933163643E-2</c:v>
                </c:pt>
                <c:pt idx="373">
                  <c:v>-4.9645300954580307E-2</c:v>
                </c:pt>
                <c:pt idx="374">
                  <c:v>-8.4637276828289032E-2</c:v>
                </c:pt>
                <c:pt idx="375">
                  <c:v>-0.11659335345029831</c:v>
                </c:pt>
                <c:pt idx="376">
                  <c:v>-9.4405924901366234E-3</c:v>
                </c:pt>
                <c:pt idx="377">
                  <c:v>-8.2366252318024635E-3</c:v>
                </c:pt>
                <c:pt idx="378">
                  <c:v>-2.3416662588715553E-2</c:v>
                </c:pt>
                <c:pt idx="379">
                  <c:v>-3.2313559204339981E-2</c:v>
                </c:pt>
                <c:pt idx="380">
                  <c:v>-7.0108044892549515E-3</c:v>
                </c:pt>
                <c:pt idx="381">
                  <c:v>1.488757599145174E-2</c:v>
                </c:pt>
                <c:pt idx="382">
                  <c:v>2.7647498995065689E-2</c:v>
                </c:pt>
                <c:pt idx="383">
                  <c:v>3.7883169949054718E-2</c:v>
                </c:pt>
                <c:pt idx="384">
                  <c:v>-7.1665854193270206E-3</c:v>
                </c:pt>
                <c:pt idx="385">
                  <c:v>-6.742485798895359E-3</c:v>
                </c:pt>
                <c:pt idx="386">
                  <c:v>-5.6442557834088802E-3</c:v>
                </c:pt>
                <c:pt idx="387">
                  <c:v>-7.3270848952233791E-3</c:v>
                </c:pt>
                <c:pt idx="388">
                  <c:v>-2.8556752949953079E-3</c:v>
                </c:pt>
                <c:pt idx="389">
                  <c:v>2.7014957740902901E-3</c:v>
                </c:pt>
                <c:pt idx="390">
                  <c:v>9.970162995159626E-3</c:v>
                </c:pt>
                <c:pt idx="391">
                  <c:v>1.7064427956938744E-2</c:v>
                </c:pt>
                <c:pt idx="392">
                  <c:v>6.55389204621315E-2</c:v>
                </c:pt>
                <c:pt idx="393">
                  <c:v>4.9403421580791473E-2</c:v>
                </c:pt>
                <c:pt idx="394">
                  <c:v>3.2428808510303497E-2</c:v>
                </c:pt>
                <c:pt idx="395">
                  <c:v>1.4665598981082439E-2</c:v>
                </c:pt>
                <c:pt idx="396">
                  <c:v>-2.7603078633546829E-3</c:v>
                </c:pt>
                <c:pt idx="397">
                  <c:v>-3.059866651892662E-2</c:v>
                </c:pt>
                <c:pt idx="398">
                  <c:v>-5.5535580962896347E-2</c:v>
                </c:pt>
                <c:pt idx="399">
                  <c:v>-7.3142193257808685E-2</c:v>
                </c:pt>
                <c:pt idx="400">
                  <c:v>4.381183534860611E-2</c:v>
                </c:pt>
                <c:pt idx="401">
                  <c:v>3.0119648203253746E-2</c:v>
                </c:pt>
                <c:pt idx="402">
                  <c:v>1.7000501975417137E-2</c:v>
                </c:pt>
                <c:pt idx="403">
                  <c:v>3.7336298264563084E-3</c:v>
                </c:pt>
                <c:pt idx="404">
                  <c:v>-7.805483415722847E-3</c:v>
                </c:pt>
                <c:pt idx="405">
                  <c:v>-2.2170331329107285E-2</c:v>
                </c:pt>
                <c:pt idx="406">
                  <c:v>-3.1387593597173691E-2</c:v>
                </c:pt>
                <c:pt idx="407">
                  <c:v>-3.330221027135849E-2</c:v>
                </c:pt>
                <c:pt idx="408">
                  <c:v>3.4039415419101715E-2</c:v>
                </c:pt>
                <c:pt idx="409">
                  <c:v>1.8955579027533531E-2</c:v>
                </c:pt>
                <c:pt idx="410">
                  <c:v>-7.1073113940656185E-3</c:v>
                </c:pt>
                <c:pt idx="411">
                  <c:v>-1.1883382685482502E-2</c:v>
                </c:pt>
                <c:pt idx="412">
                  <c:v>-1.1726396158337593E-2</c:v>
                </c:pt>
                <c:pt idx="413">
                  <c:v>-1.1077071540057659E-2</c:v>
                </c:pt>
                <c:pt idx="414">
                  <c:v>-7.4736131355166435E-3</c:v>
                </c:pt>
                <c:pt idx="415">
                  <c:v>-3.7272211629897356E-3</c:v>
                </c:pt>
                <c:pt idx="416">
                  <c:v>-5.5225701071321964E-3</c:v>
                </c:pt>
                <c:pt idx="417">
                  <c:v>-2.5709951296448708E-3</c:v>
                </c:pt>
                <c:pt idx="418">
                  <c:v>3.0741153750568628E-3</c:v>
                </c:pt>
                <c:pt idx="419">
                  <c:v>-1.7019560327753425E-3</c:v>
                </c:pt>
                <c:pt idx="420">
                  <c:v>-1.5449691563844681E-3</c:v>
                </c:pt>
                <c:pt idx="421">
                  <c:v>-8.9564459631219506E-4</c:v>
                </c:pt>
                <c:pt idx="422">
                  <c:v>2.7078138664364815E-3</c:v>
                </c:pt>
                <c:pt idx="423">
                  <c:v>6.4542060717940331E-3</c:v>
                </c:pt>
              </c:numCache>
            </c:numRef>
          </c:yVal>
          <c:smooth val="0"/>
          <c:extLst>
            <c:ext xmlns:c16="http://schemas.microsoft.com/office/drawing/2014/chart" uri="{C3380CC4-5D6E-409C-BE32-E72D297353CC}">
              <c16:uniqueId val="{00000001-744C-4C5F-8AE7-E2D04F764F88}"/>
            </c:ext>
          </c:extLst>
        </c:ser>
        <c:dLbls>
          <c:showLegendKey val="0"/>
          <c:showVal val="0"/>
          <c:showCatName val="0"/>
          <c:showSerName val="0"/>
          <c:showPercent val="0"/>
          <c:showBubbleSize val="0"/>
        </c:dLbls>
        <c:axId val="461330688"/>
        <c:axId val="461341056"/>
      </c:scatterChart>
      <c:valAx>
        <c:axId val="461330688"/>
        <c:scaling>
          <c:orientation val="minMax"/>
          <c:max val="1"/>
          <c:min val="-1.5"/>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a:solidFill>
                      <a:sysClr val="windowText" lastClr="000000"/>
                    </a:solidFill>
                    <a:latin typeface="Times New Roman" panose="02020603050405020304" pitchFamily="18" charset="0"/>
                    <a:cs typeface="Times New Roman" panose="02020603050405020304" pitchFamily="18" charset="0"/>
                  </a:rPr>
                  <a:t>PrivateCredit</a:t>
                </a:r>
                <a:r>
                  <a:rPr lang="en-NZ" sz="800" baseline="0">
                    <a:solidFill>
                      <a:sysClr val="windowText" lastClr="000000"/>
                    </a:solidFill>
                    <a:latin typeface="Times New Roman" panose="02020603050405020304" pitchFamily="18" charset="0"/>
                    <a:cs typeface="Times New Roman" panose="02020603050405020304" pitchFamily="18" charset="0"/>
                  </a:rPr>
                  <a:t> </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1341056"/>
        <c:crosses val="autoZero"/>
        <c:crossBetween val="midCat"/>
      </c:valAx>
      <c:valAx>
        <c:axId val="46134105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1330688"/>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LTO</a:t>
            </a:r>
          </a:p>
        </c:rich>
      </c:tx>
      <c:overlay val="0"/>
      <c:spPr>
        <a:noFill/>
        <a:ln>
          <a:noFill/>
        </a:ln>
        <a:effectLst/>
      </c:spPr>
    </c:title>
    <c:autoTitleDeleted val="0"/>
    <c:plotArea>
      <c:layout/>
      <c:scatterChart>
        <c:scatterStyle val="lineMarker"/>
        <c:varyColors val="0"/>
        <c:ser>
          <c:idx val="0"/>
          <c:order val="0"/>
          <c:tx>
            <c:strRef>
              <c:f>Sheet1!$H$1</c:f>
              <c:strCache>
                <c:ptCount val="1"/>
                <c:pt idx="0">
                  <c:v>FD2Res</c:v>
                </c:pt>
              </c:strCache>
            </c:strRef>
          </c:tx>
          <c:spPr>
            <a:ln w="19050" cap="rnd">
              <a:noFill/>
              <a:round/>
            </a:ln>
            <a:effectLst/>
          </c:spPr>
          <c:marker>
            <c:symbol val="circle"/>
            <c:size val="2"/>
            <c:spPr>
              <a:solidFill>
                <a:schemeClr val="tx1">
                  <a:lumMod val="75000"/>
                  <a:lumOff val="25000"/>
                </a:schemeClr>
              </a:solidFill>
              <a:ln w="9525">
                <a:solidFill>
                  <a:schemeClr val="tx1">
                    <a:lumMod val="75000"/>
                    <a:lumOff val="25000"/>
                  </a:schemeClr>
                </a:solidFill>
              </a:ln>
              <a:effectLst/>
            </c:spPr>
          </c:marker>
          <c:trendline>
            <c:spPr>
              <a:ln w="9525" cap="rnd">
                <a:solidFill>
                  <a:sysClr val="windowText" lastClr="000000"/>
                </a:solidFill>
                <a:prstDash val="solid"/>
              </a:ln>
              <a:effectLst/>
            </c:spPr>
            <c:trendlineType val="linear"/>
            <c:dispRSqr val="0"/>
            <c:dispEq val="0"/>
          </c:trendline>
          <c:xVal>
            <c:numRef>
              <c:f>Sheet1!$H$2:$H$569</c:f>
              <c:numCache>
                <c:formatCode>0.00</c:formatCode>
                <c:ptCount val="144"/>
                <c:pt idx="0">
                  <c:v>-0.1290268748998642</c:v>
                </c:pt>
                <c:pt idx="1">
                  <c:v>-8.7402857840061188E-2</c:v>
                </c:pt>
                <c:pt idx="2">
                  <c:v>-9.1879822313785553E-2</c:v>
                </c:pt>
                <c:pt idx="3">
                  <c:v>-4.0021102875471115E-2</c:v>
                </c:pt>
                <c:pt idx="4">
                  <c:v>7.6209515333175659E-2</c:v>
                </c:pt>
                <c:pt idx="5">
                  <c:v>8.7784990668296814E-2</c:v>
                </c:pt>
                <c:pt idx="6">
                  <c:v>8.9331008493900299E-2</c:v>
                </c:pt>
                <c:pt idx="7">
                  <c:v>9.5005139708518982E-2</c:v>
                </c:pt>
                <c:pt idx="8">
                  <c:v>-0.35428747534751892</c:v>
                </c:pt>
                <c:pt idx="9">
                  <c:v>-0.36201894283294678</c:v>
                </c:pt>
                <c:pt idx="10">
                  <c:v>-4.8608366400003433E-2</c:v>
                </c:pt>
                <c:pt idx="11">
                  <c:v>0.1065964549779892</c:v>
                </c:pt>
                <c:pt idx="12">
                  <c:v>0.1181563138961792</c:v>
                </c:pt>
                <c:pt idx="13">
                  <c:v>0.17186178267002106</c:v>
                </c:pt>
                <c:pt idx="14">
                  <c:v>0.19231630861759186</c:v>
                </c:pt>
                <c:pt idx="15">
                  <c:v>0.17598392069339752</c:v>
                </c:pt>
                <c:pt idx="16">
                  <c:v>-0.18887795507907867</c:v>
                </c:pt>
                <c:pt idx="17">
                  <c:v>-0.17550654709339142</c:v>
                </c:pt>
                <c:pt idx="18">
                  <c:v>-7.0547707378864288E-2</c:v>
                </c:pt>
                <c:pt idx="19">
                  <c:v>-3.4314703196287155E-2</c:v>
                </c:pt>
                <c:pt idx="20">
                  <c:v>3.4155908972024918E-2</c:v>
                </c:pt>
                <c:pt idx="21">
                  <c:v>9.8583057522773743E-2</c:v>
                </c:pt>
                <c:pt idx="22">
                  <c:v>0.13991589844226837</c:v>
                </c:pt>
                <c:pt idx="23">
                  <c:v>0.1965920478105545</c:v>
                </c:pt>
                <c:pt idx="24">
                  <c:v>-0.1997598260641098</c:v>
                </c:pt>
                <c:pt idx="25">
                  <c:v>-3.4748472273349762E-2</c:v>
                </c:pt>
                <c:pt idx="26">
                  <c:v>3.6625053733587265E-2</c:v>
                </c:pt>
                <c:pt idx="27">
                  <c:v>6.1309296637773514E-2</c:v>
                </c:pt>
                <c:pt idx="28">
                  <c:v>-3.5828020423650742E-2</c:v>
                </c:pt>
                <c:pt idx="29">
                  <c:v>4.7897201031446457E-2</c:v>
                </c:pt>
                <c:pt idx="30">
                  <c:v>5.1047783344984055E-2</c:v>
                </c:pt>
                <c:pt idx="31">
                  <c:v>7.3456987738609314E-2</c:v>
                </c:pt>
                <c:pt idx="32">
                  <c:v>0.49202051758766174</c:v>
                </c:pt>
                <c:pt idx="33">
                  <c:v>0.47560727596282959</c:v>
                </c:pt>
                <c:pt idx="34">
                  <c:v>-0.18717008829116821</c:v>
                </c:pt>
                <c:pt idx="35">
                  <c:v>-0.37052297592163086</c:v>
                </c:pt>
                <c:pt idx="36">
                  <c:v>-0.3404310941696167</c:v>
                </c:pt>
                <c:pt idx="37">
                  <c:v>-0.32585203647613525</c:v>
                </c:pt>
                <c:pt idx="38">
                  <c:v>-0.20715950429439545</c:v>
                </c:pt>
                <c:pt idx="39">
                  <c:v>0.46350792050361633</c:v>
                </c:pt>
                <c:pt idx="40">
                  <c:v>0.15768475830554962</c:v>
                </c:pt>
                <c:pt idx="41">
                  <c:v>5.8149717748165131E-2</c:v>
                </c:pt>
                <c:pt idx="42">
                  <c:v>7.3761425912380219E-2</c:v>
                </c:pt>
                <c:pt idx="43">
                  <c:v>0.18962980806827545</c:v>
                </c:pt>
                <c:pt idx="44">
                  <c:v>6.0518655925989151E-2</c:v>
                </c:pt>
                <c:pt idx="45">
                  <c:v>-0.16713745892047882</c:v>
                </c:pt>
                <c:pt idx="46">
                  <c:v>-0.25055095553398132</c:v>
                </c:pt>
                <c:pt idx="47">
                  <c:v>-0.12205596268177032</c:v>
                </c:pt>
                <c:pt idx="48">
                  <c:v>-0.14905263483524323</c:v>
                </c:pt>
                <c:pt idx="49">
                  <c:v>-0.10309679061174393</c:v>
                </c:pt>
                <c:pt idx="50">
                  <c:v>1.6185041517019272E-2</c:v>
                </c:pt>
                <c:pt idx="51">
                  <c:v>7.4640318751335144E-2</c:v>
                </c:pt>
                <c:pt idx="52">
                  <c:v>9.0539157390594482E-2</c:v>
                </c:pt>
                <c:pt idx="53">
                  <c:v>7.9925969243049622E-2</c:v>
                </c:pt>
                <c:pt idx="54">
                  <c:v>4.2861532419919968E-2</c:v>
                </c:pt>
                <c:pt idx="55">
                  <c:v>-5.2002590149641037E-2</c:v>
                </c:pt>
                <c:pt idx="56">
                  <c:v>-4.2610961943864822E-2</c:v>
                </c:pt>
                <c:pt idx="57">
                  <c:v>-4.0570862591266632E-2</c:v>
                </c:pt>
                <c:pt idx="58">
                  <c:v>-0.13753777742385864</c:v>
                </c:pt>
                <c:pt idx="59">
                  <c:v>-0.14112855494022369</c:v>
                </c:pt>
                <c:pt idx="60">
                  <c:v>-9.2316985130310059E-2</c:v>
                </c:pt>
                <c:pt idx="61">
                  <c:v>-7.3829768225550652E-3</c:v>
                </c:pt>
                <c:pt idx="62">
                  <c:v>7.8335769474506378E-2</c:v>
                </c:pt>
                <c:pt idx="63">
                  <c:v>0.38321235775947571</c:v>
                </c:pt>
                <c:pt idx="64">
                  <c:v>4.1260819882154465E-2</c:v>
                </c:pt>
                <c:pt idx="65">
                  <c:v>-0.16641302406787872</c:v>
                </c:pt>
                <c:pt idx="66">
                  <c:v>-7.9879648983478546E-2</c:v>
                </c:pt>
                <c:pt idx="67">
                  <c:v>-2.4220062419772148E-2</c:v>
                </c:pt>
                <c:pt idx="68">
                  <c:v>1.7190517857670784E-2</c:v>
                </c:pt>
                <c:pt idx="69">
                  <c:v>6.7683055996894836E-2</c:v>
                </c:pt>
                <c:pt idx="70">
                  <c:v>7.0860810577869415E-2</c:v>
                </c:pt>
                <c:pt idx="71">
                  <c:v>7.3517516255378723E-2</c:v>
                </c:pt>
                <c:pt idx="72">
                  <c:v>0.17613895237445831</c:v>
                </c:pt>
                <c:pt idx="73">
                  <c:v>0.22787858545780182</c:v>
                </c:pt>
                <c:pt idx="74">
                  <c:v>9.8952852189540863E-2</c:v>
                </c:pt>
                <c:pt idx="75">
                  <c:v>-3.1667780131101608E-3</c:v>
                </c:pt>
                <c:pt idx="76">
                  <c:v>-0.1029338538646698</c:v>
                </c:pt>
                <c:pt idx="77">
                  <c:v>-0.12340231239795685</c:v>
                </c:pt>
                <c:pt idx="78">
                  <c:v>-0.11096151918172836</c:v>
                </c:pt>
                <c:pt idx="79">
                  <c:v>-0.16250593960285187</c:v>
                </c:pt>
                <c:pt idx="80">
                  <c:v>-0.13241751492023468</c:v>
                </c:pt>
                <c:pt idx="81">
                  <c:v>-0.20432056486606598</c:v>
                </c:pt>
                <c:pt idx="82">
                  <c:v>-1.1179033666849136E-2</c:v>
                </c:pt>
                <c:pt idx="83">
                  <c:v>-0.24129153788089752</c:v>
                </c:pt>
                <c:pt idx="84">
                  <c:v>9.5230359584093094E-3</c:v>
                </c:pt>
                <c:pt idx="85">
                  <c:v>0.19400753080844879</c:v>
                </c:pt>
                <c:pt idx="86">
                  <c:v>0.21816684305667877</c:v>
                </c:pt>
                <c:pt idx="87">
                  <c:v>0.1675112396478653</c:v>
                </c:pt>
                <c:pt idx="88">
                  <c:v>5.5698882788419724E-2</c:v>
                </c:pt>
                <c:pt idx="89">
                  <c:v>4.6519480645656586E-2</c:v>
                </c:pt>
                <c:pt idx="90">
                  <c:v>5.1561381667852402E-2</c:v>
                </c:pt>
                <c:pt idx="91">
                  <c:v>0.17290528118610382</c:v>
                </c:pt>
                <c:pt idx="92">
                  <c:v>7.3794573545455933E-2</c:v>
                </c:pt>
                <c:pt idx="93">
                  <c:v>-0.1286928802728653</c:v>
                </c:pt>
                <c:pt idx="94">
                  <c:v>-0.14515484869480133</c:v>
                </c:pt>
                <c:pt idx="95">
                  <c:v>-0.12663187086582184</c:v>
                </c:pt>
                <c:pt idx="96">
                  <c:v>-0.18711142241954803</c:v>
                </c:pt>
                <c:pt idx="97">
                  <c:v>0.14474929869174957</c:v>
                </c:pt>
                <c:pt idx="98">
                  <c:v>0.1036817654967308</c:v>
                </c:pt>
                <c:pt idx="99">
                  <c:v>-7.0370659232139587E-2</c:v>
                </c:pt>
                <c:pt idx="100">
                  <c:v>-7.9037755727767944E-2</c:v>
                </c:pt>
                <c:pt idx="101">
                  <c:v>-1.7236309126019478E-2</c:v>
                </c:pt>
                <c:pt idx="102">
                  <c:v>6.4191378653049469E-2</c:v>
                </c:pt>
                <c:pt idx="103">
                  <c:v>4.1133690625429153E-2</c:v>
                </c:pt>
                <c:pt idx="104">
                  <c:v>3.2463144510984421E-2</c:v>
                </c:pt>
                <c:pt idx="105">
                  <c:v>1.3685486279428005E-2</c:v>
                </c:pt>
                <c:pt idx="106">
                  <c:v>7.5491033494472504E-2</c:v>
                </c:pt>
                <c:pt idx="107">
                  <c:v>-6.1663728207349777E-2</c:v>
                </c:pt>
                <c:pt idx="108">
                  <c:v>-2.1426358725875616E-3</c:v>
                </c:pt>
                <c:pt idx="109">
                  <c:v>4.8276226967573166E-2</c:v>
                </c:pt>
                <c:pt idx="110">
                  <c:v>-3.8296777755022049E-2</c:v>
                </c:pt>
                <c:pt idx="111">
                  <c:v>-6.7812755703926086E-2</c:v>
                </c:pt>
                <c:pt idx="112">
                  <c:v>0.41380706429481506</c:v>
                </c:pt>
                <c:pt idx="113">
                  <c:v>-9.1860897839069366E-2</c:v>
                </c:pt>
                <c:pt idx="114">
                  <c:v>-0.22086650133132935</c:v>
                </c:pt>
                <c:pt idx="115">
                  <c:v>-0.10017873346805573</c:v>
                </c:pt>
                <c:pt idx="116">
                  <c:v>4.2480830103158951E-2</c:v>
                </c:pt>
                <c:pt idx="117">
                  <c:v>8.7920323014259338E-2</c:v>
                </c:pt>
                <c:pt idx="118">
                  <c:v>-9.0858833864331245E-3</c:v>
                </c:pt>
                <c:pt idx="119">
                  <c:v>-0.12221620976924896</c:v>
                </c:pt>
                <c:pt idx="120">
                  <c:v>-6.4575180411338806E-2</c:v>
                </c:pt>
                <c:pt idx="121">
                  <c:v>-5.6019206531345844E-3</c:v>
                </c:pt>
                <c:pt idx="122">
                  <c:v>9.1698907315731049E-2</c:v>
                </c:pt>
                <c:pt idx="123">
                  <c:v>0.15361030399799347</c:v>
                </c:pt>
                <c:pt idx="124">
                  <c:v>9.956786036491394E-2</c:v>
                </c:pt>
                <c:pt idx="125">
                  <c:v>2.5050463154911995E-3</c:v>
                </c:pt>
                <c:pt idx="126">
                  <c:v>-0.18744029104709625</c:v>
                </c:pt>
                <c:pt idx="127">
                  <c:v>-8.9764729142189026E-2</c:v>
                </c:pt>
                <c:pt idx="128">
                  <c:v>3.1241042539477348E-2</c:v>
                </c:pt>
                <c:pt idx="129">
                  <c:v>-5.5551012046635151E-3</c:v>
                </c:pt>
                <c:pt idx="130">
                  <c:v>0.24990808963775635</c:v>
                </c:pt>
                <c:pt idx="131">
                  <c:v>0.14605371654033661</c:v>
                </c:pt>
                <c:pt idx="132">
                  <c:v>-5.4439004510641098E-2</c:v>
                </c:pt>
                <c:pt idx="133">
                  <c:v>-0.14337866008281708</c:v>
                </c:pt>
                <c:pt idx="134">
                  <c:v>-0.11437254399061203</c:v>
                </c:pt>
                <c:pt idx="135">
                  <c:v>-0.10945753753185272</c:v>
                </c:pt>
                <c:pt idx="136">
                  <c:v>8.6064651608467102E-2</c:v>
                </c:pt>
                <c:pt idx="137">
                  <c:v>0.10961606353521347</c:v>
                </c:pt>
                <c:pt idx="138">
                  <c:v>5.147489532828331E-2</c:v>
                </c:pt>
                <c:pt idx="139">
                  <c:v>6.8169999867677689E-3</c:v>
                </c:pt>
                <c:pt idx="140">
                  <c:v>-5.636898335069418E-3</c:v>
                </c:pt>
                <c:pt idx="141">
                  <c:v>-4.3950993567705154E-2</c:v>
                </c:pt>
                <c:pt idx="142">
                  <c:v>-7.932504266500473E-2</c:v>
                </c:pt>
                <c:pt idx="143">
                  <c:v>-0.12505967915058136</c:v>
                </c:pt>
              </c:numCache>
            </c:numRef>
          </c:xVal>
          <c:yVal>
            <c:numRef>
              <c:f>Sheet1!$F$2:$F$569</c:f>
              <c:numCache>
                <c:formatCode>0.00</c:formatCode>
                <c:ptCount val="144"/>
                <c:pt idx="0">
                  <c:v>-2.8542211279273033E-2</c:v>
                </c:pt>
                <c:pt idx="1">
                  <c:v>-1.2457110919058323E-2</c:v>
                </c:pt>
                <c:pt idx="2">
                  <c:v>3.0270575080066919E-3</c:v>
                </c:pt>
                <c:pt idx="3">
                  <c:v>3.3214184804819524E-4</c:v>
                </c:pt>
                <c:pt idx="4">
                  <c:v>1.1819731444120407E-3</c:v>
                </c:pt>
                <c:pt idx="5">
                  <c:v>5.9776352718472481E-3</c:v>
                </c:pt>
                <c:pt idx="6">
                  <c:v>1.3710503466427326E-2</c:v>
                </c:pt>
                <c:pt idx="7">
                  <c:v>1.6770010814070702E-2</c:v>
                </c:pt>
                <c:pt idx="8">
                  <c:v>-1.9547552801668644E-3</c:v>
                </c:pt>
                <c:pt idx="9">
                  <c:v>3.0564423650503159E-4</c:v>
                </c:pt>
                <c:pt idx="10">
                  <c:v>-5.3995259804651141E-4</c:v>
                </c:pt>
                <c:pt idx="11">
                  <c:v>7.8963726991787553E-4</c:v>
                </c:pt>
                <c:pt idx="12">
                  <c:v>2.6842188090085983E-3</c:v>
                </c:pt>
                <c:pt idx="13">
                  <c:v>7.2595936944708228E-4</c:v>
                </c:pt>
                <c:pt idx="14">
                  <c:v>-9.0625422308221459E-4</c:v>
                </c:pt>
                <c:pt idx="15">
                  <c:v>-1.1044975835829973E-3</c:v>
                </c:pt>
                <c:pt idx="16">
                  <c:v>6.9280005991458893E-2</c:v>
                </c:pt>
                <c:pt idx="17">
                  <c:v>5.1346592605113983E-2</c:v>
                </c:pt>
                <c:pt idx="18">
                  <c:v>3.1988747417926788E-2</c:v>
                </c:pt>
                <c:pt idx="19">
                  <c:v>1.0295446030795574E-2</c:v>
                </c:pt>
                <c:pt idx="20">
                  <c:v>-1.8583612516522408E-2</c:v>
                </c:pt>
                <c:pt idx="21">
                  <c:v>-4.4924225658178329E-2</c:v>
                </c:pt>
                <c:pt idx="22">
                  <c:v>-5.7161297649145126E-2</c:v>
                </c:pt>
                <c:pt idx="23">
                  <c:v>-4.2241655290126801E-2</c:v>
                </c:pt>
                <c:pt idx="24">
                  <c:v>-0.10766168683767319</c:v>
                </c:pt>
                <c:pt idx="25">
                  <c:v>-6.8456657230854034E-2</c:v>
                </c:pt>
                <c:pt idx="26">
                  <c:v>-4.4097243808209896E-3</c:v>
                </c:pt>
                <c:pt idx="27">
                  <c:v>3.3951994031667709E-2</c:v>
                </c:pt>
                <c:pt idx="28">
                  <c:v>4.8855166882276535E-2</c:v>
                </c:pt>
                <c:pt idx="29">
                  <c:v>4.7190401703119278E-2</c:v>
                </c:pt>
                <c:pt idx="30">
                  <c:v>2.1011088043451309E-2</c:v>
                </c:pt>
                <c:pt idx="31">
                  <c:v>2.9519414529204369E-2</c:v>
                </c:pt>
                <c:pt idx="32">
                  <c:v>2.481372095644474E-2</c:v>
                </c:pt>
                <c:pt idx="33">
                  <c:v>2.0825644955039024E-2</c:v>
                </c:pt>
                <c:pt idx="34">
                  <c:v>8.2136150449514389E-3</c:v>
                </c:pt>
                <c:pt idx="35">
                  <c:v>-1.0442708618938923E-2</c:v>
                </c:pt>
                <c:pt idx="36">
                  <c:v>1.9754065200686455E-2</c:v>
                </c:pt>
                <c:pt idx="37">
                  <c:v>6.1218785122036934E-3</c:v>
                </c:pt>
                <c:pt idx="38">
                  <c:v>-1.8177744001150131E-2</c:v>
                </c:pt>
                <c:pt idx="39">
                  <c:v>-5.1108472049236298E-2</c:v>
                </c:pt>
                <c:pt idx="40">
                  <c:v>-1.8112054094672203E-2</c:v>
                </c:pt>
                <c:pt idx="41">
                  <c:v>-1.2834467925131321E-2</c:v>
                </c:pt>
                <c:pt idx="42">
                  <c:v>-1.3074005022644997E-2</c:v>
                </c:pt>
                <c:pt idx="43">
                  <c:v>-2.1593963727355003E-2</c:v>
                </c:pt>
                <c:pt idx="44">
                  <c:v>-1.7693089321255684E-2</c:v>
                </c:pt>
                <c:pt idx="45">
                  <c:v>7.320706732571125E-3</c:v>
                </c:pt>
                <c:pt idx="46">
                  <c:v>4.1098896414041519E-2</c:v>
                </c:pt>
                <c:pt idx="47">
                  <c:v>3.4887976944446564E-2</c:v>
                </c:pt>
                <c:pt idx="48">
                  <c:v>-7.6632730662822723E-2</c:v>
                </c:pt>
                <c:pt idx="49">
                  <c:v>-6.2718905508518219E-2</c:v>
                </c:pt>
                <c:pt idx="50">
                  <c:v>-4.0049038827419281E-2</c:v>
                </c:pt>
                <c:pt idx="51">
                  <c:v>-2.265488263219595E-3</c:v>
                </c:pt>
                <c:pt idx="52">
                  <c:v>1.7506672069430351E-2</c:v>
                </c:pt>
                <c:pt idx="53">
                  <c:v>4.0673438459634781E-2</c:v>
                </c:pt>
                <c:pt idx="54">
                  <c:v>5.7935658842325211E-2</c:v>
                </c:pt>
                <c:pt idx="55">
                  <c:v>6.5550394356250763E-2</c:v>
                </c:pt>
                <c:pt idx="56">
                  <c:v>6.6579677164554596E-2</c:v>
                </c:pt>
                <c:pt idx="57">
                  <c:v>4.8741869628429413E-2</c:v>
                </c:pt>
                <c:pt idx="58">
                  <c:v>3.0703430995345116E-2</c:v>
                </c:pt>
                <c:pt idx="59">
                  <c:v>9.4967437908053398E-3</c:v>
                </c:pt>
                <c:pt idx="60">
                  <c:v>-1.1656122282147408E-2</c:v>
                </c:pt>
                <c:pt idx="61">
                  <c:v>-3.8298811763525009E-2</c:v>
                </c:pt>
                <c:pt idx="62">
                  <c:v>-5.5463042110204697E-2</c:v>
                </c:pt>
                <c:pt idx="63">
                  <c:v>-5.0103746354579926E-2</c:v>
                </c:pt>
                <c:pt idx="64">
                  <c:v>-3.1295321881771088E-2</c:v>
                </c:pt>
                <c:pt idx="65">
                  <c:v>-2.6250192895531654E-2</c:v>
                </c:pt>
                <c:pt idx="66">
                  <c:v>-2.1396154537796974E-2</c:v>
                </c:pt>
                <c:pt idx="67">
                  <c:v>-1.3783995993435383E-2</c:v>
                </c:pt>
                <c:pt idx="68">
                  <c:v>-1.3627009466290474E-2</c:v>
                </c:pt>
                <c:pt idx="69">
                  <c:v>1.9580470398068428E-3</c:v>
                </c:pt>
                <c:pt idx="70">
                  <c:v>4.1303310543298721E-2</c:v>
                </c:pt>
                <c:pt idx="71">
                  <c:v>6.309131532907486E-2</c:v>
                </c:pt>
                <c:pt idx="72">
                  <c:v>-5.3957395255565643E-2</c:v>
                </c:pt>
                <c:pt idx="73">
                  <c:v>-3.7662006914615631E-2</c:v>
                </c:pt>
                <c:pt idx="74">
                  <c:v>-2.5803470984101295E-2</c:v>
                </c:pt>
                <c:pt idx="75">
                  <c:v>-2.685234509408474E-2</c:v>
                </c:pt>
                <c:pt idx="76">
                  <c:v>-9.8715908825397491E-4</c:v>
                </c:pt>
                <c:pt idx="77">
                  <c:v>3.52785624563694E-2</c:v>
                </c:pt>
                <c:pt idx="78">
                  <c:v>4.932427778840065E-2</c:v>
                </c:pt>
                <c:pt idx="79">
                  <c:v>6.0659535229206085E-2</c:v>
                </c:pt>
                <c:pt idx="80">
                  <c:v>2.9673108831048012E-2</c:v>
                </c:pt>
                <c:pt idx="81">
                  <c:v>1.9142588600516319E-2</c:v>
                </c:pt>
                <c:pt idx="82">
                  <c:v>4.1509033180773258E-3</c:v>
                </c:pt>
                <c:pt idx="83">
                  <c:v>-5.7514063082635403E-3</c:v>
                </c:pt>
                <c:pt idx="84">
                  <c:v>-6.3289869576692581E-3</c:v>
                </c:pt>
                <c:pt idx="85">
                  <c:v>-9.3601299449801445E-3</c:v>
                </c:pt>
                <c:pt idx="86">
                  <c:v>-1.3158614747226238E-2</c:v>
                </c:pt>
                <c:pt idx="87">
                  <c:v>-1.836746372282505E-2</c:v>
                </c:pt>
                <c:pt idx="88">
                  <c:v>1.0575243271887302E-2</c:v>
                </c:pt>
                <c:pt idx="89">
                  <c:v>3.1539415940642357E-3</c:v>
                </c:pt>
                <c:pt idx="90">
                  <c:v>-2.8980018105357885E-3</c:v>
                </c:pt>
                <c:pt idx="91">
                  <c:v>-3.0034533701837063E-3</c:v>
                </c:pt>
                <c:pt idx="92">
                  <c:v>-1.9149649888277054E-3</c:v>
                </c:pt>
                <c:pt idx="93">
                  <c:v>-3.1295968219637871E-3</c:v>
                </c:pt>
                <c:pt idx="94">
                  <c:v>-2.3285103961825371E-3</c:v>
                </c:pt>
                <c:pt idx="95">
                  <c:v>-4.5465794391930103E-4</c:v>
                </c:pt>
                <c:pt idx="96">
                  <c:v>7.6105691492557526E-2</c:v>
                </c:pt>
                <c:pt idx="97">
                  <c:v>6.5980486571788788E-2</c:v>
                </c:pt>
                <c:pt idx="98">
                  <c:v>5.2488692104816437E-2</c:v>
                </c:pt>
                <c:pt idx="99">
                  <c:v>4.5931633561849594E-2</c:v>
                </c:pt>
                <c:pt idx="100">
                  <c:v>4.2261313647031784E-3</c:v>
                </c:pt>
                <c:pt idx="101">
                  <c:v>-5.315801128745079E-2</c:v>
                </c:pt>
                <c:pt idx="102">
                  <c:v>-9.111543744802475E-2</c:v>
                </c:pt>
                <c:pt idx="103">
                  <c:v>-0.10045918077230453</c:v>
                </c:pt>
                <c:pt idx="104">
                  <c:v>3.4059889614582062E-2</c:v>
                </c:pt>
                <c:pt idx="105">
                  <c:v>2.064116857945919E-2</c:v>
                </c:pt>
                <c:pt idx="106">
                  <c:v>8.5670109838247299E-3</c:v>
                </c:pt>
                <c:pt idx="107">
                  <c:v>-2.0526996813714504E-3</c:v>
                </c:pt>
                <c:pt idx="108">
                  <c:v>-1.2205170467495918E-2</c:v>
                </c:pt>
                <c:pt idx="109">
                  <c:v>-1.9731219857931137E-2</c:v>
                </c:pt>
                <c:pt idx="110">
                  <c:v>-2.1365340799093246E-2</c:v>
                </c:pt>
                <c:pt idx="111">
                  <c:v>-7.9136425629258156E-3</c:v>
                </c:pt>
                <c:pt idx="112">
                  <c:v>-1.795252226293087E-2</c:v>
                </c:pt>
                <c:pt idx="113">
                  <c:v>-1.5147813595831394E-2</c:v>
                </c:pt>
                <c:pt idx="114">
                  <c:v>-1.2786680832505226E-2</c:v>
                </c:pt>
                <c:pt idx="115">
                  <c:v>-7.4616721831262112E-3</c:v>
                </c:pt>
                <c:pt idx="116">
                  <c:v>1.865847036242485E-3</c:v>
                </c:pt>
                <c:pt idx="117">
                  <c:v>8.3075510337948799E-3</c:v>
                </c:pt>
                <c:pt idx="118">
                  <c:v>1.6849134117364883E-2</c:v>
                </c:pt>
                <c:pt idx="119">
                  <c:v>2.6326155290007591E-2</c:v>
                </c:pt>
                <c:pt idx="120">
                  <c:v>-4.8005790449678898E-3</c:v>
                </c:pt>
                <c:pt idx="121">
                  <c:v>-5.8227265253663063E-3</c:v>
                </c:pt>
                <c:pt idx="122">
                  <c:v>2.6059738593176007E-4</c:v>
                </c:pt>
                <c:pt idx="123">
                  <c:v>2.6737996377050877E-3</c:v>
                </c:pt>
                <c:pt idx="124">
                  <c:v>3.5467576235532761E-3</c:v>
                </c:pt>
                <c:pt idx="125">
                  <c:v>1.3288604095578194E-3</c:v>
                </c:pt>
                <c:pt idx="126">
                  <c:v>-8.273972780443728E-4</c:v>
                </c:pt>
                <c:pt idx="127">
                  <c:v>3.6406877916306257E-3</c:v>
                </c:pt>
                <c:pt idx="128">
                  <c:v>-1.3587764464318752E-2</c:v>
                </c:pt>
                <c:pt idx="129">
                  <c:v>-1.4767890388611704E-4</c:v>
                </c:pt>
                <c:pt idx="130">
                  <c:v>3.5086371004581451E-2</c:v>
                </c:pt>
                <c:pt idx="131">
                  <c:v>6.147327646613121E-2</c:v>
                </c:pt>
                <c:pt idx="132">
                  <c:v>5.6608211249113083E-2</c:v>
                </c:pt>
                <c:pt idx="133">
                  <c:v>5.5998610332608223E-3</c:v>
                </c:pt>
                <c:pt idx="134">
                  <c:v>-7.0066563785076141E-2</c:v>
                </c:pt>
                <c:pt idx="135">
                  <c:v>-7.4965707957744598E-2</c:v>
                </c:pt>
                <c:pt idx="136">
                  <c:v>-1.0949335061013699E-2</c:v>
                </c:pt>
                <c:pt idx="137">
                  <c:v>-2.1330604329705238E-2</c:v>
                </c:pt>
                <c:pt idx="138">
                  <c:v>-2.3607188835740089E-2</c:v>
                </c:pt>
                <c:pt idx="139">
                  <c:v>-1.636696420609951E-2</c:v>
                </c:pt>
                <c:pt idx="140">
                  <c:v>-1.4221327379345894E-2</c:v>
                </c:pt>
                <c:pt idx="141">
                  <c:v>1.9644949585199356E-2</c:v>
                </c:pt>
                <c:pt idx="142">
                  <c:v>3.1542036682367325E-2</c:v>
                </c:pt>
                <c:pt idx="143">
                  <c:v>3.5288430750370026E-2</c:v>
                </c:pt>
              </c:numCache>
            </c:numRef>
          </c:yVal>
          <c:smooth val="0"/>
          <c:extLst>
            <c:ext xmlns:c16="http://schemas.microsoft.com/office/drawing/2014/chart" uri="{C3380CC4-5D6E-409C-BE32-E72D297353CC}">
              <c16:uniqueId val="{00000001-7812-47CF-A5E1-83B65FBA9DE6}"/>
            </c:ext>
          </c:extLst>
        </c:ser>
        <c:dLbls>
          <c:showLegendKey val="0"/>
          <c:showVal val="0"/>
          <c:showCatName val="0"/>
          <c:showSerName val="0"/>
          <c:showPercent val="0"/>
          <c:showBubbleSize val="0"/>
        </c:dLbls>
        <c:axId val="463383168"/>
        <c:axId val="463389440"/>
      </c:scatterChart>
      <c:valAx>
        <c:axId val="463383168"/>
        <c:scaling>
          <c:orientation val="minMax"/>
          <c:max val="0.5"/>
          <c:min val="-0.5"/>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LiquidLiabilities</a:t>
                </a:r>
                <a:r>
                  <a:rPr lang="en-NZ" sz="800" baseline="0">
                    <a:solidFill>
                      <a:sysClr val="windowText" lastClr="000000"/>
                    </a:solidFill>
                    <a:latin typeface="Times New Roman" panose="02020603050405020304" pitchFamily="18" charset="0"/>
                    <a:cs typeface="Times New Roman" panose="02020603050405020304" pitchFamily="18" charset="0"/>
                  </a:rPr>
                  <a:t> </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3389440"/>
        <c:crosses val="autoZero"/>
        <c:crossBetween val="midCat"/>
      </c:valAx>
      <c:valAx>
        <c:axId val="46338944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NZ" sz="800" b="0" i="0" u="none" strike="noStrike" baseline="0">
                    <a:effectLst/>
                  </a:rPr>
                  <a:t>GrossGini</a:t>
                </a:r>
                <a:endParaRPr lang="en-NZ"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3383168"/>
        <c:crosses val="autoZero"/>
        <c:crossBetween val="midCat"/>
      </c:valAx>
      <c:spPr>
        <a:noFill/>
        <a:ln>
          <a:solidFill>
            <a:schemeClr val="tx1">
              <a:lumMod val="75000"/>
              <a:lumOff val="2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574F-D96D-4E1A-9970-C05A3BBC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45415</Words>
  <Characters>258868</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303676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 Raheem, Jahan</dc:creator>
  <cp:lastModifiedBy>Geua Boe-Gibson</cp:lastModifiedBy>
  <cp:revision>3</cp:revision>
  <cp:lastPrinted>2023-04-18T12:52:00Z</cp:lastPrinted>
  <dcterms:created xsi:type="dcterms:W3CDTF">2023-04-18T12:52:00Z</dcterms:created>
  <dcterms:modified xsi:type="dcterms:W3CDTF">2023-04-18T12:58:00Z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http://csl.mendeley.com/styles/28319301/apa-2</vt:lpwstr>
  </property>
  <property fmtid="{D5CDD505-2E9C-101B-9397-08002B2CF9AE}" pid="5" name="Mendeley Recent Style Name 1_1">
    <vt:lpwstr>American Psychological Association 7th edition - roya taherifar</vt:lpwstr>
  </property>
  <property fmtid="{D5CDD505-2E9C-101B-9397-08002B2CF9AE}" pid="6" name="Mendeley Recent Style Id 2_1">
    <vt:lpwstr>http://csl.mendeley.com/styles/28319301/ILR-Review-Roya</vt:lpwstr>
  </property>
  <property fmtid="{D5CDD505-2E9C-101B-9397-08002B2CF9AE}" pid="7" name="Mendeley Recent Style Name 2_1">
    <vt:lpwstr>American Sociological Association 6th edition - roya taherifar</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http://csl.mendeley.com/styles/28319301/ILR-Review-Roya-2</vt:lpwstr>
  </property>
  <property fmtid="{D5CDD505-2E9C-101B-9397-08002B2CF9AE}" pid="15" name="Mendeley Recent Style Name 6_1">
    <vt:lpwstr>ILR Review Roya - roya taherifar</vt:lpwstr>
  </property>
  <property fmtid="{D5CDD505-2E9C-101B-9397-08002B2CF9AE}" pid="16" name="Mendeley Recent Style Id 7_1">
    <vt:lpwstr>https://csl.mendeley.com/styles/28319301/JournalofEconomicInequality-Roya</vt:lpwstr>
  </property>
  <property fmtid="{D5CDD505-2E9C-101B-9397-08002B2CF9AE}" pid="17" name="Mendeley Recent Style Name 7_1">
    <vt:lpwstr>Journal of economic inequality - roya taherifar</vt:lpwstr>
  </property>
  <property fmtid="{D5CDD505-2E9C-101B-9397-08002B2CF9AE}" pid="18" name="Mendeley Recent Style Id 8_1">
    <vt:lpwstr>http://csl.mendeley.com/styles/28319301/JournalofEconomicInequality-Roya-2</vt:lpwstr>
  </property>
  <property fmtid="{D5CDD505-2E9C-101B-9397-08002B2CF9AE}" pid="19" name="Mendeley Recent Style Name 8_1">
    <vt:lpwstr>Journal of economic inequality - roya taherifar2</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06c19f74-e79d-33f1-b52a-00948d72c771</vt:lpwstr>
  </property>
  <property fmtid="{D5CDD505-2E9C-101B-9397-08002B2CF9AE}" pid="24" name="Mendeley Citation Style_1">
    <vt:lpwstr>http://csl.mendeley.com/styles/28319301/apa-2</vt:lpwstr>
  </property>
</Properties>
</file>