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420BA6" w14:textId="77777777" w:rsidR="00E45C66" w:rsidRDefault="00E45C66" w:rsidP="00E45C66">
      <w:pPr>
        <w:spacing w:after="0" w:line="300" w:lineRule="auto"/>
        <w:rPr>
          <w:rFonts w:eastAsia="Times New Roman"/>
          <w:b/>
          <w:bCs/>
          <w:sz w:val="28"/>
          <w:lang w:val="en-US"/>
        </w:rPr>
      </w:pPr>
    </w:p>
    <w:p w14:paraId="5DC59BEC" w14:textId="77777777" w:rsidR="00E45C66" w:rsidRDefault="00E45C66" w:rsidP="00E45C66">
      <w:pPr>
        <w:pStyle w:val="PlainText"/>
        <w:tabs>
          <w:tab w:val="left" w:pos="284"/>
        </w:tabs>
        <w:jc w:val="center"/>
        <w:rPr>
          <w:rFonts w:ascii="Times New Roman" w:hAnsi="Times New Roman"/>
          <w:b/>
          <w:sz w:val="28"/>
        </w:rPr>
      </w:pPr>
    </w:p>
    <w:p w14:paraId="00FB848E" w14:textId="77777777" w:rsidR="00E45C66" w:rsidRDefault="00E45C66" w:rsidP="00E45C66">
      <w:pPr>
        <w:pStyle w:val="PlainText"/>
        <w:tabs>
          <w:tab w:val="left" w:pos="284"/>
        </w:tabs>
        <w:jc w:val="center"/>
        <w:rPr>
          <w:rFonts w:ascii="Times New Roman" w:hAnsi="Times New Roman"/>
          <w:b/>
          <w:sz w:val="28"/>
        </w:rPr>
      </w:pPr>
      <w:r>
        <w:rPr>
          <w:rFonts w:ascii="Times New Roman" w:hAnsi="Times New Roman"/>
          <w:b/>
          <w:sz w:val="28"/>
        </w:rPr>
        <w:t>UNIVERSITY OF WAIKATO</w:t>
      </w:r>
    </w:p>
    <w:p w14:paraId="4C18F608" w14:textId="77777777" w:rsidR="00E45C66" w:rsidRDefault="00E45C66" w:rsidP="00E45C66">
      <w:pPr>
        <w:pStyle w:val="PlainText"/>
        <w:tabs>
          <w:tab w:val="left" w:pos="284"/>
        </w:tabs>
        <w:jc w:val="center"/>
        <w:rPr>
          <w:rFonts w:ascii="Times New Roman" w:hAnsi="Times New Roman"/>
          <w:b/>
          <w:sz w:val="28"/>
        </w:rPr>
      </w:pPr>
    </w:p>
    <w:p w14:paraId="74A35E75" w14:textId="77777777" w:rsidR="00E45C66" w:rsidRDefault="00E45C66" w:rsidP="00E45C66">
      <w:pPr>
        <w:pStyle w:val="PlainText"/>
        <w:tabs>
          <w:tab w:val="left" w:pos="284"/>
        </w:tabs>
        <w:jc w:val="center"/>
        <w:rPr>
          <w:rFonts w:ascii="Times New Roman" w:hAnsi="Times New Roman"/>
          <w:b/>
          <w:sz w:val="28"/>
        </w:rPr>
      </w:pPr>
      <w:r>
        <w:rPr>
          <w:rFonts w:ascii="Times New Roman" w:hAnsi="Times New Roman"/>
          <w:b/>
          <w:sz w:val="28"/>
        </w:rPr>
        <w:t>Hamilton</w:t>
      </w:r>
    </w:p>
    <w:p w14:paraId="3A6B93BC" w14:textId="77777777" w:rsidR="00E45C66" w:rsidRDefault="00E45C66" w:rsidP="00E45C66">
      <w:pPr>
        <w:pStyle w:val="PlainText"/>
        <w:tabs>
          <w:tab w:val="left" w:pos="284"/>
        </w:tabs>
        <w:jc w:val="center"/>
        <w:rPr>
          <w:rFonts w:ascii="Times New Roman" w:hAnsi="Times New Roman"/>
          <w:b/>
          <w:sz w:val="28"/>
        </w:rPr>
      </w:pPr>
      <w:r>
        <w:rPr>
          <w:rFonts w:ascii="Times New Roman" w:hAnsi="Times New Roman"/>
          <w:b/>
          <w:sz w:val="28"/>
        </w:rPr>
        <w:t>New Zealand</w:t>
      </w:r>
    </w:p>
    <w:p w14:paraId="4C0F560F" w14:textId="77777777" w:rsidR="00E45C66" w:rsidRDefault="00E45C66" w:rsidP="00E45C66">
      <w:pPr>
        <w:pStyle w:val="PlainText"/>
        <w:tabs>
          <w:tab w:val="left" w:pos="284"/>
        </w:tabs>
        <w:jc w:val="center"/>
        <w:rPr>
          <w:rFonts w:ascii="Times New Roman" w:hAnsi="Times New Roman"/>
          <w:b/>
          <w:sz w:val="28"/>
        </w:rPr>
      </w:pPr>
    </w:p>
    <w:p w14:paraId="03655139" w14:textId="77777777" w:rsidR="00E45C66" w:rsidRDefault="00E45C66" w:rsidP="00E45C66">
      <w:pPr>
        <w:pStyle w:val="PlainText"/>
        <w:tabs>
          <w:tab w:val="left" w:pos="284"/>
        </w:tabs>
        <w:jc w:val="center"/>
        <w:rPr>
          <w:rFonts w:ascii="Times New Roman" w:hAnsi="Times New Roman"/>
          <w:b/>
          <w:sz w:val="28"/>
        </w:rPr>
      </w:pPr>
    </w:p>
    <w:p w14:paraId="60E9AE07" w14:textId="71F2D843" w:rsidR="00E45C66" w:rsidRPr="00E67C79" w:rsidRDefault="00E45C66" w:rsidP="00E45C66">
      <w:pPr>
        <w:pStyle w:val="PlainText"/>
        <w:pBdr>
          <w:top w:val="thinThickSmallGap" w:sz="24" w:space="1" w:color="auto"/>
          <w:left w:val="thinThickSmallGap" w:sz="24" w:space="4" w:color="auto"/>
          <w:bottom w:val="thickThinSmallGap" w:sz="24" w:space="1" w:color="auto"/>
          <w:right w:val="thickThinSmallGap" w:sz="24" w:space="4" w:color="auto"/>
        </w:pBdr>
        <w:tabs>
          <w:tab w:val="left" w:pos="284"/>
        </w:tabs>
        <w:spacing w:line="360" w:lineRule="auto"/>
        <w:jc w:val="center"/>
        <w:rPr>
          <w:rFonts w:ascii="Times New Roman" w:hAnsi="Times New Roman"/>
          <w:b/>
          <w:bCs/>
          <w:sz w:val="14"/>
          <w:szCs w:val="14"/>
        </w:rPr>
      </w:pPr>
      <w:r w:rsidRPr="00D943DD">
        <w:rPr>
          <w:rFonts w:asciiTheme="majorBidi" w:hAnsiTheme="majorBidi" w:cstheme="majorBidi"/>
          <w:b/>
          <w:bCs/>
          <w:sz w:val="12"/>
          <w:szCs w:val="12"/>
        </w:rPr>
        <w:br/>
      </w:r>
      <w:r w:rsidR="00395CA9">
        <w:rPr>
          <w:rFonts w:asciiTheme="majorBidi" w:hAnsiTheme="majorBidi" w:cstheme="majorBidi"/>
          <w:b/>
          <w:bCs/>
          <w:sz w:val="28"/>
          <w:szCs w:val="28"/>
        </w:rPr>
        <w:t>The role of spillovers when evaluating regional development interventions</w:t>
      </w:r>
      <w:r w:rsidRPr="00E67C79">
        <w:rPr>
          <w:rFonts w:asciiTheme="majorBidi" w:hAnsiTheme="majorBidi" w:cstheme="majorBidi"/>
          <w:b/>
          <w:bCs/>
          <w:sz w:val="28"/>
          <w:szCs w:val="28"/>
        </w:rPr>
        <w:t>:</w:t>
      </w:r>
      <w:r w:rsidRPr="00E67C79">
        <w:rPr>
          <w:rFonts w:cs="Arial"/>
          <w:b/>
          <w:bCs/>
          <w:sz w:val="28"/>
          <w:szCs w:val="28"/>
        </w:rPr>
        <w:br/>
      </w:r>
      <w:r w:rsidR="00395CA9">
        <w:rPr>
          <w:rFonts w:asciiTheme="majorBidi" w:hAnsiTheme="majorBidi" w:cstheme="majorBidi"/>
          <w:b/>
          <w:bCs/>
          <w:sz w:val="28"/>
          <w:szCs w:val="28"/>
        </w:rPr>
        <w:t>Evidence from administrative upgrading in China</w:t>
      </w:r>
      <w:r w:rsidRPr="00E67C79">
        <w:rPr>
          <w:rFonts w:cs="Arial"/>
          <w:b/>
          <w:bCs/>
          <w:sz w:val="28"/>
          <w:szCs w:val="28"/>
        </w:rPr>
        <w:t xml:space="preserve"> </w:t>
      </w:r>
      <w:r w:rsidRPr="00E67C79">
        <w:rPr>
          <w:rFonts w:cs="Arial"/>
          <w:b/>
          <w:bCs/>
          <w:sz w:val="28"/>
          <w:szCs w:val="28"/>
        </w:rPr>
        <w:br/>
      </w:r>
      <w:r w:rsidRPr="00E67C79">
        <w:rPr>
          <w:rFonts w:ascii="Times New Roman" w:hAnsi="Times New Roman"/>
          <w:b/>
          <w:bCs/>
          <w:sz w:val="28"/>
          <w:szCs w:val="28"/>
        </w:rPr>
        <w:t xml:space="preserve"> </w:t>
      </w:r>
    </w:p>
    <w:p w14:paraId="7FC636D4" w14:textId="461226C0" w:rsidR="00E45C66" w:rsidRDefault="00E45C66" w:rsidP="00E45C66">
      <w:pPr>
        <w:pStyle w:val="PlainText"/>
        <w:pBdr>
          <w:top w:val="thinThickSmallGap" w:sz="24" w:space="1" w:color="auto"/>
          <w:left w:val="thinThickSmallGap" w:sz="24" w:space="4" w:color="auto"/>
          <w:bottom w:val="thickThinSmallGap" w:sz="24" w:space="1" w:color="auto"/>
          <w:right w:val="thickThinSmallGap" w:sz="24" w:space="4" w:color="auto"/>
        </w:pBdr>
        <w:tabs>
          <w:tab w:val="left" w:pos="284"/>
        </w:tabs>
        <w:spacing w:line="360" w:lineRule="auto"/>
        <w:jc w:val="center"/>
        <w:rPr>
          <w:rFonts w:ascii="Times New Roman" w:hAnsi="Times New Roman"/>
          <w:sz w:val="28"/>
        </w:rPr>
      </w:pPr>
      <w:r>
        <w:rPr>
          <w:rFonts w:ascii="Times New Roman" w:hAnsi="Times New Roman"/>
          <w:sz w:val="28"/>
        </w:rPr>
        <w:t xml:space="preserve">Xiaoxuan Zhang, </w:t>
      </w:r>
      <w:r w:rsidR="00395CA9">
        <w:rPr>
          <w:rFonts w:ascii="Times New Roman" w:hAnsi="Times New Roman"/>
          <w:sz w:val="28"/>
        </w:rPr>
        <w:t>Chao Li</w:t>
      </w:r>
      <w:r>
        <w:rPr>
          <w:rFonts w:ascii="Times New Roman" w:hAnsi="Times New Roman"/>
          <w:sz w:val="28"/>
        </w:rPr>
        <w:t xml:space="preserve"> and </w:t>
      </w:r>
      <w:r w:rsidR="00395CA9">
        <w:rPr>
          <w:rFonts w:ascii="Times New Roman" w:hAnsi="Times New Roman"/>
          <w:sz w:val="28"/>
        </w:rPr>
        <w:t>John Gibson</w:t>
      </w:r>
    </w:p>
    <w:p w14:paraId="72325F9E" w14:textId="77777777" w:rsidR="00E45C66" w:rsidRDefault="00E45C66" w:rsidP="00E45C66">
      <w:pPr>
        <w:pStyle w:val="PlainText"/>
        <w:pBdr>
          <w:top w:val="thinThickSmallGap" w:sz="24" w:space="1" w:color="auto"/>
          <w:left w:val="thinThickSmallGap" w:sz="24" w:space="4" w:color="auto"/>
          <w:bottom w:val="thickThinSmallGap" w:sz="24" w:space="1" w:color="auto"/>
          <w:right w:val="thickThinSmallGap" w:sz="24" w:space="4" w:color="auto"/>
        </w:pBdr>
        <w:tabs>
          <w:tab w:val="left" w:pos="284"/>
        </w:tabs>
        <w:spacing w:line="360" w:lineRule="auto"/>
        <w:jc w:val="center"/>
        <w:rPr>
          <w:rFonts w:ascii="Times New Roman" w:hAnsi="Times New Roman"/>
          <w:b/>
          <w:sz w:val="8"/>
        </w:rPr>
      </w:pPr>
    </w:p>
    <w:p w14:paraId="118B334D" w14:textId="77777777" w:rsidR="00E45C66" w:rsidRDefault="00E45C66" w:rsidP="00E45C66">
      <w:pPr>
        <w:pStyle w:val="PlainText"/>
        <w:tabs>
          <w:tab w:val="left" w:pos="284"/>
        </w:tabs>
        <w:rPr>
          <w:rFonts w:ascii="Times New Roman" w:hAnsi="Times New Roman"/>
          <w:b/>
          <w:sz w:val="28"/>
        </w:rPr>
      </w:pPr>
    </w:p>
    <w:p w14:paraId="243BD10A" w14:textId="77777777" w:rsidR="00E45C66" w:rsidRDefault="00E45C66" w:rsidP="00E45C66">
      <w:pPr>
        <w:pStyle w:val="PlainText"/>
        <w:tabs>
          <w:tab w:val="left" w:pos="284"/>
        </w:tabs>
        <w:rPr>
          <w:rFonts w:ascii="Times New Roman" w:hAnsi="Times New Roman"/>
          <w:b/>
          <w:sz w:val="28"/>
        </w:rPr>
      </w:pPr>
    </w:p>
    <w:p w14:paraId="25CF2BB9" w14:textId="4E4FF2D1" w:rsidR="00E45C66" w:rsidRDefault="00E45C66" w:rsidP="00E45C66">
      <w:pPr>
        <w:pStyle w:val="PlainText"/>
        <w:tabs>
          <w:tab w:val="left" w:pos="284"/>
        </w:tabs>
        <w:spacing w:before="100" w:line="360" w:lineRule="auto"/>
        <w:jc w:val="center"/>
        <w:rPr>
          <w:rFonts w:ascii="Times New Roman" w:hAnsi="Times New Roman"/>
          <w:b/>
          <w:bCs/>
          <w:sz w:val="28"/>
        </w:rPr>
      </w:pPr>
      <w:r>
        <w:rPr>
          <w:rFonts w:ascii="Times New Roman" w:hAnsi="Times New Roman"/>
          <w:b/>
          <w:bCs/>
          <w:sz w:val="28"/>
        </w:rPr>
        <w:t xml:space="preserve">Working Paper in Economics </w:t>
      </w:r>
      <w:r w:rsidR="006E4777">
        <w:rPr>
          <w:rFonts w:ascii="Times New Roman" w:hAnsi="Times New Roman"/>
          <w:b/>
          <w:bCs/>
          <w:sz w:val="28"/>
        </w:rPr>
        <w:t>7</w:t>
      </w:r>
      <w:r>
        <w:rPr>
          <w:rFonts w:ascii="Times New Roman" w:hAnsi="Times New Roman"/>
          <w:b/>
          <w:bCs/>
          <w:sz w:val="28"/>
        </w:rPr>
        <w:t>/2</w:t>
      </w:r>
      <w:r w:rsidR="006E4777">
        <w:rPr>
          <w:rFonts w:ascii="Times New Roman" w:hAnsi="Times New Roman"/>
          <w:b/>
          <w:bCs/>
          <w:sz w:val="28"/>
        </w:rPr>
        <w:t>3</w:t>
      </w:r>
    </w:p>
    <w:p w14:paraId="17CD2FCD" w14:textId="19ECC788" w:rsidR="00E45C66" w:rsidRDefault="00E45C66" w:rsidP="00E45C66">
      <w:pPr>
        <w:pStyle w:val="PlainText"/>
        <w:tabs>
          <w:tab w:val="left" w:pos="284"/>
        </w:tabs>
        <w:spacing w:before="100" w:line="360" w:lineRule="auto"/>
        <w:jc w:val="center"/>
        <w:rPr>
          <w:rFonts w:ascii="Times New Roman" w:hAnsi="Times New Roman"/>
          <w:sz w:val="28"/>
        </w:rPr>
      </w:pPr>
      <w:r>
        <w:rPr>
          <w:rFonts w:ascii="Times New Roman" w:hAnsi="Times New Roman"/>
          <w:sz w:val="28"/>
        </w:rPr>
        <w:t>November 202</w:t>
      </w:r>
      <w:r w:rsidR="006E4777">
        <w:rPr>
          <w:rFonts w:ascii="Times New Roman" w:hAnsi="Times New Roman"/>
          <w:sz w:val="28"/>
        </w:rPr>
        <w:t>3</w:t>
      </w:r>
    </w:p>
    <w:p w14:paraId="35AF8BE9" w14:textId="77777777" w:rsidR="00E45C66" w:rsidRPr="00AE73E2" w:rsidRDefault="00E45C66" w:rsidP="00E45C66">
      <w:pPr>
        <w:spacing w:after="0" w:line="276" w:lineRule="auto"/>
        <w:jc w:val="center"/>
        <w:rPr>
          <w:b/>
          <w:bCs/>
        </w:rPr>
      </w:pPr>
      <w:r>
        <w:rPr>
          <w:sz w:val="32"/>
          <w:szCs w:val="32"/>
        </w:rPr>
        <w:br/>
      </w:r>
      <w:r>
        <w:rPr>
          <w:b/>
          <w:bCs/>
        </w:rPr>
        <w:t>Xiaoxuan Zhang</w:t>
      </w:r>
    </w:p>
    <w:p w14:paraId="2A974B94" w14:textId="77777777" w:rsidR="00E45C66" w:rsidRDefault="00E45C66" w:rsidP="00E45C66">
      <w:pPr>
        <w:spacing w:after="0" w:line="276" w:lineRule="auto"/>
        <w:jc w:val="center"/>
      </w:pPr>
      <w:r>
        <w:t>University of Waikato</w:t>
      </w:r>
    </w:p>
    <w:p w14:paraId="6B244BC9" w14:textId="77777777" w:rsidR="00395CA9" w:rsidRDefault="00395CA9" w:rsidP="00E45C66">
      <w:pPr>
        <w:spacing w:after="0" w:line="276" w:lineRule="auto"/>
        <w:jc w:val="center"/>
      </w:pPr>
    </w:p>
    <w:p w14:paraId="3BA2B738" w14:textId="7C3844EB" w:rsidR="00395CA9" w:rsidRPr="00395CA9" w:rsidRDefault="00395CA9" w:rsidP="00E45C66">
      <w:pPr>
        <w:spacing w:after="0" w:line="276" w:lineRule="auto"/>
        <w:jc w:val="center"/>
        <w:rPr>
          <w:b/>
          <w:bCs/>
        </w:rPr>
      </w:pPr>
      <w:r w:rsidRPr="00395CA9">
        <w:rPr>
          <w:b/>
          <w:bCs/>
        </w:rPr>
        <w:t>Chao Li</w:t>
      </w:r>
    </w:p>
    <w:p w14:paraId="70550D9D" w14:textId="1842A57A" w:rsidR="00395CA9" w:rsidRDefault="00395CA9" w:rsidP="00E45C66">
      <w:pPr>
        <w:spacing w:after="0" w:line="276" w:lineRule="auto"/>
        <w:jc w:val="center"/>
      </w:pPr>
      <w:r>
        <w:t>University of Auckland</w:t>
      </w:r>
    </w:p>
    <w:p w14:paraId="093B2FC1" w14:textId="77777777" w:rsidR="00E45C66" w:rsidRDefault="00E45C66" w:rsidP="00E45C66">
      <w:pPr>
        <w:spacing w:after="0" w:line="276" w:lineRule="auto"/>
        <w:jc w:val="center"/>
      </w:pPr>
    </w:p>
    <w:p w14:paraId="3EA3C16D" w14:textId="77777777" w:rsidR="00E45C66" w:rsidRPr="0076045F" w:rsidRDefault="00E45C66" w:rsidP="00E45C66">
      <w:pPr>
        <w:pStyle w:val="CM4"/>
        <w:spacing w:line="240" w:lineRule="auto"/>
        <w:jc w:val="center"/>
        <w:rPr>
          <w:bCs/>
          <w:i/>
        </w:rPr>
      </w:pPr>
      <w:r w:rsidRPr="0076045F">
        <w:rPr>
          <w:bCs/>
          <w:i/>
        </w:rPr>
        <w:t>Corresponding Author</w:t>
      </w:r>
    </w:p>
    <w:p w14:paraId="2B4042EC" w14:textId="77777777" w:rsidR="00E45C66" w:rsidRPr="005B2FFB" w:rsidRDefault="00E45C66" w:rsidP="00E45C66">
      <w:pPr>
        <w:pStyle w:val="CM4"/>
        <w:spacing w:line="240" w:lineRule="auto"/>
        <w:jc w:val="center"/>
        <w:rPr>
          <w:b/>
          <w:bCs/>
          <w:sz w:val="12"/>
          <w:szCs w:val="12"/>
        </w:rPr>
      </w:pPr>
    </w:p>
    <w:p w14:paraId="5B5426C8" w14:textId="77777777" w:rsidR="00E45C66" w:rsidRPr="0076045F" w:rsidRDefault="00E45C66" w:rsidP="00E45C66">
      <w:pPr>
        <w:pStyle w:val="CM4"/>
        <w:spacing w:before="60" w:line="240" w:lineRule="auto"/>
        <w:jc w:val="center"/>
      </w:pPr>
      <w:r w:rsidRPr="0076045F">
        <w:rPr>
          <w:b/>
          <w:bCs/>
        </w:rPr>
        <w:t>John Gibson</w:t>
      </w:r>
    </w:p>
    <w:p w14:paraId="4660B8B2" w14:textId="77777777" w:rsidR="00E45C66" w:rsidRDefault="00E45C66" w:rsidP="00E45C66">
      <w:pPr>
        <w:pStyle w:val="CM23"/>
        <w:spacing w:after="0"/>
        <w:jc w:val="center"/>
      </w:pPr>
      <w:r w:rsidRPr="0076045F">
        <w:t xml:space="preserve">School of Accounting, Finance </w:t>
      </w:r>
    </w:p>
    <w:p w14:paraId="079A700A" w14:textId="77777777" w:rsidR="00E45C66" w:rsidRPr="0076045F" w:rsidRDefault="00E45C66" w:rsidP="00E45C66">
      <w:pPr>
        <w:pStyle w:val="CM23"/>
        <w:spacing w:after="0"/>
        <w:jc w:val="center"/>
      </w:pPr>
      <w:r>
        <w:t xml:space="preserve">and </w:t>
      </w:r>
      <w:r w:rsidRPr="0076045F">
        <w:t>Economics</w:t>
      </w:r>
    </w:p>
    <w:p w14:paraId="4AC8EE46" w14:textId="77777777" w:rsidR="00E45C66" w:rsidRPr="0076045F" w:rsidRDefault="00E45C66" w:rsidP="00E45C66">
      <w:pPr>
        <w:pStyle w:val="CM23"/>
        <w:spacing w:after="0"/>
        <w:jc w:val="center"/>
      </w:pPr>
      <w:r w:rsidRPr="0076045F">
        <w:t>University of Waikato</w:t>
      </w:r>
    </w:p>
    <w:p w14:paraId="1969C794" w14:textId="77777777" w:rsidR="00E45C66" w:rsidRPr="0076045F" w:rsidRDefault="00E45C66" w:rsidP="00E45C66">
      <w:pPr>
        <w:pStyle w:val="CM23"/>
        <w:spacing w:after="0"/>
        <w:jc w:val="center"/>
      </w:pPr>
      <w:r w:rsidRPr="0076045F">
        <w:t>Private Bag 3105</w:t>
      </w:r>
    </w:p>
    <w:p w14:paraId="0A1A2B92" w14:textId="77777777" w:rsidR="00E45C66" w:rsidRPr="0076045F" w:rsidRDefault="00E45C66" w:rsidP="00E45C66">
      <w:pPr>
        <w:pStyle w:val="CM23"/>
        <w:spacing w:after="0"/>
        <w:jc w:val="center"/>
      </w:pPr>
      <w:r w:rsidRPr="0076045F">
        <w:t>Hamilton, 3240</w:t>
      </w:r>
    </w:p>
    <w:p w14:paraId="2906395C" w14:textId="77777777" w:rsidR="00E45C66" w:rsidRPr="0076045F" w:rsidRDefault="00E45C66" w:rsidP="00E45C66">
      <w:pPr>
        <w:pStyle w:val="CM23"/>
        <w:spacing w:after="0"/>
        <w:jc w:val="center"/>
      </w:pPr>
      <w:r w:rsidRPr="0076045F">
        <w:t xml:space="preserve">New Zealand </w:t>
      </w:r>
    </w:p>
    <w:p w14:paraId="6ED35689" w14:textId="77777777" w:rsidR="00E45C66" w:rsidRPr="00CD094B" w:rsidRDefault="00E45C66" w:rsidP="00E45C66">
      <w:pPr>
        <w:pStyle w:val="Default"/>
        <w:rPr>
          <w:sz w:val="12"/>
          <w:szCs w:val="12"/>
        </w:rPr>
      </w:pPr>
    </w:p>
    <w:p w14:paraId="3CABB6FD" w14:textId="77777777" w:rsidR="00E45C66" w:rsidRPr="0076045F" w:rsidRDefault="00E45C66" w:rsidP="00E45C66">
      <w:pPr>
        <w:pStyle w:val="Default"/>
        <w:jc w:val="center"/>
      </w:pPr>
      <w:r w:rsidRPr="0076045F">
        <w:t>Tel: +64 (7) 838 4289</w:t>
      </w:r>
    </w:p>
    <w:p w14:paraId="2297CD12" w14:textId="77777777" w:rsidR="00E45C66" w:rsidRPr="0076045F" w:rsidRDefault="00E45C66" w:rsidP="00E45C66">
      <w:pPr>
        <w:pStyle w:val="CM3"/>
        <w:jc w:val="center"/>
        <w:rPr>
          <w:bCs/>
        </w:rPr>
      </w:pPr>
      <w:r w:rsidRPr="0076045F">
        <w:rPr>
          <w:bCs/>
        </w:rPr>
        <w:t>Email: jkgibson@waikato.ac.nz</w:t>
      </w:r>
    </w:p>
    <w:p w14:paraId="34A2F81E" w14:textId="77777777" w:rsidR="00E45C66" w:rsidRPr="00AE73E2" w:rsidRDefault="00E45C66" w:rsidP="00E45C66">
      <w:pPr>
        <w:spacing w:after="0" w:line="276" w:lineRule="auto"/>
        <w:jc w:val="center"/>
        <w:rPr>
          <w:lang w:val="en-US"/>
        </w:rPr>
      </w:pPr>
    </w:p>
    <w:p w14:paraId="2B4D48F8" w14:textId="77777777" w:rsidR="008117AF" w:rsidRDefault="008117AF" w:rsidP="00A43630">
      <w:pPr>
        <w:pStyle w:val="1AutoList2"/>
        <w:spacing w:line="360" w:lineRule="auto"/>
        <w:jc w:val="center"/>
        <w:rPr>
          <w:rFonts w:cs="Arial"/>
          <w:sz w:val="32"/>
          <w:szCs w:val="32"/>
        </w:rPr>
      </w:pPr>
    </w:p>
    <w:p w14:paraId="07CDE7CB" w14:textId="77777777" w:rsidR="00E45C66" w:rsidRDefault="00E45C66" w:rsidP="00700B4A">
      <w:pPr>
        <w:pStyle w:val="1AutoList2"/>
        <w:spacing w:line="360" w:lineRule="auto"/>
        <w:jc w:val="center"/>
        <w:rPr>
          <w:rFonts w:cs="Arial"/>
          <w:sz w:val="28"/>
          <w:szCs w:val="28"/>
        </w:rPr>
      </w:pPr>
    </w:p>
    <w:p w14:paraId="7C8D7BD9" w14:textId="77777777" w:rsidR="006F4C01" w:rsidRDefault="006F4C01" w:rsidP="006F4C01">
      <w:pPr>
        <w:spacing w:after="0" w:line="360" w:lineRule="auto"/>
        <w:jc w:val="center"/>
        <w:rPr>
          <w:b/>
        </w:rPr>
      </w:pPr>
    </w:p>
    <w:p w14:paraId="5AD53E60" w14:textId="77777777" w:rsidR="006F4C01" w:rsidRPr="00CE497C" w:rsidRDefault="006F4C01" w:rsidP="006F4C01">
      <w:pPr>
        <w:spacing w:after="0" w:line="360" w:lineRule="auto"/>
        <w:ind w:left="720" w:right="720"/>
        <w:jc w:val="center"/>
        <w:rPr>
          <w:b/>
          <w:sz w:val="26"/>
          <w:szCs w:val="26"/>
        </w:rPr>
      </w:pPr>
      <w:r w:rsidRPr="00CE497C">
        <w:rPr>
          <w:b/>
          <w:sz w:val="26"/>
          <w:szCs w:val="26"/>
        </w:rPr>
        <w:lastRenderedPageBreak/>
        <w:t>Abstract</w:t>
      </w:r>
    </w:p>
    <w:p w14:paraId="16EDAFEA" w14:textId="77777777" w:rsidR="00395CA9" w:rsidRDefault="00395CA9" w:rsidP="006F4C01">
      <w:pPr>
        <w:spacing w:after="0" w:line="360" w:lineRule="auto"/>
        <w:ind w:left="720" w:right="720"/>
        <w:jc w:val="center"/>
        <w:rPr>
          <w:b/>
        </w:rPr>
      </w:pPr>
    </w:p>
    <w:p w14:paraId="4E8FB293" w14:textId="76B512F2" w:rsidR="009F3B78" w:rsidRDefault="00AB4806" w:rsidP="006E61B8">
      <w:pPr>
        <w:spacing w:after="0" w:line="360" w:lineRule="auto"/>
        <w:ind w:left="170" w:right="170"/>
        <w:jc w:val="lowKashida"/>
        <w:rPr>
          <w:bCs/>
          <w:lang w:val="en-US"/>
        </w:rPr>
      </w:pPr>
      <w:r>
        <w:rPr>
          <w:bCs/>
        </w:rPr>
        <w:t xml:space="preserve">Direct </w:t>
      </w:r>
      <w:r w:rsidR="00BD1D7C">
        <w:rPr>
          <w:bCs/>
          <w:lang w:val="en-US"/>
        </w:rPr>
        <w:t>effects of r</w:t>
      </w:r>
      <w:r w:rsidR="00700B4A">
        <w:rPr>
          <w:bCs/>
          <w:lang w:val="en-US"/>
        </w:rPr>
        <w:t xml:space="preserve">egional </w:t>
      </w:r>
      <w:r w:rsidR="009F3B78">
        <w:rPr>
          <w:bCs/>
          <w:lang w:val="en-US"/>
        </w:rPr>
        <w:t xml:space="preserve">development interventions on targeted areas </w:t>
      </w:r>
      <w:r w:rsidR="00BD1D7C">
        <w:rPr>
          <w:bCs/>
          <w:lang w:val="en-US"/>
        </w:rPr>
        <w:t xml:space="preserve">may be amplified </w:t>
      </w:r>
      <w:r>
        <w:rPr>
          <w:bCs/>
          <w:lang w:val="en-US"/>
        </w:rPr>
        <w:t>by</w:t>
      </w:r>
      <w:r w:rsidR="00BD1D7C">
        <w:rPr>
          <w:bCs/>
          <w:lang w:val="en-US"/>
        </w:rPr>
        <w:t xml:space="preserve"> positive spillovers </w:t>
      </w:r>
      <w:r>
        <w:rPr>
          <w:bCs/>
          <w:lang w:val="en-US"/>
        </w:rPr>
        <w:t xml:space="preserve">from elsewhere </w:t>
      </w:r>
      <w:r w:rsidR="00BD1D7C">
        <w:rPr>
          <w:bCs/>
          <w:lang w:val="en-US"/>
        </w:rPr>
        <w:t xml:space="preserve">or offset </w:t>
      </w:r>
      <w:r>
        <w:rPr>
          <w:bCs/>
          <w:lang w:val="en-US"/>
        </w:rPr>
        <w:t xml:space="preserve">by </w:t>
      </w:r>
      <w:r w:rsidR="00BD1D7C">
        <w:rPr>
          <w:bCs/>
          <w:lang w:val="en-US"/>
        </w:rPr>
        <w:t xml:space="preserve">negative spillovers. Yet </w:t>
      </w:r>
      <w:r w:rsidR="009F3B78">
        <w:rPr>
          <w:bCs/>
          <w:lang w:val="en-US"/>
        </w:rPr>
        <w:t xml:space="preserve">spillovers are often ignored in the applied literature, where impact analyses based on </w:t>
      </w:r>
      <w:r w:rsidR="009F3B78">
        <w:rPr>
          <w:rFonts w:asciiTheme="majorBidi" w:hAnsiTheme="majorBidi" w:cstheme="majorBidi"/>
        </w:rPr>
        <w:t xml:space="preserve">difference-in-differences typically treat spatial units as independent of their neighbours. </w:t>
      </w:r>
      <w:r>
        <w:rPr>
          <w:rFonts w:asciiTheme="majorBidi" w:hAnsiTheme="majorBidi" w:cstheme="majorBidi"/>
        </w:rPr>
        <w:t xml:space="preserve">We study </w:t>
      </w:r>
      <w:r w:rsidR="009F3B78">
        <w:rPr>
          <w:rFonts w:asciiTheme="majorBidi" w:hAnsiTheme="majorBidi" w:cstheme="majorBidi"/>
        </w:rPr>
        <w:t xml:space="preserve">spatial spillovers </w:t>
      </w:r>
      <w:r>
        <w:rPr>
          <w:rFonts w:asciiTheme="majorBidi" w:hAnsiTheme="majorBidi" w:cstheme="majorBidi"/>
        </w:rPr>
        <w:t>from</w:t>
      </w:r>
      <w:r w:rsidR="009F3B78">
        <w:rPr>
          <w:rFonts w:asciiTheme="majorBidi" w:hAnsiTheme="majorBidi" w:cstheme="majorBidi"/>
        </w:rPr>
        <w:t xml:space="preserve"> a </w:t>
      </w:r>
      <w:r>
        <w:rPr>
          <w:rFonts w:asciiTheme="majorBidi" w:hAnsiTheme="majorBidi" w:cstheme="majorBidi"/>
        </w:rPr>
        <w:t xml:space="preserve">popular </w:t>
      </w:r>
      <w:r w:rsidR="009F3B78">
        <w:rPr>
          <w:rFonts w:asciiTheme="majorBidi" w:hAnsiTheme="majorBidi" w:cstheme="majorBidi"/>
        </w:rPr>
        <w:t>regional development intervention in China –</w:t>
      </w:r>
      <w:r>
        <w:rPr>
          <w:rFonts w:asciiTheme="majorBidi" w:hAnsiTheme="majorBidi" w:cstheme="majorBidi"/>
        </w:rPr>
        <w:t xml:space="preserve"> converting </w:t>
      </w:r>
      <w:r w:rsidR="009F3B78">
        <w:rPr>
          <w:rFonts w:asciiTheme="majorBidi" w:hAnsiTheme="majorBidi" w:cstheme="majorBidi"/>
        </w:rPr>
        <w:t xml:space="preserve">counties to cities. </w:t>
      </w:r>
      <w:r w:rsidR="003509FF">
        <w:rPr>
          <w:rFonts w:asciiTheme="majorBidi" w:hAnsiTheme="majorBidi" w:cstheme="majorBidi"/>
        </w:rPr>
        <w:t xml:space="preserve">China’s </w:t>
      </w:r>
      <w:r>
        <w:rPr>
          <w:rFonts w:asciiTheme="majorBidi" w:hAnsiTheme="majorBidi" w:cstheme="majorBidi"/>
        </w:rPr>
        <w:t xml:space="preserve">top-down approach lets </w:t>
      </w:r>
      <w:r w:rsidR="009F3B78">
        <w:rPr>
          <w:rFonts w:asciiTheme="majorBidi" w:hAnsiTheme="majorBidi" w:cstheme="majorBidi"/>
        </w:rPr>
        <w:t xml:space="preserve">only central government </w:t>
      </w:r>
      <w:r w:rsidR="003509FF">
        <w:rPr>
          <w:rFonts w:asciiTheme="majorBidi" w:hAnsiTheme="majorBidi" w:cstheme="majorBidi"/>
        </w:rPr>
        <w:t>bestow city status on an area</w:t>
      </w:r>
      <w:r w:rsidR="00BD1D7C">
        <w:rPr>
          <w:rFonts w:asciiTheme="majorBidi" w:hAnsiTheme="majorBidi" w:cstheme="majorBidi"/>
        </w:rPr>
        <w:t xml:space="preserve">, with </w:t>
      </w:r>
      <w:r w:rsidR="003509FF">
        <w:rPr>
          <w:rFonts w:asciiTheme="majorBidi" w:hAnsiTheme="majorBidi" w:cstheme="majorBidi"/>
        </w:rPr>
        <w:t>over ten percent of counties upgraded to cities in the last two decades</w:t>
      </w:r>
      <w:r>
        <w:rPr>
          <w:rFonts w:asciiTheme="majorBidi" w:hAnsiTheme="majorBidi" w:cstheme="majorBidi"/>
        </w:rPr>
        <w:t>. A</w:t>
      </w:r>
      <w:r w:rsidR="003509FF">
        <w:rPr>
          <w:rFonts w:asciiTheme="majorBidi" w:hAnsiTheme="majorBidi" w:cstheme="majorBidi"/>
        </w:rPr>
        <w:t xml:space="preserve"> growing literature </w:t>
      </w:r>
      <w:r>
        <w:rPr>
          <w:rFonts w:asciiTheme="majorBidi" w:hAnsiTheme="majorBidi" w:cstheme="majorBidi"/>
        </w:rPr>
        <w:t xml:space="preserve">estimates </w:t>
      </w:r>
      <w:r w:rsidR="003509FF">
        <w:rPr>
          <w:rFonts w:asciiTheme="majorBidi" w:hAnsiTheme="majorBidi" w:cstheme="majorBidi"/>
        </w:rPr>
        <w:t>impact</w:t>
      </w:r>
      <w:r w:rsidR="00BD1D7C">
        <w:rPr>
          <w:rFonts w:asciiTheme="majorBidi" w:hAnsiTheme="majorBidi" w:cstheme="majorBidi"/>
        </w:rPr>
        <w:t>s</w:t>
      </w:r>
      <w:r w:rsidR="004D51DE">
        <w:rPr>
          <w:rFonts w:asciiTheme="majorBidi" w:hAnsiTheme="majorBidi" w:cstheme="majorBidi"/>
        </w:rPr>
        <w:t xml:space="preserve"> of these</w:t>
      </w:r>
      <w:r w:rsidR="003509FF">
        <w:rPr>
          <w:rFonts w:asciiTheme="majorBidi" w:hAnsiTheme="majorBidi" w:cstheme="majorBidi"/>
        </w:rPr>
        <w:t xml:space="preserve"> </w:t>
      </w:r>
      <w:r w:rsidR="00BD1D7C">
        <w:rPr>
          <w:rFonts w:asciiTheme="majorBidi" w:hAnsiTheme="majorBidi" w:cstheme="majorBidi"/>
        </w:rPr>
        <w:t>conversion</w:t>
      </w:r>
      <w:r w:rsidR="004D51DE">
        <w:rPr>
          <w:rFonts w:asciiTheme="majorBidi" w:hAnsiTheme="majorBidi" w:cstheme="majorBidi"/>
        </w:rPr>
        <w:t>s</w:t>
      </w:r>
      <w:r>
        <w:rPr>
          <w:rFonts w:asciiTheme="majorBidi" w:hAnsiTheme="majorBidi" w:cstheme="majorBidi"/>
        </w:rPr>
        <w:t xml:space="preserve">, with </w:t>
      </w:r>
      <w:r w:rsidR="003509FF">
        <w:rPr>
          <w:rFonts w:asciiTheme="majorBidi" w:hAnsiTheme="majorBidi" w:cstheme="majorBidi"/>
        </w:rPr>
        <w:t xml:space="preserve">spatial units </w:t>
      </w:r>
      <w:r>
        <w:rPr>
          <w:rFonts w:asciiTheme="majorBidi" w:hAnsiTheme="majorBidi" w:cstheme="majorBidi"/>
        </w:rPr>
        <w:t xml:space="preserve">typically treated </w:t>
      </w:r>
      <w:r w:rsidR="003509FF">
        <w:rPr>
          <w:rFonts w:asciiTheme="majorBidi" w:hAnsiTheme="majorBidi" w:cstheme="majorBidi"/>
        </w:rPr>
        <w:t>as independent of their neighbours.</w:t>
      </w:r>
      <w:r>
        <w:rPr>
          <w:rFonts w:asciiTheme="majorBidi" w:hAnsiTheme="majorBidi" w:cstheme="majorBidi"/>
        </w:rPr>
        <w:t xml:space="preserve"> In contrast, our spatial econometric models use a 20-year panel for almost 2500 county-level units to allow indirect spillover effects on </w:t>
      </w:r>
      <w:r w:rsidR="004D51DE">
        <w:rPr>
          <w:rFonts w:asciiTheme="majorBidi" w:hAnsiTheme="majorBidi" w:cstheme="majorBidi"/>
        </w:rPr>
        <w:t xml:space="preserve">indicators of local </w:t>
      </w:r>
      <w:r>
        <w:rPr>
          <w:rFonts w:asciiTheme="majorBidi" w:hAnsiTheme="majorBidi" w:cstheme="majorBidi"/>
        </w:rPr>
        <w:t xml:space="preserve">economic activity. </w:t>
      </w:r>
      <w:r w:rsidRPr="001F0499">
        <w:rPr>
          <w:bCs/>
          <w:lang w:val="en-US"/>
        </w:rPr>
        <w:t xml:space="preserve">The positive direct effects on </w:t>
      </w:r>
      <w:r>
        <w:rPr>
          <w:bCs/>
          <w:lang w:val="en-US"/>
        </w:rPr>
        <w:t xml:space="preserve">GDP and luminosity </w:t>
      </w:r>
      <w:r w:rsidRPr="001F0499">
        <w:rPr>
          <w:bCs/>
          <w:lang w:val="en-US"/>
        </w:rPr>
        <w:t>of a county being upgraded are amplifie</w:t>
      </w:r>
      <w:r>
        <w:rPr>
          <w:bCs/>
          <w:lang w:val="en-US"/>
        </w:rPr>
        <w:t xml:space="preserve">d through positive indirect effects, especially in the eastern regions of China where economic activity and population are more densely concentrated. The </w:t>
      </w:r>
      <w:r w:rsidRPr="001F0499">
        <w:rPr>
          <w:bCs/>
          <w:lang w:val="en-US"/>
        </w:rPr>
        <w:t>models without spatial lags</w:t>
      </w:r>
      <w:r w:rsidR="003C5D13">
        <w:rPr>
          <w:bCs/>
          <w:lang w:val="en-US"/>
        </w:rPr>
        <w:t xml:space="preserve"> that ignore spillovers</w:t>
      </w:r>
      <w:r w:rsidRPr="001F0499">
        <w:rPr>
          <w:bCs/>
          <w:lang w:val="en-US"/>
        </w:rPr>
        <w:t xml:space="preserve"> give estimated effects </w:t>
      </w:r>
      <w:r>
        <w:rPr>
          <w:bCs/>
          <w:lang w:val="en-US"/>
        </w:rPr>
        <w:t xml:space="preserve">of </w:t>
      </w:r>
      <w:r w:rsidR="004D51DE">
        <w:rPr>
          <w:bCs/>
          <w:lang w:val="en-US"/>
        </w:rPr>
        <w:t>converting counties to cities</w:t>
      </w:r>
      <w:r>
        <w:rPr>
          <w:bCs/>
          <w:lang w:val="en-US"/>
        </w:rPr>
        <w:t xml:space="preserve"> </w:t>
      </w:r>
      <w:r w:rsidR="003C5D13">
        <w:rPr>
          <w:bCs/>
          <w:lang w:val="en-US"/>
        </w:rPr>
        <w:t>that are only two-fifths to two</w:t>
      </w:r>
      <w:r w:rsidR="003C5D13">
        <w:rPr>
          <w:bCs/>
          <w:lang w:val="en-US"/>
        </w:rPr>
        <w:noBreakHyphen/>
      </w:r>
      <w:r w:rsidRPr="001F0499">
        <w:rPr>
          <w:bCs/>
          <w:lang w:val="en-US"/>
        </w:rPr>
        <w:t xml:space="preserve">thirds as large as the </w:t>
      </w:r>
      <w:r>
        <w:rPr>
          <w:bCs/>
          <w:lang w:val="en-US"/>
        </w:rPr>
        <w:t xml:space="preserve">estimated </w:t>
      </w:r>
      <w:r w:rsidRPr="001F0499">
        <w:rPr>
          <w:bCs/>
          <w:lang w:val="en-US"/>
        </w:rPr>
        <w:t>effects coming from the spatial models</w:t>
      </w:r>
      <w:r w:rsidR="009758F0">
        <w:rPr>
          <w:bCs/>
          <w:lang w:val="en-US"/>
        </w:rPr>
        <w:t>.</w:t>
      </w:r>
    </w:p>
    <w:p w14:paraId="31D2EDA6" w14:textId="77777777" w:rsidR="006F4C01" w:rsidRPr="003C5D13" w:rsidRDefault="006F4C01" w:rsidP="006F4C01">
      <w:pPr>
        <w:spacing w:after="0" w:line="360" w:lineRule="auto"/>
        <w:ind w:left="720" w:right="720"/>
        <w:jc w:val="lowKashida"/>
        <w:rPr>
          <w:lang w:val="en-US"/>
        </w:rPr>
      </w:pPr>
    </w:p>
    <w:p w14:paraId="08A14F39" w14:textId="77777777" w:rsidR="002C40BC" w:rsidRDefault="006F4C01" w:rsidP="002C40BC">
      <w:pPr>
        <w:spacing w:after="0" w:line="240" w:lineRule="auto"/>
        <w:ind w:left="170"/>
        <w:jc w:val="center"/>
        <w:rPr>
          <w:rFonts w:eastAsia="Batang"/>
          <w:b/>
          <w:lang w:val="en-US" w:eastAsia="ko-KR"/>
        </w:rPr>
      </w:pPr>
      <w:r w:rsidRPr="0064256F">
        <w:rPr>
          <w:rFonts w:eastAsia="Batang"/>
          <w:b/>
          <w:lang w:val="en-US" w:eastAsia="ko-KR"/>
        </w:rPr>
        <w:t>JEL Codes</w:t>
      </w:r>
    </w:p>
    <w:p w14:paraId="1D572C85" w14:textId="5593228D" w:rsidR="006F4C01" w:rsidRPr="0064256F" w:rsidRDefault="006F4C01" w:rsidP="002C40BC">
      <w:pPr>
        <w:spacing w:after="0" w:line="240" w:lineRule="auto"/>
        <w:ind w:left="170"/>
        <w:jc w:val="center"/>
        <w:rPr>
          <w:rFonts w:eastAsia="Batang"/>
          <w:lang w:val="en-US" w:eastAsia="ko-KR"/>
        </w:rPr>
      </w:pPr>
      <w:r w:rsidRPr="0026362F">
        <w:rPr>
          <w:rFonts w:eastAsia="Batang"/>
          <w:sz w:val="12"/>
          <w:szCs w:val="12"/>
          <w:lang w:val="en-US" w:eastAsia="ko-KR"/>
        </w:rPr>
        <w:t xml:space="preserve"> </w:t>
      </w:r>
      <w:r w:rsidR="002C40BC" w:rsidRPr="0026362F">
        <w:rPr>
          <w:rFonts w:eastAsia="Batang"/>
          <w:sz w:val="12"/>
          <w:szCs w:val="12"/>
          <w:lang w:val="en-US" w:eastAsia="ko-KR"/>
        </w:rPr>
        <w:br/>
      </w:r>
      <w:r>
        <w:rPr>
          <w:rFonts w:eastAsia="Batang"/>
          <w:lang w:val="en-US" w:eastAsia="ko-KR"/>
        </w:rPr>
        <w:t>R12</w:t>
      </w:r>
    </w:p>
    <w:p w14:paraId="34539BB2" w14:textId="77777777" w:rsidR="006F4C01" w:rsidRPr="0064256F" w:rsidRDefault="006F4C01" w:rsidP="002C40BC">
      <w:pPr>
        <w:spacing w:after="0" w:line="240" w:lineRule="auto"/>
        <w:ind w:left="170"/>
        <w:jc w:val="center"/>
        <w:rPr>
          <w:rFonts w:eastAsia="Batang"/>
          <w:lang w:val="en-US" w:eastAsia="ko-KR"/>
        </w:rPr>
      </w:pPr>
    </w:p>
    <w:p w14:paraId="3A4291FB" w14:textId="77777777" w:rsidR="002C40BC" w:rsidRDefault="002C40BC" w:rsidP="002C40BC">
      <w:pPr>
        <w:spacing w:after="0" w:line="240" w:lineRule="auto"/>
        <w:ind w:left="170"/>
        <w:jc w:val="center"/>
        <w:rPr>
          <w:rFonts w:eastAsia="Batang"/>
          <w:b/>
          <w:lang w:val="en-US" w:eastAsia="ko-KR"/>
        </w:rPr>
      </w:pPr>
    </w:p>
    <w:p w14:paraId="1B52E11F" w14:textId="66B7F518" w:rsidR="002C40BC" w:rsidRDefault="006F4C01" w:rsidP="002C40BC">
      <w:pPr>
        <w:spacing w:after="0" w:line="240" w:lineRule="auto"/>
        <w:ind w:left="170"/>
        <w:jc w:val="center"/>
        <w:rPr>
          <w:rFonts w:eastAsia="Batang"/>
          <w:lang w:val="en-US" w:eastAsia="ko-KR"/>
        </w:rPr>
      </w:pPr>
      <w:r w:rsidRPr="002C44AA">
        <w:rPr>
          <w:rFonts w:eastAsia="Batang"/>
          <w:b/>
          <w:lang w:val="en-US" w:eastAsia="ko-KR"/>
        </w:rPr>
        <w:t>Keywords</w:t>
      </w:r>
      <w:r w:rsidRPr="0064256F">
        <w:rPr>
          <w:rFonts w:eastAsia="Batang"/>
          <w:lang w:val="en-US" w:eastAsia="ko-KR"/>
        </w:rPr>
        <w:t xml:space="preserve"> </w:t>
      </w:r>
    </w:p>
    <w:p w14:paraId="0688CA0B" w14:textId="5AF8F934" w:rsidR="006F4C01" w:rsidRDefault="00C34B75" w:rsidP="0026362F">
      <w:pPr>
        <w:spacing w:before="240" w:after="120" w:line="240" w:lineRule="auto"/>
        <w:ind w:left="170"/>
        <w:jc w:val="center"/>
        <w:rPr>
          <w:rFonts w:eastAsia="Batang"/>
          <w:lang w:val="en-US" w:eastAsia="ko-KR"/>
        </w:rPr>
      </w:pPr>
      <w:r>
        <w:rPr>
          <w:rFonts w:eastAsia="Batang"/>
          <w:lang w:val="en-US" w:eastAsia="ko-KR"/>
        </w:rPr>
        <w:t>County upgrading</w:t>
      </w:r>
      <w:r w:rsidR="00A43630">
        <w:rPr>
          <w:rFonts w:eastAsia="Batang"/>
          <w:lang w:val="en-US" w:eastAsia="ko-KR"/>
        </w:rPr>
        <w:t xml:space="preserve"> </w:t>
      </w:r>
      <w:r w:rsidR="002C40BC">
        <w:rPr>
          <w:rFonts w:eastAsia="Batang"/>
          <w:lang w:val="en-US" w:eastAsia="ko-KR"/>
        </w:rPr>
        <w:br/>
      </w:r>
      <w:r w:rsidR="004D51DE">
        <w:rPr>
          <w:rFonts w:eastAsia="Batang"/>
          <w:lang w:val="en-US" w:eastAsia="ko-KR"/>
        </w:rPr>
        <w:t>luminosity</w:t>
      </w:r>
      <w:r w:rsidR="006F4C01">
        <w:rPr>
          <w:rFonts w:eastAsia="Batang"/>
          <w:lang w:val="en-US" w:eastAsia="ko-KR"/>
        </w:rPr>
        <w:t xml:space="preserve"> </w:t>
      </w:r>
      <w:r w:rsidR="002C40BC">
        <w:rPr>
          <w:rFonts w:eastAsia="Batang"/>
          <w:lang w:val="en-US" w:eastAsia="ko-KR"/>
        </w:rPr>
        <w:br/>
      </w:r>
      <w:r>
        <w:rPr>
          <w:rFonts w:eastAsia="Batang"/>
          <w:lang w:val="en-US" w:eastAsia="ko-KR"/>
        </w:rPr>
        <w:t xml:space="preserve">regional development </w:t>
      </w:r>
      <w:r w:rsidR="002C40BC">
        <w:rPr>
          <w:rFonts w:eastAsia="Batang"/>
          <w:lang w:val="en-US" w:eastAsia="ko-KR"/>
        </w:rPr>
        <w:br/>
      </w:r>
      <w:r>
        <w:rPr>
          <w:rFonts w:eastAsia="Batang"/>
          <w:lang w:val="en-US" w:eastAsia="ko-KR"/>
        </w:rPr>
        <w:t xml:space="preserve">spatial spillovers </w:t>
      </w:r>
      <w:r w:rsidR="002C40BC">
        <w:rPr>
          <w:rFonts w:eastAsia="Batang"/>
          <w:lang w:val="en-US" w:eastAsia="ko-KR"/>
        </w:rPr>
        <w:br/>
      </w:r>
      <w:r>
        <w:rPr>
          <w:rFonts w:eastAsia="Batang"/>
          <w:lang w:val="en-US" w:eastAsia="ko-KR"/>
        </w:rPr>
        <w:t>China</w:t>
      </w:r>
    </w:p>
    <w:p w14:paraId="65C8E2F6" w14:textId="77777777" w:rsidR="002C40BC" w:rsidRDefault="002C40BC" w:rsidP="0026362F">
      <w:pPr>
        <w:spacing w:after="0" w:line="240" w:lineRule="auto"/>
        <w:rPr>
          <w:rFonts w:eastAsia="Batang"/>
          <w:lang w:val="en-US" w:eastAsia="ko-KR"/>
        </w:rPr>
      </w:pPr>
    </w:p>
    <w:p w14:paraId="2E0138EC" w14:textId="77777777" w:rsidR="00CE497C" w:rsidRDefault="00CE497C" w:rsidP="004D51DE">
      <w:pPr>
        <w:spacing w:after="0" w:line="240" w:lineRule="auto"/>
        <w:ind w:left="170"/>
        <w:rPr>
          <w:rFonts w:eastAsia="Batang"/>
          <w:lang w:val="en-US" w:eastAsia="ko-KR"/>
        </w:rPr>
      </w:pPr>
    </w:p>
    <w:p w14:paraId="70B090FC" w14:textId="77777777" w:rsidR="00CE497C" w:rsidRDefault="00CE497C" w:rsidP="004D51DE">
      <w:pPr>
        <w:spacing w:after="0" w:line="240" w:lineRule="auto"/>
        <w:ind w:left="170"/>
        <w:rPr>
          <w:rFonts w:eastAsia="Batang"/>
          <w:lang w:val="en-US" w:eastAsia="ko-KR"/>
        </w:rPr>
      </w:pPr>
    </w:p>
    <w:p w14:paraId="6833BE15" w14:textId="77777777" w:rsidR="00395CA9" w:rsidRDefault="00395CA9" w:rsidP="00395CA9">
      <w:pPr>
        <w:spacing w:after="0" w:line="240" w:lineRule="auto"/>
        <w:ind w:left="170"/>
        <w:jc w:val="center"/>
        <w:rPr>
          <w:rFonts w:eastAsia="Batang"/>
          <w:b/>
          <w:bCs/>
          <w:lang w:val="en-US" w:eastAsia="ko-KR"/>
        </w:rPr>
      </w:pPr>
      <w:r w:rsidRPr="00395CA9">
        <w:rPr>
          <w:rFonts w:eastAsia="Batang"/>
          <w:b/>
          <w:bCs/>
          <w:lang w:val="en-US" w:eastAsia="ko-KR"/>
        </w:rPr>
        <w:t>Acknowledgements</w:t>
      </w:r>
    </w:p>
    <w:p w14:paraId="45671CFA" w14:textId="44618B47" w:rsidR="00395CA9" w:rsidRDefault="00395CA9" w:rsidP="00395CA9">
      <w:pPr>
        <w:spacing w:after="0" w:line="240" w:lineRule="auto"/>
        <w:ind w:left="170"/>
        <w:jc w:val="both"/>
        <w:rPr>
          <w:rFonts w:eastAsia="Batang"/>
          <w:lang w:val="en-US" w:eastAsia="ko-KR"/>
        </w:rPr>
      </w:pPr>
      <w:r w:rsidRPr="0026362F">
        <w:rPr>
          <w:rFonts w:eastAsia="Batang"/>
          <w:sz w:val="16"/>
          <w:szCs w:val="16"/>
          <w:lang w:val="en-US" w:eastAsia="ko-KR"/>
        </w:rPr>
        <w:br/>
      </w:r>
      <w:r w:rsidRPr="00395CA9">
        <w:t>Financial support from the Marsden Fund project UOW1901 and helpful comments from participants at the 14</w:t>
      </w:r>
      <w:r w:rsidRPr="00395CA9">
        <w:rPr>
          <w:vertAlign w:val="superscript"/>
        </w:rPr>
        <w:t>th</w:t>
      </w:r>
      <w:r w:rsidRPr="00395CA9">
        <w:t xml:space="preserve"> Geoffrey J.D. Hewings Workshop at WIFO and at a seminar audience at Beijing Technology and Business University are gratefully acknowledged</w:t>
      </w:r>
      <w:r w:rsidR="00685C68">
        <w:t>.</w:t>
      </w:r>
    </w:p>
    <w:p w14:paraId="650E22E3" w14:textId="57284FC2" w:rsidR="002C5B8B" w:rsidRPr="00395CA9" w:rsidRDefault="006F4C01" w:rsidP="00395CA9">
      <w:pPr>
        <w:jc w:val="both"/>
        <w:rPr>
          <w:rFonts w:cs="Arial"/>
          <w:b/>
          <w:bCs/>
          <w:sz w:val="28"/>
          <w:szCs w:val="28"/>
        </w:rPr>
      </w:pPr>
      <w:r>
        <w:rPr>
          <w:rFonts w:cs="Arial"/>
          <w:b/>
          <w:bCs/>
          <w:sz w:val="28"/>
          <w:szCs w:val="28"/>
        </w:rPr>
        <w:br w:type="page"/>
      </w:r>
      <w:r w:rsidR="004327EE" w:rsidRPr="006E5888">
        <w:rPr>
          <w:rFonts w:cs="Arial"/>
          <w:b/>
          <w:bCs/>
          <w:sz w:val="26"/>
          <w:szCs w:val="26"/>
        </w:rPr>
        <w:lastRenderedPageBreak/>
        <w:t>I.</w:t>
      </w:r>
      <w:r w:rsidR="004327EE" w:rsidRPr="006E5888">
        <w:rPr>
          <w:rFonts w:cs="Arial"/>
          <w:b/>
          <w:bCs/>
          <w:sz w:val="26"/>
          <w:szCs w:val="26"/>
        </w:rPr>
        <w:tab/>
        <w:t>Introduction</w:t>
      </w:r>
      <w:r w:rsidR="004327EE" w:rsidRPr="006E5888">
        <w:rPr>
          <w:bCs/>
          <w:sz w:val="26"/>
          <w:szCs w:val="26"/>
          <w:lang w:val="en-AU"/>
        </w:rPr>
        <w:t xml:space="preserve"> </w:t>
      </w:r>
    </w:p>
    <w:p w14:paraId="6A5D4018" w14:textId="5AA53B92" w:rsidR="00DB5295" w:rsidRDefault="001D7DEB" w:rsidP="00BD2F5C">
      <w:pPr>
        <w:spacing w:before="120" w:after="120" w:line="360" w:lineRule="auto"/>
        <w:rPr>
          <w:rFonts w:asciiTheme="majorBidi" w:hAnsiTheme="majorBidi" w:cstheme="majorBidi"/>
        </w:rPr>
      </w:pPr>
      <w:r>
        <w:rPr>
          <w:rFonts w:asciiTheme="majorBidi" w:hAnsiTheme="majorBidi" w:cstheme="majorBidi"/>
        </w:rPr>
        <w:t>R</w:t>
      </w:r>
      <w:r w:rsidRPr="00495106">
        <w:rPr>
          <w:rFonts w:asciiTheme="majorBidi" w:hAnsiTheme="majorBidi" w:cstheme="majorBidi"/>
        </w:rPr>
        <w:t xml:space="preserve">egional development </w:t>
      </w:r>
      <w:r>
        <w:rPr>
          <w:rFonts w:asciiTheme="majorBidi" w:hAnsiTheme="majorBidi" w:cstheme="majorBidi"/>
        </w:rPr>
        <w:t xml:space="preserve">interventions </w:t>
      </w:r>
      <w:r w:rsidR="001946A9">
        <w:rPr>
          <w:rFonts w:asciiTheme="majorBidi" w:hAnsiTheme="majorBidi" w:cstheme="majorBidi"/>
        </w:rPr>
        <w:t xml:space="preserve">under </w:t>
      </w:r>
      <w:r>
        <w:rPr>
          <w:rFonts w:asciiTheme="majorBidi" w:hAnsiTheme="majorBidi" w:cstheme="majorBidi"/>
        </w:rPr>
        <w:t>China</w:t>
      </w:r>
      <w:r w:rsidR="001946A9">
        <w:rPr>
          <w:rFonts w:asciiTheme="majorBidi" w:hAnsiTheme="majorBidi" w:cstheme="majorBidi"/>
        </w:rPr>
        <w:t>’s</w:t>
      </w:r>
      <w:r>
        <w:rPr>
          <w:rFonts w:asciiTheme="majorBidi" w:hAnsiTheme="majorBidi" w:cstheme="majorBidi"/>
        </w:rPr>
        <w:t xml:space="preserve"> hierarchical governance structures often involve altering administrative rank</w:t>
      </w:r>
      <w:r w:rsidR="00CC4F05">
        <w:rPr>
          <w:rFonts w:asciiTheme="majorBidi" w:hAnsiTheme="majorBidi" w:cstheme="majorBidi"/>
        </w:rPr>
        <w:t>s</w:t>
      </w:r>
      <w:r>
        <w:rPr>
          <w:rFonts w:asciiTheme="majorBidi" w:hAnsiTheme="majorBidi" w:cstheme="majorBidi"/>
        </w:rPr>
        <w:t xml:space="preserve">. While cities elsewhere may arise organically in a bottom-up way </w:t>
      </w:r>
      <w:r w:rsidR="001946A9">
        <w:rPr>
          <w:rFonts w:asciiTheme="majorBidi" w:hAnsiTheme="majorBidi" w:cstheme="majorBidi"/>
        </w:rPr>
        <w:t xml:space="preserve">from </w:t>
      </w:r>
      <w:r>
        <w:rPr>
          <w:rFonts w:asciiTheme="majorBidi" w:hAnsiTheme="majorBidi" w:cstheme="majorBidi"/>
        </w:rPr>
        <w:t xml:space="preserve">agglomeration forces, under China’s top-down approach only </w:t>
      </w:r>
      <w:r w:rsidR="001946A9">
        <w:rPr>
          <w:rFonts w:asciiTheme="majorBidi" w:hAnsiTheme="majorBidi" w:cstheme="majorBidi"/>
        </w:rPr>
        <w:t xml:space="preserve">the </w:t>
      </w:r>
      <w:r>
        <w:rPr>
          <w:rFonts w:asciiTheme="majorBidi" w:hAnsiTheme="majorBidi" w:cstheme="majorBidi"/>
        </w:rPr>
        <w:t xml:space="preserve">central government </w:t>
      </w:r>
      <w:r w:rsidR="00FE40E5">
        <w:rPr>
          <w:rFonts w:asciiTheme="majorBidi" w:hAnsiTheme="majorBidi" w:cstheme="majorBidi"/>
        </w:rPr>
        <w:t xml:space="preserve">may </w:t>
      </w:r>
      <w:r>
        <w:rPr>
          <w:rFonts w:asciiTheme="majorBidi" w:hAnsiTheme="majorBidi" w:cstheme="majorBidi"/>
        </w:rPr>
        <w:t xml:space="preserve">bestow </w:t>
      </w:r>
      <w:r w:rsidR="008A30E5">
        <w:rPr>
          <w:rFonts w:asciiTheme="majorBidi" w:hAnsiTheme="majorBidi" w:cstheme="majorBidi"/>
        </w:rPr>
        <w:t>city</w:t>
      </w:r>
      <w:r>
        <w:rPr>
          <w:rFonts w:asciiTheme="majorBidi" w:hAnsiTheme="majorBidi" w:cstheme="majorBidi"/>
        </w:rPr>
        <w:t xml:space="preserve"> s</w:t>
      </w:r>
      <w:r w:rsidR="001946A9">
        <w:rPr>
          <w:rFonts w:asciiTheme="majorBidi" w:hAnsiTheme="majorBidi" w:cstheme="majorBidi"/>
        </w:rPr>
        <w:t>tatus on a particular area. Therefore</w:t>
      </w:r>
      <w:r>
        <w:rPr>
          <w:rFonts w:asciiTheme="majorBidi" w:hAnsiTheme="majorBidi" w:cstheme="majorBidi"/>
        </w:rPr>
        <w:t xml:space="preserve">, an ongoing aspect of urbanization in China is administrative </w:t>
      </w:r>
      <w:r w:rsidR="00CC4F05">
        <w:rPr>
          <w:rFonts w:asciiTheme="majorBidi" w:hAnsiTheme="majorBidi" w:cstheme="majorBidi"/>
        </w:rPr>
        <w:t>conversions</w:t>
      </w:r>
      <w:r>
        <w:rPr>
          <w:rFonts w:asciiTheme="majorBidi" w:hAnsiTheme="majorBidi" w:cstheme="majorBidi"/>
        </w:rPr>
        <w:t xml:space="preserve">, with over 250 counties upgraded to city status (as either </w:t>
      </w:r>
      <w:r w:rsidR="00CC4F05">
        <w:rPr>
          <w:rFonts w:asciiTheme="majorBidi" w:hAnsiTheme="majorBidi" w:cstheme="majorBidi"/>
        </w:rPr>
        <w:t xml:space="preserve">districts or </w:t>
      </w:r>
      <w:r>
        <w:rPr>
          <w:rFonts w:asciiTheme="majorBidi" w:hAnsiTheme="majorBidi" w:cstheme="majorBidi"/>
        </w:rPr>
        <w:t>county-level cities) in the last two decades, which is more than ten percent of all counties (Figure 1).</w:t>
      </w:r>
      <w:r w:rsidR="00126726">
        <w:rPr>
          <w:rStyle w:val="FootnoteReference"/>
          <w:rFonts w:asciiTheme="majorBidi" w:hAnsiTheme="majorBidi" w:cstheme="majorBidi"/>
        </w:rPr>
        <w:footnoteReference w:id="1"/>
      </w:r>
      <w:r>
        <w:rPr>
          <w:rFonts w:asciiTheme="majorBidi" w:hAnsiTheme="majorBidi" w:cstheme="majorBidi"/>
        </w:rPr>
        <w:t xml:space="preserve"> Potentially important impacts </w:t>
      </w:r>
      <w:r w:rsidR="00977D66">
        <w:rPr>
          <w:rFonts w:asciiTheme="majorBidi" w:hAnsiTheme="majorBidi" w:cstheme="majorBidi"/>
        </w:rPr>
        <w:t xml:space="preserve">follow </w:t>
      </w:r>
      <w:r>
        <w:rPr>
          <w:rFonts w:asciiTheme="majorBidi" w:hAnsiTheme="majorBidi" w:cstheme="majorBidi"/>
        </w:rPr>
        <w:t xml:space="preserve">from this upgrading because </w:t>
      </w:r>
      <w:r w:rsidR="00170278">
        <w:rPr>
          <w:rFonts w:asciiTheme="majorBidi" w:hAnsiTheme="majorBidi" w:cstheme="majorBidi"/>
        </w:rPr>
        <w:t>cities have</w:t>
      </w:r>
      <w:r>
        <w:rPr>
          <w:rFonts w:asciiTheme="majorBidi" w:hAnsiTheme="majorBidi" w:cstheme="majorBidi"/>
        </w:rPr>
        <w:t xml:space="preserve"> larger quotas for </w:t>
      </w:r>
      <w:r w:rsidR="00170278">
        <w:rPr>
          <w:rFonts w:asciiTheme="majorBidi" w:hAnsiTheme="majorBidi" w:cstheme="majorBidi"/>
        </w:rPr>
        <w:t xml:space="preserve">converting land </w:t>
      </w:r>
      <w:r>
        <w:rPr>
          <w:rFonts w:asciiTheme="majorBidi" w:hAnsiTheme="majorBidi" w:cstheme="majorBidi"/>
        </w:rPr>
        <w:t>from agricultural use to urban use</w:t>
      </w:r>
      <w:r w:rsidR="00FE40E5">
        <w:rPr>
          <w:rFonts w:asciiTheme="majorBidi" w:hAnsiTheme="majorBidi" w:cstheme="majorBidi"/>
        </w:rPr>
        <w:t>,</w:t>
      </w:r>
      <w:r>
        <w:rPr>
          <w:rFonts w:asciiTheme="majorBidi" w:hAnsiTheme="majorBidi" w:cstheme="majorBidi"/>
        </w:rPr>
        <w:t xml:space="preserve"> </w:t>
      </w:r>
      <w:r w:rsidR="00170278">
        <w:rPr>
          <w:rFonts w:asciiTheme="majorBidi" w:hAnsiTheme="majorBidi" w:cstheme="majorBidi"/>
        </w:rPr>
        <w:t xml:space="preserve">can </w:t>
      </w:r>
      <w:r>
        <w:rPr>
          <w:rFonts w:asciiTheme="majorBidi" w:hAnsiTheme="majorBidi" w:cstheme="majorBidi"/>
        </w:rPr>
        <w:t xml:space="preserve">levy </w:t>
      </w:r>
      <w:r w:rsidR="00170278">
        <w:rPr>
          <w:rFonts w:asciiTheme="majorBidi" w:hAnsiTheme="majorBidi" w:cstheme="majorBidi"/>
        </w:rPr>
        <w:t xml:space="preserve">higher </w:t>
      </w:r>
      <w:r>
        <w:rPr>
          <w:rFonts w:asciiTheme="majorBidi" w:hAnsiTheme="majorBidi" w:cstheme="majorBidi"/>
        </w:rPr>
        <w:t>tax</w:t>
      </w:r>
      <w:r w:rsidR="00170278">
        <w:rPr>
          <w:rFonts w:asciiTheme="majorBidi" w:hAnsiTheme="majorBidi" w:cstheme="majorBidi"/>
        </w:rPr>
        <w:t>es</w:t>
      </w:r>
      <w:r>
        <w:rPr>
          <w:rFonts w:asciiTheme="majorBidi" w:hAnsiTheme="majorBidi" w:cstheme="majorBidi"/>
        </w:rPr>
        <w:t xml:space="preserve"> on urban construction and </w:t>
      </w:r>
      <w:r w:rsidR="00FE40E5">
        <w:rPr>
          <w:rFonts w:asciiTheme="majorBidi" w:hAnsiTheme="majorBidi" w:cstheme="majorBidi"/>
        </w:rPr>
        <w:t xml:space="preserve">keep </w:t>
      </w:r>
      <w:r>
        <w:rPr>
          <w:rFonts w:asciiTheme="majorBidi" w:hAnsiTheme="majorBidi" w:cstheme="majorBidi"/>
        </w:rPr>
        <w:t>a larger share of revenue from land sales</w:t>
      </w:r>
      <w:r w:rsidR="00170278">
        <w:rPr>
          <w:rFonts w:asciiTheme="majorBidi" w:hAnsiTheme="majorBidi" w:cstheme="majorBidi"/>
        </w:rPr>
        <w:t xml:space="preserve">, </w:t>
      </w:r>
      <w:r w:rsidR="001946A9">
        <w:rPr>
          <w:rFonts w:asciiTheme="majorBidi" w:hAnsiTheme="majorBidi" w:cstheme="majorBidi"/>
        </w:rPr>
        <w:t xml:space="preserve">have </w:t>
      </w:r>
      <w:r>
        <w:rPr>
          <w:rFonts w:asciiTheme="majorBidi" w:hAnsiTheme="majorBidi" w:cstheme="majorBidi"/>
        </w:rPr>
        <w:t>higher local public sector employment</w:t>
      </w:r>
      <w:r w:rsidR="00170278">
        <w:rPr>
          <w:rFonts w:asciiTheme="majorBidi" w:hAnsiTheme="majorBidi" w:cstheme="majorBidi"/>
        </w:rPr>
        <w:t xml:space="preserve"> and generally </w:t>
      </w:r>
      <w:r w:rsidR="00174420">
        <w:rPr>
          <w:rFonts w:asciiTheme="majorBidi" w:hAnsiTheme="majorBidi" w:cstheme="majorBidi"/>
        </w:rPr>
        <w:t>more prominence</w:t>
      </w:r>
      <w:r w:rsidR="00170278">
        <w:rPr>
          <w:rFonts w:asciiTheme="majorBidi" w:hAnsiTheme="majorBidi" w:cstheme="majorBidi"/>
        </w:rPr>
        <w:t xml:space="preserve"> for investment</w:t>
      </w:r>
      <w:r w:rsidR="00D3397E">
        <w:rPr>
          <w:rFonts w:asciiTheme="majorBidi" w:hAnsiTheme="majorBidi" w:cstheme="majorBidi"/>
        </w:rPr>
        <w:t>.</w:t>
      </w:r>
    </w:p>
    <w:p w14:paraId="79E3A27C" w14:textId="77777777" w:rsidR="002771B9" w:rsidRDefault="002771B9" w:rsidP="00BD2F5C">
      <w:pPr>
        <w:spacing w:before="120" w:after="120" w:line="360" w:lineRule="auto"/>
        <w:ind w:firstLine="720"/>
        <w:rPr>
          <w:rFonts w:asciiTheme="majorBidi" w:hAnsiTheme="majorBidi" w:cstheme="majorBidi"/>
        </w:rPr>
      </w:pPr>
    </w:p>
    <w:p w14:paraId="580BC298" w14:textId="77777777" w:rsidR="002771B9" w:rsidRPr="00CE497C" w:rsidRDefault="002771B9" w:rsidP="00BD2F5C">
      <w:pPr>
        <w:spacing w:before="120" w:after="120" w:line="240" w:lineRule="auto"/>
        <w:jc w:val="center"/>
        <w:rPr>
          <w:b/>
        </w:rPr>
      </w:pPr>
      <w:r w:rsidRPr="00CE497C">
        <w:rPr>
          <w:b/>
        </w:rPr>
        <w:t>Figure 1: Cumulative number of counties upgraded: 2001-2019</w:t>
      </w:r>
    </w:p>
    <w:p w14:paraId="563528FE" w14:textId="77777777" w:rsidR="002771B9" w:rsidRDefault="002771B9" w:rsidP="00BD2F5C">
      <w:pPr>
        <w:spacing w:before="120" w:after="120" w:line="240" w:lineRule="auto"/>
        <w:jc w:val="center"/>
        <w:rPr>
          <w:bCs/>
        </w:rPr>
      </w:pPr>
      <w:r w:rsidRPr="00B74BE6">
        <w:rPr>
          <w:bCs/>
          <w:noProof/>
          <w:lang w:eastAsia="zh-CN"/>
        </w:rPr>
        <w:drawing>
          <wp:inline distT="0" distB="0" distL="0" distR="0" wp14:anchorId="54DACE50" wp14:editId="6929C09B">
            <wp:extent cx="5731510" cy="3437890"/>
            <wp:effectExtent l="0" t="0" r="2540" b="0"/>
            <wp:docPr id="5" name="图片 4" descr="A line graph with numbers and a line&#10;&#10;Description automatically generated">
              <a:extLst xmlns:a="http://schemas.openxmlformats.org/drawingml/2006/main">
                <a:ext uri="{FF2B5EF4-FFF2-40B4-BE49-F238E27FC236}">
                  <a16:creationId xmlns:a16="http://schemas.microsoft.com/office/drawing/2014/main" id="{FE83D71F-9E7A-837F-D0C4-A95CA1C32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A line graph with numbers and a line&#10;&#10;Description automatically generated">
                      <a:extLst>
                        <a:ext uri="{FF2B5EF4-FFF2-40B4-BE49-F238E27FC236}">
                          <a16:creationId xmlns:a16="http://schemas.microsoft.com/office/drawing/2014/main" id="{FE83D71F-9E7A-837F-D0C4-A95CA1C32998}"/>
                        </a:ext>
                      </a:extLst>
                    </pic:cNvP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437890"/>
                    </a:xfrm>
                    <a:prstGeom prst="rect">
                      <a:avLst/>
                    </a:prstGeom>
                    <a:noFill/>
                  </pic:spPr>
                </pic:pic>
              </a:graphicData>
            </a:graphic>
          </wp:inline>
        </w:drawing>
      </w:r>
    </w:p>
    <w:p w14:paraId="50728811" w14:textId="272E53F9" w:rsidR="002771B9" w:rsidRDefault="002771B9" w:rsidP="00BD2F5C">
      <w:pPr>
        <w:spacing w:before="120" w:after="120"/>
        <w:jc w:val="both"/>
        <w:rPr>
          <w:bCs/>
        </w:rPr>
      </w:pPr>
    </w:p>
    <w:p w14:paraId="19E423C1" w14:textId="7078BE53" w:rsidR="0034041B" w:rsidRDefault="0034041B" w:rsidP="00BD2F5C">
      <w:pPr>
        <w:spacing w:before="120" w:after="120" w:line="360" w:lineRule="auto"/>
        <w:ind w:firstLine="720"/>
        <w:jc w:val="both"/>
      </w:pPr>
      <w:r w:rsidRPr="0034041B">
        <w:t>In light of the importance of this particular type of regional development intervention, a growing empirical literature uses econometric models to evaluate impacts of administrative</w:t>
      </w:r>
      <w:r>
        <w:t xml:space="preserve"> upgrading</w:t>
      </w:r>
      <w:r w:rsidRPr="0034041B">
        <w:t xml:space="preserve">. These studies use panel data to </w:t>
      </w:r>
      <w:r>
        <w:t xml:space="preserve">test if </w:t>
      </w:r>
      <w:r w:rsidR="00023F75">
        <w:t>various</w:t>
      </w:r>
      <w:r w:rsidR="00023F75" w:rsidRPr="0034041B">
        <w:t xml:space="preserve"> indicators of economic activity, such </w:t>
      </w:r>
      <w:r w:rsidR="00023F75" w:rsidRPr="0034041B">
        <w:lastRenderedPageBreak/>
        <w:t>as GDP or night-time lights</w:t>
      </w:r>
      <w:r w:rsidR="00023F75">
        <w:t>,</w:t>
      </w:r>
      <w:r w:rsidR="00023F75" w:rsidRPr="0034041B">
        <w:t xml:space="preserve"> </w:t>
      </w:r>
      <w:r w:rsidR="00023F75">
        <w:t xml:space="preserve">grow </w:t>
      </w:r>
      <w:r w:rsidRPr="0034041B">
        <w:t xml:space="preserve">faster </w:t>
      </w:r>
      <w:r w:rsidR="00023F75">
        <w:t>in the upgraded counties compared to their peers that were not upgraded</w:t>
      </w:r>
      <w:r w:rsidRPr="0034041B">
        <w:t>. This literature has yielded mixed findings; an early study found counties upgraded from 1994 to 1997 perform</w:t>
      </w:r>
      <w:r w:rsidR="00023F75">
        <w:t>ed no</w:t>
      </w:r>
      <w:r w:rsidRPr="0034041B">
        <w:t xml:space="preserve"> better than </w:t>
      </w:r>
      <w:r w:rsidR="008A30E5">
        <w:t>tho</w:t>
      </w:r>
      <w:r>
        <w:t>s</w:t>
      </w:r>
      <w:r w:rsidR="008A30E5">
        <w:t>e</w:t>
      </w:r>
      <w:r>
        <w:t xml:space="preserve"> that stayed as </w:t>
      </w:r>
      <w:r w:rsidRPr="0034041B">
        <w:t xml:space="preserve">counties, for an evaluation period ending in 2004 (Fan et al, 2012). </w:t>
      </w:r>
      <w:r>
        <w:t xml:space="preserve">A </w:t>
      </w:r>
      <w:r w:rsidRPr="0034041B">
        <w:t xml:space="preserve">more recent study of the same episode found positive impacts becoming apparent after 2004, especially in more densely </w:t>
      </w:r>
      <w:r>
        <w:t xml:space="preserve">populated </w:t>
      </w:r>
      <w:r w:rsidRPr="0034041B">
        <w:t xml:space="preserve">eastern parts of China where initial agglomeration forces </w:t>
      </w:r>
      <w:r>
        <w:t xml:space="preserve">were stronger </w:t>
      </w:r>
      <w:r w:rsidRPr="0034041B">
        <w:t>(Tang, 2021).</w:t>
      </w:r>
      <w:r w:rsidR="008A30E5">
        <w:rPr>
          <w:rStyle w:val="FootnoteReference"/>
        </w:rPr>
        <w:footnoteReference w:id="2"/>
      </w:r>
    </w:p>
    <w:p w14:paraId="5CEDE5EB" w14:textId="77777777" w:rsidR="00174420" w:rsidRDefault="00C93EAD" w:rsidP="00BD2F5C">
      <w:pPr>
        <w:spacing w:before="120" w:after="120" w:line="360" w:lineRule="auto"/>
        <w:ind w:firstLine="720"/>
        <w:jc w:val="both"/>
        <w:rPr>
          <w:rFonts w:asciiTheme="majorBidi" w:hAnsiTheme="majorBidi" w:cstheme="majorBidi"/>
        </w:rPr>
      </w:pPr>
      <w:r>
        <w:t>T</w:t>
      </w:r>
      <w:r w:rsidR="0094317E">
        <w:t>he</w:t>
      </w:r>
      <w:r w:rsidR="00DD14A4">
        <w:t xml:space="preserve">re </w:t>
      </w:r>
      <w:r w:rsidR="00D3397E">
        <w:t xml:space="preserve">are several empirical challenges confronting these studies and </w:t>
      </w:r>
      <w:r w:rsidR="006901B0">
        <w:t xml:space="preserve">the </w:t>
      </w:r>
      <w:r w:rsidR="00D3397E">
        <w:t xml:space="preserve">one that </w:t>
      </w:r>
      <w:r w:rsidR="003953AD">
        <w:t>we</w:t>
      </w:r>
      <w:r w:rsidR="006901B0">
        <w:t xml:space="preserve"> examine concerns </w:t>
      </w:r>
      <w:r w:rsidR="00D3397E">
        <w:t xml:space="preserve">potential spillovers. </w:t>
      </w:r>
      <w:r w:rsidR="006901B0">
        <w:t xml:space="preserve">These could occur if </w:t>
      </w:r>
      <w:r w:rsidR="00D3397E">
        <w:t>mobile resources</w:t>
      </w:r>
      <w:r w:rsidR="006901B0">
        <w:t>,</w:t>
      </w:r>
      <w:r w:rsidR="00D3397E">
        <w:t xml:space="preserve"> such as labour and capital</w:t>
      </w:r>
      <w:r w:rsidR="006901B0">
        <w:t>,</w:t>
      </w:r>
      <w:r w:rsidR="00D3397E">
        <w:t xml:space="preserve"> </w:t>
      </w:r>
      <w:r w:rsidR="006901B0">
        <w:t xml:space="preserve">move </w:t>
      </w:r>
      <w:r w:rsidR="003953AD">
        <w:t xml:space="preserve">from </w:t>
      </w:r>
      <w:r w:rsidR="00D3397E">
        <w:t xml:space="preserve">neighbouring counties into newly </w:t>
      </w:r>
      <w:r w:rsidR="006901B0">
        <w:t xml:space="preserve">upgraded </w:t>
      </w:r>
      <w:r w:rsidR="00D3397E">
        <w:t>cit</w:t>
      </w:r>
      <w:r w:rsidR="003953AD">
        <w:t>ies</w:t>
      </w:r>
      <w:r w:rsidR="006901B0">
        <w:t xml:space="preserve">, causing a negative effect </w:t>
      </w:r>
      <w:r w:rsidR="00D3397E">
        <w:t xml:space="preserve">(Chen and Partridge, 2013). This matters not </w:t>
      </w:r>
      <w:r w:rsidR="00170278">
        <w:t xml:space="preserve">just </w:t>
      </w:r>
      <w:r w:rsidR="00D3397E">
        <w:t>distributional</w:t>
      </w:r>
      <w:r w:rsidR="00170278">
        <w:t>ly</w:t>
      </w:r>
      <w:r w:rsidR="00D3397E">
        <w:t xml:space="preserve"> but </w:t>
      </w:r>
      <w:r w:rsidR="006901B0">
        <w:t xml:space="preserve">also </w:t>
      </w:r>
      <w:r w:rsidR="00174420">
        <w:t xml:space="preserve">empirically; if </w:t>
      </w:r>
      <w:r w:rsidR="006901B0">
        <w:t>comparison group</w:t>
      </w:r>
      <w:r w:rsidR="003953AD">
        <w:t>s</w:t>
      </w:r>
      <w:r w:rsidR="006901B0">
        <w:t xml:space="preserve"> </w:t>
      </w:r>
      <w:r w:rsidR="00174420">
        <w:t xml:space="preserve">are </w:t>
      </w:r>
      <w:r w:rsidR="006901B0">
        <w:t xml:space="preserve">subject to a negative spillover </w:t>
      </w:r>
      <w:r w:rsidR="00174420">
        <w:t xml:space="preserve">it can </w:t>
      </w:r>
      <w:r w:rsidR="006901B0">
        <w:t>exaggerate apparent treatment effect</w:t>
      </w:r>
      <w:r w:rsidR="00A40B19">
        <w:t>s</w:t>
      </w:r>
      <w:r w:rsidR="006901B0">
        <w:t xml:space="preserve"> if </w:t>
      </w:r>
      <w:r w:rsidR="00A40B19">
        <w:t xml:space="preserve">the spillover effect </w:t>
      </w:r>
      <w:r w:rsidR="00170278">
        <w:t xml:space="preserve">is ignored </w:t>
      </w:r>
      <w:r w:rsidR="006901B0">
        <w:t xml:space="preserve">(Tang, 2021). </w:t>
      </w:r>
      <w:r w:rsidR="00170278">
        <w:rPr>
          <w:rFonts w:asciiTheme="majorBidi" w:hAnsiTheme="majorBidi" w:cstheme="majorBidi"/>
        </w:rPr>
        <w:t>Typically,</w:t>
      </w:r>
      <w:r w:rsidR="00A40B19">
        <w:rPr>
          <w:rFonts w:asciiTheme="majorBidi" w:hAnsiTheme="majorBidi" w:cstheme="majorBidi"/>
        </w:rPr>
        <w:t xml:space="preserve"> </w:t>
      </w:r>
      <w:r w:rsidR="00174420">
        <w:rPr>
          <w:rFonts w:asciiTheme="majorBidi" w:hAnsiTheme="majorBidi" w:cstheme="majorBidi"/>
        </w:rPr>
        <w:t xml:space="preserve">the </w:t>
      </w:r>
      <w:r w:rsidR="00A40B19">
        <w:rPr>
          <w:rFonts w:asciiTheme="majorBidi" w:hAnsiTheme="majorBidi" w:cstheme="majorBidi"/>
        </w:rPr>
        <w:t>studies in this literature</w:t>
      </w:r>
      <w:r w:rsidR="003953AD">
        <w:rPr>
          <w:rFonts w:asciiTheme="majorBidi" w:hAnsiTheme="majorBidi" w:cstheme="majorBidi"/>
        </w:rPr>
        <w:t xml:space="preserve"> use</w:t>
      </w:r>
      <w:r w:rsidR="006901B0">
        <w:rPr>
          <w:rFonts w:asciiTheme="majorBidi" w:hAnsiTheme="majorBidi" w:cstheme="majorBidi"/>
        </w:rPr>
        <w:t xml:space="preserve"> difference-in-differences </w:t>
      </w:r>
      <w:r w:rsidR="00174420">
        <w:rPr>
          <w:rFonts w:asciiTheme="majorBidi" w:hAnsiTheme="majorBidi" w:cstheme="majorBidi"/>
        </w:rPr>
        <w:t>framework</w:t>
      </w:r>
      <w:r w:rsidR="003953AD">
        <w:rPr>
          <w:rFonts w:asciiTheme="majorBidi" w:hAnsiTheme="majorBidi" w:cstheme="majorBidi"/>
        </w:rPr>
        <w:t xml:space="preserve">s that </w:t>
      </w:r>
      <w:r w:rsidR="00170278">
        <w:rPr>
          <w:rFonts w:asciiTheme="majorBidi" w:hAnsiTheme="majorBidi" w:cstheme="majorBidi"/>
        </w:rPr>
        <w:t xml:space="preserve">generally </w:t>
      </w:r>
      <w:r w:rsidR="006901B0">
        <w:rPr>
          <w:rFonts w:asciiTheme="majorBidi" w:hAnsiTheme="majorBidi" w:cstheme="majorBidi"/>
        </w:rPr>
        <w:t>rel</w:t>
      </w:r>
      <w:r w:rsidR="003953AD">
        <w:rPr>
          <w:rFonts w:asciiTheme="majorBidi" w:hAnsiTheme="majorBidi" w:cstheme="majorBidi"/>
        </w:rPr>
        <w:t>y</w:t>
      </w:r>
      <w:r w:rsidR="006901B0">
        <w:rPr>
          <w:rFonts w:asciiTheme="majorBidi" w:hAnsiTheme="majorBidi" w:cstheme="majorBidi"/>
        </w:rPr>
        <w:t xml:space="preserve"> on </w:t>
      </w:r>
      <w:r w:rsidR="00170278">
        <w:rPr>
          <w:rFonts w:asciiTheme="majorBidi" w:hAnsiTheme="majorBidi" w:cstheme="majorBidi"/>
        </w:rPr>
        <w:t xml:space="preserve">a </w:t>
      </w:r>
      <w:r w:rsidR="006901B0">
        <w:rPr>
          <w:rFonts w:asciiTheme="majorBidi" w:hAnsiTheme="majorBidi" w:cstheme="majorBidi"/>
        </w:rPr>
        <w:t>stable unit treatment value assumption (SUTVA)</w:t>
      </w:r>
      <w:r w:rsidR="003953AD">
        <w:rPr>
          <w:rFonts w:asciiTheme="majorBidi" w:hAnsiTheme="majorBidi" w:cstheme="majorBidi"/>
        </w:rPr>
        <w:t xml:space="preserve"> </w:t>
      </w:r>
      <w:r w:rsidR="00FE40E5">
        <w:rPr>
          <w:rFonts w:asciiTheme="majorBidi" w:hAnsiTheme="majorBidi" w:cstheme="majorBidi"/>
        </w:rPr>
        <w:t xml:space="preserve">of </w:t>
      </w:r>
      <w:r w:rsidR="006901B0">
        <w:rPr>
          <w:rFonts w:asciiTheme="majorBidi" w:hAnsiTheme="majorBidi" w:cstheme="majorBidi"/>
        </w:rPr>
        <w:t>independence between the spatial units (Delgado and Florax, 2015).</w:t>
      </w:r>
    </w:p>
    <w:p w14:paraId="1670CC90" w14:textId="29E51EB6" w:rsidR="004E0F2A" w:rsidRDefault="006901B0" w:rsidP="00BD2F5C">
      <w:pPr>
        <w:spacing w:before="120" w:after="120" w:line="360" w:lineRule="auto"/>
        <w:ind w:firstLine="720"/>
        <w:jc w:val="both"/>
        <w:rPr>
          <w:rFonts w:eastAsia="Times New Roman"/>
          <w:bCs/>
          <w:iCs/>
          <w:kern w:val="36"/>
          <w:lang w:eastAsia="en-NZ" w:bidi="en-US"/>
        </w:rPr>
      </w:pPr>
      <w:r>
        <w:rPr>
          <w:rFonts w:asciiTheme="majorBidi" w:hAnsiTheme="majorBidi" w:cstheme="majorBidi"/>
        </w:rPr>
        <w:t>The spillover</w:t>
      </w:r>
      <w:r w:rsidR="003953AD">
        <w:rPr>
          <w:rFonts w:asciiTheme="majorBidi" w:hAnsiTheme="majorBidi" w:cstheme="majorBidi"/>
        </w:rPr>
        <w:t>s</w:t>
      </w:r>
      <w:r>
        <w:rPr>
          <w:rFonts w:asciiTheme="majorBidi" w:hAnsiTheme="majorBidi" w:cstheme="majorBidi"/>
        </w:rPr>
        <w:t xml:space="preserve"> could also </w:t>
      </w:r>
      <w:r w:rsidR="00E22A28">
        <w:rPr>
          <w:rFonts w:asciiTheme="majorBidi" w:hAnsiTheme="majorBidi" w:cstheme="majorBidi"/>
        </w:rPr>
        <w:t xml:space="preserve">be positive </w:t>
      </w:r>
      <w:r w:rsidR="003953AD">
        <w:rPr>
          <w:rFonts w:asciiTheme="majorBidi" w:hAnsiTheme="majorBidi" w:cstheme="majorBidi"/>
        </w:rPr>
        <w:t xml:space="preserve">if upgraded counties become growth poles </w:t>
      </w:r>
      <w:r w:rsidR="008A30E5">
        <w:rPr>
          <w:rFonts w:asciiTheme="majorBidi" w:hAnsiTheme="majorBidi" w:cstheme="majorBidi"/>
        </w:rPr>
        <w:t xml:space="preserve">after </w:t>
      </w:r>
      <w:r w:rsidR="00170278">
        <w:rPr>
          <w:rFonts w:asciiTheme="majorBidi" w:hAnsiTheme="majorBidi" w:cstheme="majorBidi"/>
        </w:rPr>
        <w:t>relaxation of the</w:t>
      </w:r>
      <w:r w:rsidR="00174420">
        <w:rPr>
          <w:rFonts w:asciiTheme="majorBidi" w:hAnsiTheme="majorBidi" w:cstheme="majorBidi"/>
        </w:rPr>
        <w:t>ir</w:t>
      </w:r>
      <w:r w:rsidR="00170278">
        <w:rPr>
          <w:rFonts w:asciiTheme="majorBidi" w:hAnsiTheme="majorBidi" w:cstheme="majorBidi"/>
        </w:rPr>
        <w:t xml:space="preserve"> </w:t>
      </w:r>
      <w:r w:rsidR="008A3995">
        <w:rPr>
          <w:rFonts w:asciiTheme="majorBidi" w:hAnsiTheme="majorBidi" w:cstheme="majorBidi"/>
        </w:rPr>
        <w:t xml:space="preserve">land-related constraints (Lichtenberg and Ding, 2009), </w:t>
      </w:r>
      <w:r w:rsidR="004C7ABE">
        <w:rPr>
          <w:rFonts w:asciiTheme="majorBidi" w:hAnsiTheme="majorBidi" w:cstheme="majorBidi"/>
        </w:rPr>
        <w:t xml:space="preserve">allowing </w:t>
      </w:r>
      <w:r w:rsidR="003953AD">
        <w:rPr>
          <w:rFonts w:asciiTheme="majorBidi" w:hAnsiTheme="majorBidi" w:cstheme="majorBidi"/>
        </w:rPr>
        <w:t>economic activity in hinterland</w:t>
      </w:r>
      <w:r w:rsidR="008A3995">
        <w:rPr>
          <w:rFonts w:asciiTheme="majorBidi" w:hAnsiTheme="majorBidi" w:cstheme="majorBidi"/>
        </w:rPr>
        <w:t>s</w:t>
      </w:r>
      <w:r w:rsidR="003953AD">
        <w:rPr>
          <w:rFonts w:asciiTheme="majorBidi" w:hAnsiTheme="majorBidi" w:cstheme="majorBidi"/>
        </w:rPr>
        <w:t xml:space="preserve"> to also flourish. </w:t>
      </w:r>
      <w:r w:rsidR="00FE40E5">
        <w:rPr>
          <w:rFonts w:asciiTheme="majorBidi" w:hAnsiTheme="majorBidi" w:cstheme="majorBidi"/>
        </w:rPr>
        <w:t>C</w:t>
      </w:r>
      <w:r w:rsidR="004C7ABE">
        <w:rPr>
          <w:rFonts w:asciiTheme="majorBidi" w:hAnsiTheme="majorBidi" w:cstheme="majorBidi"/>
        </w:rPr>
        <w:t>ounty-to-district upgrade</w:t>
      </w:r>
      <w:r w:rsidR="00FE40E5">
        <w:rPr>
          <w:rFonts w:asciiTheme="majorBidi" w:hAnsiTheme="majorBidi" w:cstheme="majorBidi"/>
        </w:rPr>
        <w:t>s</w:t>
      </w:r>
      <w:r w:rsidR="00E22A28">
        <w:rPr>
          <w:rFonts w:asciiTheme="majorBidi" w:hAnsiTheme="majorBidi" w:cstheme="majorBidi"/>
        </w:rPr>
        <w:t xml:space="preserve"> </w:t>
      </w:r>
      <w:r w:rsidR="00FE40E5">
        <w:rPr>
          <w:rFonts w:asciiTheme="majorBidi" w:hAnsiTheme="majorBidi" w:cstheme="majorBidi"/>
        </w:rPr>
        <w:t xml:space="preserve">often </w:t>
      </w:r>
      <w:r w:rsidR="00E22A28">
        <w:rPr>
          <w:rFonts w:asciiTheme="majorBidi" w:hAnsiTheme="majorBidi" w:cstheme="majorBidi"/>
        </w:rPr>
        <w:t xml:space="preserve">lower </w:t>
      </w:r>
      <w:r w:rsidR="004C7ABE">
        <w:rPr>
          <w:rFonts w:asciiTheme="majorBidi" w:hAnsiTheme="majorBidi" w:cstheme="majorBidi"/>
        </w:rPr>
        <w:t xml:space="preserve">transport costs </w:t>
      </w:r>
      <w:r w:rsidR="00CC4F05">
        <w:rPr>
          <w:rFonts w:asciiTheme="majorBidi" w:hAnsiTheme="majorBidi" w:cstheme="majorBidi"/>
        </w:rPr>
        <w:t xml:space="preserve">from </w:t>
      </w:r>
      <w:r w:rsidR="00170278">
        <w:rPr>
          <w:rFonts w:asciiTheme="majorBidi" w:hAnsiTheme="majorBidi" w:cstheme="majorBidi"/>
        </w:rPr>
        <w:t>new</w:t>
      </w:r>
      <w:r w:rsidR="00174420">
        <w:rPr>
          <w:rFonts w:asciiTheme="majorBidi" w:hAnsiTheme="majorBidi" w:cstheme="majorBidi"/>
        </w:rPr>
        <w:t>er, better,</w:t>
      </w:r>
      <w:r w:rsidR="00170278">
        <w:rPr>
          <w:rFonts w:asciiTheme="majorBidi" w:hAnsiTheme="majorBidi" w:cstheme="majorBidi"/>
        </w:rPr>
        <w:t xml:space="preserve"> </w:t>
      </w:r>
      <w:r w:rsidR="00E22A28">
        <w:rPr>
          <w:rFonts w:asciiTheme="majorBidi" w:hAnsiTheme="majorBidi" w:cstheme="majorBidi"/>
        </w:rPr>
        <w:t xml:space="preserve">infrastructure </w:t>
      </w:r>
      <w:r w:rsidR="00A409F2">
        <w:rPr>
          <w:rFonts w:asciiTheme="majorBidi" w:hAnsiTheme="majorBidi" w:cstheme="majorBidi"/>
        </w:rPr>
        <w:t xml:space="preserve">that has </w:t>
      </w:r>
      <w:r w:rsidR="004C7ABE">
        <w:rPr>
          <w:rFonts w:asciiTheme="majorBidi" w:hAnsiTheme="majorBidi" w:cstheme="majorBidi"/>
        </w:rPr>
        <w:t>network</w:t>
      </w:r>
      <w:r w:rsidR="00E22A28">
        <w:rPr>
          <w:rFonts w:asciiTheme="majorBidi" w:hAnsiTheme="majorBidi" w:cstheme="majorBidi"/>
        </w:rPr>
        <w:t xml:space="preserve"> efficiencies, </w:t>
      </w:r>
      <w:r w:rsidR="00FE40E5">
        <w:rPr>
          <w:rFonts w:asciiTheme="majorBidi" w:hAnsiTheme="majorBidi" w:cstheme="majorBidi"/>
        </w:rPr>
        <w:t>i</w:t>
      </w:r>
      <w:r w:rsidR="00170278">
        <w:rPr>
          <w:rFonts w:asciiTheme="majorBidi" w:hAnsiTheme="majorBidi" w:cstheme="majorBidi"/>
        </w:rPr>
        <w:t>mproving</w:t>
      </w:r>
      <w:r w:rsidR="00FE40E5">
        <w:rPr>
          <w:rFonts w:asciiTheme="majorBidi" w:hAnsiTheme="majorBidi" w:cstheme="majorBidi"/>
        </w:rPr>
        <w:t xml:space="preserve"> </w:t>
      </w:r>
      <w:r w:rsidR="00E22A28">
        <w:rPr>
          <w:rFonts w:asciiTheme="majorBidi" w:hAnsiTheme="majorBidi" w:cstheme="majorBidi"/>
        </w:rPr>
        <w:t>market access and firm productivity (Tang and Hewings, 2017).</w:t>
      </w:r>
      <w:r w:rsidR="004C7ABE">
        <w:rPr>
          <w:rFonts w:asciiTheme="majorBidi" w:hAnsiTheme="majorBidi" w:cstheme="majorBidi"/>
        </w:rPr>
        <w:t xml:space="preserve"> </w:t>
      </w:r>
      <w:r w:rsidR="003953AD">
        <w:rPr>
          <w:rFonts w:eastAsia="Times New Roman"/>
          <w:bCs/>
          <w:iCs/>
          <w:kern w:val="36"/>
          <w:lang w:eastAsia="en-NZ" w:bidi="en-US"/>
        </w:rPr>
        <w:t xml:space="preserve">Indeed, classic </w:t>
      </w:r>
      <w:r w:rsidR="00A40B19">
        <w:rPr>
          <w:rFonts w:eastAsia="Times New Roman"/>
          <w:bCs/>
          <w:iCs/>
          <w:kern w:val="36"/>
          <w:lang w:eastAsia="en-NZ" w:bidi="en-US"/>
        </w:rPr>
        <w:t>deve</w:t>
      </w:r>
      <w:r w:rsidR="003953AD" w:rsidRPr="00452798">
        <w:rPr>
          <w:rFonts w:eastAsia="Times New Roman"/>
          <w:bCs/>
          <w:iCs/>
          <w:kern w:val="36"/>
          <w:lang w:eastAsia="en-NZ" w:bidi="en-US"/>
        </w:rPr>
        <w:t xml:space="preserve">lopment </w:t>
      </w:r>
      <w:r w:rsidR="00FE40E5">
        <w:rPr>
          <w:rFonts w:eastAsia="Times New Roman"/>
          <w:bCs/>
          <w:iCs/>
          <w:kern w:val="36"/>
          <w:lang w:eastAsia="en-NZ" w:bidi="en-US"/>
        </w:rPr>
        <w:t xml:space="preserve">theories </w:t>
      </w:r>
      <w:r w:rsidR="003953AD" w:rsidRPr="00452798">
        <w:rPr>
          <w:rFonts w:eastAsia="Times New Roman"/>
          <w:bCs/>
          <w:iCs/>
          <w:kern w:val="36"/>
          <w:lang w:eastAsia="en-NZ" w:bidi="en-US"/>
        </w:rPr>
        <w:t xml:space="preserve">emphasize </w:t>
      </w:r>
      <w:r w:rsidR="00E22A28">
        <w:rPr>
          <w:rFonts w:eastAsia="Times New Roman"/>
          <w:bCs/>
          <w:iCs/>
          <w:kern w:val="36"/>
          <w:lang w:eastAsia="en-NZ" w:bidi="en-US"/>
        </w:rPr>
        <w:t>a</w:t>
      </w:r>
      <w:r w:rsidR="003953AD" w:rsidRPr="00452798">
        <w:rPr>
          <w:rFonts w:eastAsia="Times New Roman"/>
          <w:bCs/>
          <w:iCs/>
          <w:kern w:val="36"/>
          <w:lang w:eastAsia="en-NZ" w:bidi="en-US"/>
        </w:rPr>
        <w:t xml:space="preserve"> role f</w:t>
      </w:r>
      <w:r w:rsidR="00E22A28">
        <w:rPr>
          <w:rFonts w:eastAsia="Times New Roman"/>
          <w:bCs/>
          <w:iCs/>
          <w:kern w:val="36"/>
          <w:lang w:eastAsia="en-NZ" w:bidi="en-US"/>
        </w:rPr>
        <w:t>or</w:t>
      </w:r>
      <w:r w:rsidR="003953AD" w:rsidRPr="00452798">
        <w:rPr>
          <w:rFonts w:eastAsia="Times New Roman"/>
          <w:bCs/>
          <w:iCs/>
          <w:kern w:val="36"/>
          <w:lang w:eastAsia="en-NZ" w:bidi="en-US"/>
        </w:rPr>
        <w:t xml:space="preserve"> </w:t>
      </w:r>
      <w:r w:rsidR="00E22A28">
        <w:rPr>
          <w:rFonts w:eastAsia="Times New Roman"/>
          <w:bCs/>
          <w:iCs/>
          <w:kern w:val="36"/>
          <w:lang w:eastAsia="en-NZ" w:bidi="en-US"/>
        </w:rPr>
        <w:t xml:space="preserve">positive </w:t>
      </w:r>
      <w:r w:rsidR="003953AD" w:rsidRPr="00452798">
        <w:rPr>
          <w:rFonts w:eastAsia="Times New Roman"/>
          <w:bCs/>
          <w:iCs/>
          <w:kern w:val="36"/>
          <w:lang w:eastAsia="en-NZ" w:bidi="en-US"/>
        </w:rPr>
        <w:t xml:space="preserve">spillovers when explaining </w:t>
      </w:r>
      <w:r w:rsidR="00A40B19">
        <w:rPr>
          <w:rFonts w:eastAsia="Times New Roman"/>
          <w:bCs/>
          <w:iCs/>
          <w:kern w:val="36"/>
          <w:lang w:eastAsia="en-NZ" w:bidi="en-US"/>
        </w:rPr>
        <w:t xml:space="preserve">the </w:t>
      </w:r>
      <w:r w:rsidR="003953AD" w:rsidRPr="00452798">
        <w:rPr>
          <w:rFonts w:eastAsia="Times New Roman"/>
          <w:bCs/>
          <w:iCs/>
          <w:kern w:val="36"/>
          <w:lang w:eastAsia="en-NZ" w:bidi="en-US"/>
        </w:rPr>
        <w:t>variation in economic performance</w:t>
      </w:r>
      <w:r w:rsidR="003953AD">
        <w:rPr>
          <w:rFonts w:eastAsia="Times New Roman"/>
          <w:bCs/>
          <w:iCs/>
          <w:kern w:val="36"/>
          <w:lang w:eastAsia="en-NZ" w:bidi="en-US"/>
        </w:rPr>
        <w:t xml:space="preserve">; these may be between industrial sectors </w:t>
      </w:r>
      <w:r w:rsidR="003953AD" w:rsidRPr="00452798">
        <w:rPr>
          <w:rFonts w:eastAsia="Times New Roman"/>
          <w:bCs/>
          <w:iCs/>
          <w:kern w:val="36"/>
          <w:lang w:eastAsia="en-NZ" w:bidi="en-US"/>
        </w:rPr>
        <w:t>(Rosenstein-Rodan, 1943)</w:t>
      </w:r>
      <w:r w:rsidR="003953AD">
        <w:rPr>
          <w:rFonts w:eastAsia="Times New Roman"/>
          <w:bCs/>
          <w:iCs/>
          <w:kern w:val="36"/>
          <w:lang w:eastAsia="en-NZ" w:bidi="en-US"/>
        </w:rPr>
        <w:t>, through</w:t>
      </w:r>
      <w:r w:rsidR="003953AD" w:rsidRPr="00452798">
        <w:rPr>
          <w:rFonts w:eastAsia="Times New Roman"/>
          <w:bCs/>
          <w:iCs/>
          <w:kern w:val="36"/>
          <w:lang w:eastAsia="en-NZ" w:bidi="en-US"/>
        </w:rPr>
        <w:t xml:space="preserve"> demand-side linkages (Park and Johnston, 1995) </w:t>
      </w:r>
      <w:r w:rsidR="008A30E5">
        <w:rPr>
          <w:rFonts w:eastAsia="Times New Roman"/>
          <w:bCs/>
          <w:iCs/>
          <w:kern w:val="36"/>
          <w:lang w:eastAsia="en-NZ" w:bidi="en-US"/>
        </w:rPr>
        <w:t xml:space="preserve">but </w:t>
      </w:r>
      <w:r w:rsidR="00A40B19">
        <w:rPr>
          <w:rFonts w:eastAsia="Times New Roman"/>
          <w:bCs/>
          <w:iCs/>
          <w:kern w:val="36"/>
          <w:lang w:eastAsia="en-NZ" w:bidi="en-US"/>
        </w:rPr>
        <w:t xml:space="preserve">also </w:t>
      </w:r>
      <w:r w:rsidR="003953AD">
        <w:rPr>
          <w:rFonts w:eastAsia="Times New Roman"/>
          <w:bCs/>
          <w:iCs/>
          <w:kern w:val="36"/>
          <w:lang w:eastAsia="en-NZ" w:bidi="en-US"/>
        </w:rPr>
        <w:t>through</w:t>
      </w:r>
      <w:r w:rsidR="003953AD" w:rsidRPr="00452798">
        <w:rPr>
          <w:rFonts w:eastAsia="Times New Roman"/>
          <w:bCs/>
          <w:iCs/>
          <w:kern w:val="36"/>
          <w:lang w:eastAsia="en-NZ" w:bidi="en-US"/>
        </w:rPr>
        <w:t xml:space="preserve"> geographi</w:t>
      </w:r>
      <w:r w:rsidR="00E1348F">
        <w:rPr>
          <w:rFonts w:eastAsia="Times New Roman"/>
          <w:bCs/>
          <w:iCs/>
          <w:kern w:val="36"/>
          <w:lang w:eastAsia="en-NZ" w:bidi="en-US"/>
        </w:rPr>
        <w:t>c externalities (Ravallion, 2005</w:t>
      </w:r>
      <w:r w:rsidR="003953AD" w:rsidRPr="00452798">
        <w:rPr>
          <w:rFonts w:eastAsia="Times New Roman"/>
          <w:bCs/>
          <w:iCs/>
          <w:kern w:val="36"/>
          <w:lang w:eastAsia="en-NZ" w:bidi="en-US"/>
        </w:rPr>
        <w:t>).</w:t>
      </w:r>
    </w:p>
    <w:p w14:paraId="7C10CF89" w14:textId="0A1BAF11" w:rsidR="002110EE" w:rsidRDefault="00A40B19" w:rsidP="00BD2F5C">
      <w:pPr>
        <w:spacing w:before="120" w:after="120" w:line="360" w:lineRule="auto"/>
        <w:ind w:firstLine="720"/>
        <w:jc w:val="both"/>
        <w:rPr>
          <w:rFonts w:eastAsia="Times New Roman"/>
          <w:bCs/>
          <w:iCs/>
          <w:kern w:val="36"/>
          <w:lang w:eastAsia="en-NZ" w:bidi="en-US"/>
        </w:rPr>
      </w:pPr>
      <w:r>
        <w:rPr>
          <w:rFonts w:eastAsia="Times New Roman"/>
          <w:bCs/>
          <w:iCs/>
          <w:kern w:val="36"/>
          <w:lang w:eastAsia="en-NZ" w:bidi="en-US"/>
        </w:rPr>
        <w:t xml:space="preserve">Despite the potential importance of spillovers for understanding effects of the county upgrading process in China the literature to date has mainly </w:t>
      </w:r>
      <w:r w:rsidR="00F04FCA">
        <w:rPr>
          <w:rFonts w:eastAsia="Times New Roman"/>
          <w:bCs/>
          <w:iCs/>
          <w:kern w:val="36"/>
          <w:lang w:eastAsia="en-NZ" w:bidi="en-US"/>
        </w:rPr>
        <w:t xml:space="preserve">ignored </w:t>
      </w:r>
      <w:r w:rsidR="00170278">
        <w:rPr>
          <w:rFonts w:eastAsia="Times New Roman"/>
          <w:bCs/>
          <w:iCs/>
          <w:kern w:val="36"/>
          <w:lang w:eastAsia="en-NZ" w:bidi="en-US"/>
        </w:rPr>
        <w:t xml:space="preserve">them </w:t>
      </w:r>
      <w:r w:rsidR="00F04FCA">
        <w:rPr>
          <w:rFonts w:eastAsia="Times New Roman"/>
          <w:bCs/>
          <w:iCs/>
          <w:kern w:val="36"/>
          <w:lang w:eastAsia="en-NZ" w:bidi="en-US"/>
        </w:rPr>
        <w:t xml:space="preserve">or </w:t>
      </w:r>
      <w:r w:rsidR="00170278">
        <w:rPr>
          <w:rFonts w:eastAsia="Times New Roman"/>
          <w:bCs/>
          <w:iCs/>
          <w:kern w:val="36"/>
          <w:lang w:eastAsia="en-NZ" w:bidi="en-US"/>
        </w:rPr>
        <w:t xml:space="preserve">else </w:t>
      </w:r>
      <w:r w:rsidR="00F04FCA">
        <w:rPr>
          <w:rFonts w:eastAsia="Times New Roman"/>
          <w:bCs/>
          <w:iCs/>
          <w:kern w:val="36"/>
          <w:lang w:eastAsia="en-NZ" w:bidi="en-US"/>
        </w:rPr>
        <w:t>u</w:t>
      </w:r>
      <w:r w:rsidR="00170278">
        <w:rPr>
          <w:rFonts w:eastAsia="Times New Roman"/>
          <w:bCs/>
          <w:iCs/>
          <w:kern w:val="36"/>
          <w:lang w:eastAsia="en-NZ" w:bidi="en-US"/>
        </w:rPr>
        <w:t>sed</w:t>
      </w:r>
      <w:r w:rsidR="00F04FCA">
        <w:rPr>
          <w:rFonts w:eastAsia="Times New Roman"/>
          <w:bCs/>
          <w:iCs/>
          <w:kern w:val="36"/>
          <w:lang w:eastAsia="en-NZ" w:bidi="en-US"/>
        </w:rPr>
        <w:t xml:space="preserve"> only partial </w:t>
      </w:r>
      <w:r w:rsidR="00170278">
        <w:rPr>
          <w:rFonts w:eastAsia="Times New Roman"/>
          <w:bCs/>
          <w:iCs/>
          <w:kern w:val="36"/>
          <w:lang w:eastAsia="en-NZ" w:bidi="en-US"/>
        </w:rPr>
        <w:t xml:space="preserve">or </w:t>
      </w:r>
      <w:r w:rsidR="00F04FCA">
        <w:rPr>
          <w:rFonts w:eastAsia="Times New Roman"/>
          <w:bCs/>
          <w:iCs/>
          <w:kern w:val="36"/>
          <w:lang w:eastAsia="en-NZ" w:bidi="en-US"/>
        </w:rPr>
        <w:t>informal approaches</w:t>
      </w:r>
      <w:r>
        <w:rPr>
          <w:rFonts w:eastAsia="Times New Roman"/>
          <w:bCs/>
          <w:iCs/>
          <w:kern w:val="36"/>
          <w:lang w:eastAsia="en-NZ" w:bidi="en-US"/>
        </w:rPr>
        <w:t xml:space="preserve">. For example, </w:t>
      </w:r>
      <w:r w:rsidR="00845FE9">
        <w:rPr>
          <w:rFonts w:eastAsia="Times New Roman"/>
          <w:bCs/>
          <w:iCs/>
          <w:kern w:val="36"/>
          <w:lang w:eastAsia="en-NZ" w:bidi="en-US"/>
        </w:rPr>
        <w:t xml:space="preserve">Tang </w:t>
      </w:r>
      <w:r w:rsidR="00FE40E5">
        <w:rPr>
          <w:rFonts w:eastAsia="Times New Roman"/>
          <w:bCs/>
          <w:iCs/>
          <w:kern w:val="36"/>
          <w:lang w:eastAsia="en-NZ" w:bidi="en-US"/>
        </w:rPr>
        <w:t xml:space="preserve">(2021) </w:t>
      </w:r>
      <w:r w:rsidR="00845FE9">
        <w:rPr>
          <w:rFonts w:eastAsia="Times New Roman"/>
          <w:bCs/>
          <w:iCs/>
          <w:kern w:val="36"/>
          <w:lang w:eastAsia="en-NZ" w:bidi="en-US"/>
        </w:rPr>
        <w:t xml:space="preserve">drops </w:t>
      </w:r>
      <w:r w:rsidR="00FE40E5">
        <w:rPr>
          <w:rFonts w:eastAsia="Times New Roman"/>
          <w:bCs/>
          <w:iCs/>
          <w:kern w:val="36"/>
          <w:lang w:eastAsia="en-NZ" w:bidi="en-US"/>
        </w:rPr>
        <w:t xml:space="preserve">counties </w:t>
      </w:r>
      <w:r w:rsidR="00170278">
        <w:rPr>
          <w:rFonts w:eastAsia="Times New Roman"/>
          <w:bCs/>
          <w:iCs/>
          <w:kern w:val="36"/>
          <w:lang w:eastAsia="en-NZ" w:bidi="en-US"/>
        </w:rPr>
        <w:t xml:space="preserve">that are closer than </w:t>
      </w:r>
      <w:r w:rsidR="00FE40E5">
        <w:rPr>
          <w:rFonts w:eastAsia="Times New Roman"/>
          <w:bCs/>
          <w:iCs/>
          <w:kern w:val="36"/>
          <w:lang w:eastAsia="en-NZ" w:bidi="en-US"/>
        </w:rPr>
        <w:t xml:space="preserve">50 kilometres </w:t>
      </w:r>
      <w:r w:rsidR="00170278">
        <w:rPr>
          <w:rFonts w:eastAsia="Times New Roman"/>
          <w:bCs/>
          <w:iCs/>
          <w:kern w:val="36"/>
          <w:lang w:eastAsia="en-NZ" w:bidi="en-US"/>
        </w:rPr>
        <w:t>to</w:t>
      </w:r>
      <w:r w:rsidR="00FE40E5">
        <w:rPr>
          <w:rFonts w:eastAsia="Times New Roman"/>
          <w:bCs/>
          <w:iCs/>
          <w:kern w:val="36"/>
          <w:lang w:eastAsia="en-NZ" w:bidi="en-US"/>
        </w:rPr>
        <w:t xml:space="preserve"> upgraded counties</w:t>
      </w:r>
      <w:r w:rsidR="002110EE">
        <w:rPr>
          <w:rFonts w:eastAsia="Times New Roman"/>
          <w:bCs/>
          <w:iCs/>
          <w:kern w:val="36"/>
          <w:lang w:eastAsia="en-NZ" w:bidi="en-US"/>
        </w:rPr>
        <w:t xml:space="preserve"> (amounting to 16% of county-year observations)</w:t>
      </w:r>
      <w:r w:rsidR="00FE40E5">
        <w:rPr>
          <w:rFonts w:eastAsia="Times New Roman"/>
          <w:bCs/>
          <w:iCs/>
          <w:kern w:val="36"/>
          <w:lang w:eastAsia="en-NZ" w:bidi="en-US"/>
        </w:rPr>
        <w:t xml:space="preserve">, in case </w:t>
      </w:r>
      <w:r w:rsidR="00170278">
        <w:rPr>
          <w:rFonts w:eastAsia="Times New Roman"/>
          <w:bCs/>
          <w:iCs/>
          <w:kern w:val="36"/>
          <w:lang w:eastAsia="en-NZ" w:bidi="en-US"/>
        </w:rPr>
        <w:t xml:space="preserve">the </w:t>
      </w:r>
      <w:r w:rsidR="00FE40E5">
        <w:rPr>
          <w:rFonts w:eastAsia="Times New Roman"/>
          <w:bCs/>
          <w:iCs/>
          <w:kern w:val="36"/>
          <w:lang w:eastAsia="en-NZ" w:bidi="en-US"/>
        </w:rPr>
        <w:t>nearby counties had been subject to some spillover from the treated units</w:t>
      </w:r>
      <w:r w:rsidR="00F81336">
        <w:rPr>
          <w:rFonts w:eastAsia="Times New Roman"/>
          <w:bCs/>
          <w:iCs/>
          <w:kern w:val="36"/>
          <w:lang w:eastAsia="en-NZ" w:bidi="en-US"/>
        </w:rPr>
        <w:t xml:space="preserve"> but </w:t>
      </w:r>
      <w:r w:rsidR="002110EE">
        <w:rPr>
          <w:rFonts w:eastAsia="Times New Roman"/>
          <w:bCs/>
          <w:iCs/>
          <w:kern w:val="36"/>
          <w:lang w:eastAsia="en-NZ" w:bidi="en-US"/>
        </w:rPr>
        <w:t xml:space="preserve">he </w:t>
      </w:r>
      <w:r w:rsidR="00F81336">
        <w:rPr>
          <w:rFonts w:eastAsia="Times New Roman"/>
          <w:bCs/>
          <w:iCs/>
          <w:kern w:val="36"/>
          <w:lang w:eastAsia="en-NZ" w:bidi="en-US"/>
        </w:rPr>
        <w:t xml:space="preserve">otherwise </w:t>
      </w:r>
      <w:r w:rsidR="00795B09">
        <w:rPr>
          <w:rFonts w:eastAsia="Times New Roman"/>
          <w:bCs/>
          <w:iCs/>
          <w:kern w:val="36"/>
          <w:lang w:eastAsia="en-NZ" w:bidi="en-US"/>
        </w:rPr>
        <w:t xml:space="preserve">uses an econometric framework that assumes </w:t>
      </w:r>
      <w:r w:rsidR="00F81336">
        <w:rPr>
          <w:rFonts w:eastAsia="Times New Roman"/>
          <w:bCs/>
          <w:iCs/>
          <w:kern w:val="36"/>
          <w:lang w:eastAsia="en-NZ" w:bidi="en-US"/>
        </w:rPr>
        <w:t>that spatial units are independent</w:t>
      </w:r>
      <w:r w:rsidR="00FE40E5">
        <w:rPr>
          <w:rFonts w:eastAsia="Times New Roman"/>
          <w:bCs/>
          <w:iCs/>
          <w:kern w:val="36"/>
          <w:lang w:eastAsia="en-NZ" w:bidi="en-US"/>
        </w:rPr>
        <w:t xml:space="preserve">. </w:t>
      </w:r>
      <w:r w:rsidR="00CA6866">
        <w:rPr>
          <w:rFonts w:eastAsia="Times New Roman"/>
          <w:bCs/>
          <w:iCs/>
          <w:kern w:val="36"/>
          <w:lang w:eastAsia="en-NZ" w:bidi="en-US"/>
        </w:rPr>
        <w:t>Along the same lines</w:t>
      </w:r>
      <w:r w:rsidR="0034762A">
        <w:rPr>
          <w:rFonts w:eastAsia="Times New Roman"/>
          <w:bCs/>
          <w:iCs/>
          <w:kern w:val="36"/>
          <w:lang w:eastAsia="en-NZ" w:bidi="en-US"/>
        </w:rPr>
        <w:t>, Zeng</w:t>
      </w:r>
      <w:r w:rsidR="002110EE">
        <w:rPr>
          <w:rFonts w:eastAsia="Times New Roman"/>
          <w:bCs/>
          <w:iCs/>
          <w:kern w:val="36"/>
          <w:lang w:eastAsia="en-NZ" w:bidi="en-US"/>
        </w:rPr>
        <w:t xml:space="preserve"> and You (2022) drop 46%, 57% and 66% of their county-year observations </w:t>
      </w:r>
      <w:r w:rsidR="00CA6866">
        <w:rPr>
          <w:rFonts w:eastAsia="Times New Roman"/>
          <w:bCs/>
          <w:iCs/>
          <w:kern w:val="36"/>
          <w:lang w:eastAsia="en-NZ" w:bidi="en-US"/>
        </w:rPr>
        <w:t xml:space="preserve">based on removing those within bands of 50 km, 60 km, and 70 km </w:t>
      </w:r>
      <w:r w:rsidR="00170278">
        <w:rPr>
          <w:rFonts w:eastAsia="Times New Roman"/>
          <w:bCs/>
          <w:iCs/>
          <w:kern w:val="36"/>
          <w:lang w:eastAsia="en-NZ" w:bidi="en-US"/>
        </w:rPr>
        <w:t xml:space="preserve">from upgraded counties </w:t>
      </w:r>
      <w:r w:rsidR="00CA6866">
        <w:rPr>
          <w:rFonts w:eastAsia="Times New Roman"/>
          <w:bCs/>
          <w:iCs/>
          <w:kern w:val="36"/>
          <w:lang w:eastAsia="en-NZ" w:bidi="en-US"/>
        </w:rPr>
        <w:t xml:space="preserve">in case of spatial spillovers in their outcome measure. </w:t>
      </w:r>
      <w:r w:rsidR="00F04FCA">
        <w:rPr>
          <w:rFonts w:eastAsia="Times New Roman"/>
          <w:bCs/>
          <w:iCs/>
          <w:kern w:val="36"/>
          <w:lang w:eastAsia="en-NZ" w:bidi="en-US"/>
        </w:rPr>
        <w:t>The</w:t>
      </w:r>
      <w:r w:rsidR="007D12B0">
        <w:rPr>
          <w:rFonts w:eastAsia="Times New Roman"/>
          <w:bCs/>
          <w:iCs/>
          <w:kern w:val="36"/>
          <w:lang w:eastAsia="en-NZ" w:bidi="en-US"/>
        </w:rPr>
        <w:t xml:space="preserve"> particular</w:t>
      </w:r>
      <w:r w:rsidR="00F04FCA">
        <w:rPr>
          <w:rFonts w:eastAsia="Times New Roman"/>
          <w:bCs/>
          <w:iCs/>
          <w:kern w:val="36"/>
          <w:lang w:eastAsia="en-NZ" w:bidi="en-US"/>
        </w:rPr>
        <w:t xml:space="preserve"> distance thresholds </w:t>
      </w:r>
      <w:r w:rsidR="007D12B0">
        <w:rPr>
          <w:rFonts w:eastAsia="Times New Roman"/>
          <w:bCs/>
          <w:iCs/>
          <w:kern w:val="36"/>
          <w:lang w:eastAsia="en-NZ" w:bidi="en-US"/>
        </w:rPr>
        <w:t>do</w:t>
      </w:r>
      <w:r w:rsidR="00F04FCA">
        <w:rPr>
          <w:rFonts w:eastAsia="Times New Roman"/>
          <w:bCs/>
          <w:iCs/>
          <w:kern w:val="36"/>
          <w:lang w:eastAsia="en-NZ" w:bidi="en-US"/>
        </w:rPr>
        <w:t xml:space="preserve"> not </w:t>
      </w:r>
      <w:r w:rsidR="007D12B0">
        <w:rPr>
          <w:rFonts w:eastAsia="Times New Roman"/>
          <w:bCs/>
          <w:iCs/>
          <w:kern w:val="36"/>
          <w:lang w:eastAsia="en-NZ" w:bidi="en-US"/>
        </w:rPr>
        <w:t xml:space="preserve">have </w:t>
      </w:r>
      <w:r w:rsidR="007D12B0">
        <w:rPr>
          <w:rFonts w:eastAsia="Times New Roman"/>
          <w:bCs/>
          <w:iCs/>
          <w:kern w:val="36"/>
          <w:lang w:eastAsia="en-NZ" w:bidi="en-US"/>
        </w:rPr>
        <w:lastRenderedPageBreak/>
        <w:t xml:space="preserve">an underlying theoretical basis, such as a </w:t>
      </w:r>
      <w:r w:rsidR="00F04FCA">
        <w:rPr>
          <w:rFonts w:eastAsia="Times New Roman"/>
          <w:bCs/>
          <w:iCs/>
          <w:kern w:val="36"/>
          <w:lang w:eastAsia="en-NZ" w:bidi="en-US"/>
        </w:rPr>
        <w:t xml:space="preserve">spatial econometric model </w:t>
      </w:r>
      <w:r w:rsidR="007D12B0">
        <w:rPr>
          <w:rFonts w:eastAsia="Times New Roman"/>
          <w:bCs/>
          <w:iCs/>
          <w:kern w:val="36"/>
          <w:lang w:eastAsia="en-NZ" w:bidi="en-US"/>
        </w:rPr>
        <w:t xml:space="preserve">that could allow for both local and global spillovers. Relatedly, </w:t>
      </w:r>
      <w:r w:rsidR="00CA6866">
        <w:rPr>
          <w:rFonts w:eastAsia="Times New Roman"/>
          <w:bCs/>
          <w:iCs/>
          <w:kern w:val="36"/>
          <w:lang w:eastAsia="en-NZ" w:bidi="en-US"/>
        </w:rPr>
        <w:t>Bo (2020) includ</w:t>
      </w:r>
      <w:r w:rsidR="00915F01">
        <w:rPr>
          <w:rFonts w:eastAsia="Times New Roman"/>
          <w:bCs/>
          <w:iCs/>
          <w:kern w:val="36"/>
          <w:lang w:eastAsia="en-NZ" w:bidi="en-US"/>
        </w:rPr>
        <w:t>es</w:t>
      </w:r>
      <w:r w:rsidR="00CA6866">
        <w:rPr>
          <w:rFonts w:eastAsia="Times New Roman"/>
          <w:bCs/>
          <w:iCs/>
          <w:kern w:val="36"/>
          <w:lang w:eastAsia="en-NZ" w:bidi="en-US"/>
        </w:rPr>
        <w:t xml:space="preserve"> the treatment status of contiguous neighbours in his prefectural-level study, and </w:t>
      </w:r>
      <w:r w:rsidR="00170278">
        <w:rPr>
          <w:rFonts w:eastAsia="Times New Roman"/>
          <w:bCs/>
          <w:iCs/>
          <w:kern w:val="36"/>
          <w:lang w:eastAsia="en-NZ" w:bidi="en-US"/>
        </w:rPr>
        <w:t xml:space="preserve">also includes the </w:t>
      </w:r>
      <w:r w:rsidR="00CA6866">
        <w:rPr>
          <w:rFonts w:eastAsia="Times New Roman"/>
          <w:bCs/>
          <w:iCs/>
          <w:kern w:val="36"/>
          <w:lang w:eastAsia="en-NZ" w:bidi="en-US"/>
        </w:rPr>
        <w:t>treatment status of same-province prefectures</w:t>
      </w:r>
      <w:r w:rsidR="00170278">
        <w:rPr>
          <w:rFonts w:eastAsia="Times New Roman"/>
          <w:bCs/>
          <w:iCs/>
          <w:kern w:val="36"/>
          <w:lang w:eastAsia="en-NZ" w:bidi="en-US"/>
        </w:rPr>
        <w:t xml:space="preserve"> as a covariate</w:t>
      </w:r>
      <w:r w:rsidR="00915F01">
        <w:rPr>
          <w:rFonts w:eastAsia="Times New Roman"/>
          <w:bCs/>
          <w:iCs/>
          <w:kern w:val="36"/>
          <w:lang w:eastAsia="en-NZ" w:bidi="en-US"/>
        </w:rPr>
        <w:t>. However, as discussed below, only local spillovers will have their effects observed with this specification</w:t>
      </w:r>
      <w:r w:rsidR="007D12B0">
        <w:rPr>
          <w:rFonts w:eastAsia="Times New Roman"/>
          <w:bCs/>
          <w:iCs/>
          <w:kern w:val="36"/>
          <w:lang w:eastAsia="en-NZ" w:bidi="en-US"/>
        </w:rPr>
        <w:t xml:space="preserve">, which is </w:t>
      </w:r>
      <w:r w:rsidR="00170278">
        <w:rPr>
          <w:rFonts w:eastAsia="Times New Roman"/>
          <w:bCs/>
          <w:iCs/>
          <w:kern w:val="36"/>
          <w:lang w:eastAsia="en-NZ" w:bidi="en-US"/>
        </w:rPr>
        <w:t xml:space="preserve">effectively a spatial lag of the covariate; </w:t>
      </w:r>
      <w:r w:rsidR="007D12B0">
        <w:rPr>
          <w:rFonts w:eastAsia="Times New Roman"/>
          <w:bCs/>
          <w:iCs/>
          <w:kern w:val="36"/>
          <w:lang w:eastAsia="en-NZ" w:bidi="en-US"/>
        </w:rPr>
        <w:t xml:space="preserve">if </w:t>
      </w:r>
      <w:r w:rsidR="00170278">
        <w:rPr>
          <w:rFonts w:eastAsia="Times New Roman"/>
          <w:bCs/>
          <w:iCs/>
          <w:kern w:val="36"/>
          <w:lang w:eastAsia="en-NZ" w:bidi="en-US"/>
        </w:rPr>
        <w:t xml:space="preserve">there also are </w:t>
      </w:r>
      <w:r w:rsidR="007D12B0">
        <w:rPr>
          <w:rFonts w:eastAsia="Times New Roman"/>
          <w:bCs/>
          <w:iCs/>
          <w:kern w:val="36"/>
          <w:lang w:eastAsia="en-NZ" w:bidi="en-US"/>
        </w:rPr>
        <w:t xml:space="preserve">global </w:t>
      </w:r>
      <w:r w:rsidR="00915F01">
        <w:rPr>
          <w:rFonts w:eastAsia="Times New Roman"/>
          <w:bCs/>
          <w:iCs/>
          <w:kern w:val="36"/>
          <w:lang w:eastAsia="en-NZ" w:bidi="en-US"/>
        </w:rPr>
        <w:t xml:space="preserve">spillovers </w:t>
      </w:r>
      <w:r w:rsidR="00170278">
        <w:rPr>
          <w:rFonts w:eastAsia="Times New Roman"/>
          <w:bCs/>
          <w:iCs/>
          <w:kern w:val="36"/>
          <w:lang w:eastAsia="en-NZ" w:bidi="en-US"/>
        </w:rPr>
        <w:t xml:space="preserve">these will </w:t>
      </w:r>
      <w:r w:rsidR="00915F01">
        <w:rPr>
          <w:rFonts w:eastAsia="Times New Roman"/>
          <w:bCs/>
          <w:iCs/>
          <w:kern w:val="36"/>
          <w:lang w:eastAsia="en-NZ" w:bidi="en-US"/>
        </w:rPr>
        <w:t>operate through the spatial lag of the outcome variable</w:t>
      </w:r>
      <w:r w:rsidR="007D12B0">
        <w:rPr>
          <w:rFonts w:eastAsia="Times New Roman"/>
          <w:bCs/>
          <w:iCs/>
          <w:kern w:val="36"/>
          <w:lang w:eastAsia="en-NZ" w:bidi="en-US"/>
        </w:rPr>
        <w:t xml:space="preserve">, </w:t>
      </w:r>
      <w:r w:rsidR="00170278">
        <w:rPr>
          <w:rFonts w:eastAsia="Times New Roman"/>
          <w:bCs/>
          <w:iCs/>
          <w:kern w:val="36"/>
          <w:lang w:eastAsia="en-NZ" w:bidi="en-US"/>
        </w:rPr>
        <w:t xml:space="preserve">and so these will be </w:t>
      </w:r>
      <w:r w:rsidR="00915F01">
        <w:rPr>
          <w:rFonts w:eastAsia="Times New Roman"/>
          <w:bCs/>
          <w:iCs/>
          <w:kern w:val="36"/>
          <w:lang w:eastAsia="en-NZ" w:bidi="en-US"/>
        </w:rPr>
        <w:t>missed</w:t>
      </w:r>
      <w:r w:rsidR="00170278">
        <w:rPr>
          <w:rFonts w:eastAsia="Times New Roman"/>
          <w:bCs/>
          <w:iCs/>
          <w:kern w:val="36"/>
          <w:lang w:eastAsia="en-NZ" w:bidi="en-US"/>
        </w:rPr>
        <w:t xml:space="preserve"> with this </w:t>
      </w:r>
      <w:r w:rsidR="00B924EE">
        <w:rPr>
          <w:rFonts w:eastAsia="Times New Roman"/>
          <w:bCs/>
          <w:iCs/>
          <w:kern w:val="36"/>
          <w:lang w:eastAsia="en-NZ" w:bidi="en-US"/>
        </w:rPr>
        <w:t xml:space="preserve">more restricted </w:t>
      </w:r>
      <w:r w:rsidR="00170278">
        <w:rPr>
          <w:rFonts w:eastAsia="Times New Roman"/>
          <w:bCs/>
          <w:iCs/>
          <w:kern w:val="36"/>
          <w:lang w:eastAsia="en-NZ" w:bidi="en-US"/>
        </w:rPr>
        <w:t>framework</w:t>
      </w:r>
      <w:r w:rsidR="00915F01">
        <w:rPr>
          <w:rFonts w:eastAsia="Times New Roman"/>
          <w:bCs/>
          <w:iCs/>
          <w:kern w:val="36"/>
          <w:lang w:eastAsia="en-NZ" w:bidi="en-US"/>
        </w:rPr>
        <w:t>.</w:t>
      </w:r>
    </w:p>
    <w:p w14:paraId="07CF5F97" w14:textId="1007208E" w:rsidR="00F81336" w:rsidRDefault="001F0499" w:rsidP="00BD2F5C">
      <w:pPr>
        <w:spacing w:before="120" w:after="120" w:line="360" w:lineRule="auto"/>
        <w:ind w:firstLine="720"/>
        <w:jc w:val="both"/>
        <w:rPr>
          <w:bCs/>
          <w:lang w:val="en-US"/>
        </w:rPr>
      </w:pPr>
      <w:r w:rsidRPr="001F0499">
        <w:rPr>
          <w:bCs/>
          <w:lang w:val="en-US"/>
        </w:rPr>
        <w:t xml:space="preserve">Given this </w:t>
      </w:r>
      <w:r w:rsidR="00915F01">
        <w:rPr>
          <w:bCs/>
          <w:lang w:val="en-US"/>
        </w:rPr>
        <w:t xml:space="preserve">limited and only partial </w:t>
      </w:r>
      <w:r w:rsidRPr="001F0499">
        <w:rPr>
          <w:bCs/>
          <w:lang w:val="en-US"/>
        </w:rPr>
        <w:t>evidence on the role of spillovers</w:t>
      </w:r>
      <w:r w:rsidR="00915F01">
        <w:rPr>
          <w:bCs/>
          <w:lang w:val="en-US"/>
        </w:rPr>
        <w:t>,</w:t>
      </w:r>
      <w:r w:rsidRPr="001F0499">
        <w:rPr>
          <w:bCs/>
          <w:lang w:val="en-US"/>
        </w:rPr>
        <w:t xml:space="preserve"> the current study </w:t>
      </w:r>
      <w:r w:rsidR="00915F01">
        <w:rPr>
          <w:bCs/>
          <w:lang w:val="en-US"/>
        </w:rPr>
        <w:t xml:space="preserve">applies </w:t>
      </w:r>
      <w:r w:rsidRPr="001F0499">
        <w:rPr>
          <w:bCs/>
          <w:lang w:val="en-US"/>
        </w:rPr>
        <w:t xml:space="preserve">spatial econometric models </w:t>
      </w:r>
      <w:r w:rsidR="00915F01">
        <w:rPr>
          <w:bCs/>
          <w:lang w:val="en-US"/>
        </w:rPr>
        <w:t>to</w:t>
      </w:r>
      <w:r w:rsidRPr="001F0499">
        <w:rPr>
          <w:bCs/>
          <w:lang w:val="en-US"/>
        </w:rPr>
        <w:t xml:space="preserve"> a 20-year panel of almost 2500 count</w:t>
      </w:r>
      <w:r w:rsidR="00795B09">
        <w:rPr>
          <w:bCs/>
          <w:lang w:val="en-US"/>
        </w:rPr>
        <w:t>y-level units</w:t>
      </w:r>
      <w:r w:rsidRPr="001F0499">
        <w:rPr>
          <w:bCs/>
          <w:lang w:val="en-US"/>
        </w:rPr>
        <w:t xml:space="preserve"> to examine </w:t>
      </w:r>
      <w:r w:rsidR="00915F01">
        <w:rPr>
          <w:bCs/>
          <w:lang w:val="en-US"/>
        </w:rPr>
        <w:t xml:space="preserve">effects </w:t>
      </w:r>
      <w:r w:rsidRPr="001F0499">
        <w:rPr>
          <w:bCs/>
          <w:lang w:val="en-US"/>
        </w:rPr>
        <w:t xml:space="preserve">of converting </w:t>
      </w:r>
      <w:r w:rsidR="00170278">
        <w:rPr>
          <w:bCs/>
          <w:lang w:val="en-US"/>
        </w:rPr>
        <w:t xml:space="preserve">China’s </w:t>
      </w:r>
      <w:r w:rsidRPr="001F0499">
        <w:rPr>
          <w:bCs/>
          <w:lang w:val="en-US"/>
        </w:rPr>
        <w:t>counties to cities</w:t>
      </w:r>
      <w:r w:rsidR="00915F01">
        <w:rPr>
          <w:bCs/>
          <w:lang w:val="en-US"/>
        </w:rPr>
        <w:t xml:space="preserve"> (either as county-level cities or as districts)</w:t>
      </w:r>
      <w:r w:rsidRPr="001F0499">
        <w:rPr>
          <w:bCs/>
          <w:lang w:val="en-US"/>
        </w:rPr>
        <w:t xml:space="preserve">. We use GDP and night-time lights as our indicators of local economic activity. We start with a very general spatial autoregressive model with spatial autoregressive errors (SARAR) that encompasses </w:t>
      </w:r>
      <w:r w:rsidR="00170278">
        <w:rPr>
          <w:bCs/>
          <w:lang w:val="en-US"/>
        </w:rPr>
        <w:t xml:space="preserve">some </w:t>
      </w:r>
      <w:r w:rsidRPr="001F0499">
        <w:rPr>
          <w:bCs/>
          <w:lang w:val="en-US"/>
        </w:rPr>
        <w:t xml:space="preserve">popular models, such as the spatial Durbin model, spatial lag model, and spatial error model. </w:t>
      </w:r>
      <w:r w:rsidR="00795B09">
        <w:rPr>
          <w:bCs/>
          <w:lang w:val="en-US"/>
        </w:rPr>
        <w:t>In this</w:t>
      </w:r>
      <w:r w:rsidR="00915F01">
        <w:rPr>
          <w:bCs/>
          <w:lang w:val="en-US"/>
        </w:rPr>
        <w:t xml:space="preserve"> particular</w:t>
      </w:r>
      <w:r w:rsidR="00795B09">
        <w:rPr>
          <w:bCs/>
          <w:lang w:val="en-US"/>
        </w:rPr>
        <w:t xml:space="preserve"> setting </w:t>
      </w:r>
      <w:r w:rsidR="00915F01">
        <w:rPr>
          <w:bCs/>
          <w:lang w:val="en-US"/>
        </w:rPr>
        <w:t xml:space="preserve">and </w:t>
      </w:r>
      <w:r w:rsidR="00795B09">
        <w:rPr>
          <w:bCs/>
          <w:lang w:val="en-US"/>
        </w:rPr>
        <w:t xml:space="preserve">for the period we study, the </w:t>
      </w:r>
      <w:r w:rsidRPr="001F0499">
        <w:rPr>
          <w:bCs/>
          <w:lang w:val="en-US"/>
        </w:rPr>
        <w:t xml:space="preserve">spatial lags </w:t>
      </w:r>
      <w:r w:rsidR="00795B09">
        <w:rPr>
          <w:bCs/>
          <w:lang w:val="en-US"/>
        </w:rPr>
        <w:t xml:space="preserve">appear to be </w:t>
      </w:r>
      <w:r w:rsidRPr="001F0499">
        <w:rPr>
          <w:bCs/>
          <w:lang w:val="en-US"/>
        </w:rPr>
        <w:t xml:space="preserve">relevant for </w:t>
      </w:r>
      <w:r w:rsidR="00795B09">
        <w:rPr>
          <w:bCs/>
          <w:lang w:val="en-US"/>
        </w:rPr>
        <w:t xml:space="preserve">the </w:t>
      </w:r>
      <w:r w:rsidRPr="001F0499">
        <w:rPr>
          <w:bCs/>
          <w:lang w:val="en-US"/>
        </w:rPr>
        <w:t xml:space="preserve">outcomes, </w:t>
      </w:r>
      <w:r w:rsidR="00795B09">
        <w:rPr>
          <w:bCs/>
          <w:lang w:val="en-US"/>
        </w:rPr>
        <w:t xml:space="preserve">the </w:t>
      </w:r>
      <w:r w:rsidRPr="001F0499">
        <w:rPr>
          <w:bCs/>
          <w:lang w:val="en-US"/>
        </w:rPr>
        <w:t xml:space="preserve">covariates and </w:t>
      </w:r>
      <w:r w:rsidR="00795B09">
        <w:rPr>
          <w:bCs/>
          <w:lang w:val="en-US"/>
        </w:rPr>
        <w:t xml:space="preserve">the </w:t>
      </w:r>
      <w:r w:rsidRPr="001F0499">
        <w:rPr>
          <w:bCs/>
          <w:lang w:val="en-US"/>
        </w:rPr>
        <w:t>errors. The positive direct effects on economic activity of a county being upgraded are amplifie</w:t>
      </w:r>
      <w:r w:rsidR="00170278">
        <w:rPr>
          <w:bCs/>
          <w:lang w:val="en-US"/>
        </w:rPr>
        <w:t xml:space="preserve">d through </w:t>
      </w:r>
      <w:r w:rsidR="00A409F2">
        <w:rPr>
          <w:bCs/>
          <w:lang w:val="en-US"/>
        </w:rPr>
        <w:t xml:space="preserve">positive </w:t>
      </w:r>
      <w:r w:rsidR="00170278">
        <w:rPr>
          <w:bCs/>
          <w:lang w:val="en-US"/>
        </w:rPr>
        <w:t>indirect effects</w:t>
      </w:r>
      <w:r w:rsidR="00B924EE">
        <w:rPr>
          <w:bCs/>
          <w:lang w:val="en-US"/>
        </w:rPr>
        <w:t>. The</w:t>
      </w:r>
      <w:r w:rsidR="001946A9">
        <w:rPr>
          <w:bCs/>
          <w:lang w:val="en-US"/>
        </w:rPr>
        <w:t xml:space="preserve"> indirect spillovers are especially apparent in the eastern regions of China where economic activity and population are more densely concentrated</w:t>
      </w:r>
      <w:r w:rsidR="00170278">
        <w:rPr>
          <w:bCs/>
          <w:lang w:val="en-US"/>
        </w:rPr>
        <w:t>. T</w:t>
      </w:r>
      <w:r w:rsidR="00915F01">
        <w:rPr>
          <w:bCs/>
          <w:lang w:val="en-US"/>
        </w:rPr>
        <w:t xml:space="preserve">he </w:t>
      </w:r>
      <w:r w:rsidRPr="001F0499">
        <w:rPr>
          <w:bCs/>
          <w:lang w:val="en-US"/>
        </w:rPr>
        <w:t xml:space="preserve">models without spatial lags give estimated effects </w:t>
      </w:r>
      <w:r w:rsidR="00170278">
        <w:rPr>
          <w:bCs/>
          <w:lang w:val="en-US"/>
        </w:rPr>
        <w:t xml:space="preserve">of county upgrading </w:t>
      </w:r>
      <w:r w:rsidRPr="001F0499">
        <w:rPr>
          <w:bCs/>
          <w:lang w:val="en-US"/>
        </w:rPr>
        <w:t xml:space="preserve">that are only two-fifths to two-thirds as large as the </w:t>
      </w:r>
      <w:r w:rsidR="00A409F2">
        <w:rPr>
          <w:bCs/>
          <w:lang w:val="en-US"/>
        </w:rPr>
        <w:t xml:space="preserve">estimated </w:t>
      </w:r>
      <w:r w:rsidRPr="001F0499">
        <w:rPr>
          <w:bCs/>
          <w:lang w:val="en-US"/>
        </w:rPr>
        <w:t>total effects coming from the spatial models.</w:t>
      </w:r>
      <w:r w:rsidR="00170278">
        <w:rPr>
          <w:bCs/>
          <w:lang w:val="en-US"/>
        </w:rPr>
        <w:t xml:space="preserve"> Given that models without spatial lags have been almost exclusively what is </w:t>
      </w:r>
      <w:r w:rsidR="00A409F2">
        <w:rPr>
          <w:bCs/>
          <w:lang w:val="en-US"/>
        </w:rPr>
        <w:t xml:space="preserve">used </w:t>
      </w:r>
      <w:r w:rsidR="00170278">
        <w:rPr>
          <w:bCs/>
          <w:lang w:val="en-US"/>
        </w:rPr>
        <w:t>to date, t</w:t>
      </w:r>
      <w:r w:rsidR="00795B09">
        <w:rPr>
          <w:bCs/>
          <w:lang w:val="en-US"/>
        </w:rPr>
        <w:t xml:space="preserve">hese findings suggest that the literature studying county upgrading in China might benefit from </w:t>
      </w:r>
      <w:r w:rsidR="00915F01">
        <w:rPr>
          <w:bCs/>
          <w:lang w:val="en-US"/>
        </w:rPr>
        <w:t xml:space="preserve">more widespread use of </w:t>
      </w:r>
      <w:r w:rsidR="00795B09">
        <w:rPr>
          <w:bCs/>
          <w:lang w:val="en-US"/>
        </w:rPr>
        <w:t>spatial models that explicitly allow spillover effects to be studied.</w:t>
      </w:r>
    </w:p>
    <w:p w14:paraId="00645CC0" w14:textId="10C8AB67" w:rsidR="00605C8F" w:rsidRDefault="000029D6" w:rsidP="00BD2F5C">
      <w:pPr>
        <w:spacing w:before="120" w:after="120" w:line="360" w:lineRule="auto"/>
        <w:ind w:firstLine="720"/>
        <w:jc w:val="both"/>
        <w:rPr>
          <w:bCs/>
          <w:lang w:val="en-US"/>
        </w:rPr>
      </w:pPr>
      <w:r>
        <w:rPr>
          <w:bCs/>
          <w:lang w:val="en-US"/>
        </w:rPr>
        <w:t xml:space="preserve">In the </w:t>
      </w:r>
      <w:r w:rsidR="008E2A38">
        <w:rPr>
          <w:bCs/>
          <w:lang w:val="en-US"/>
        </w:rPr>
        <w:t xml:space="preserve">next section </w:t>
      </w:r>
      <w:r>
        <w:rPr>
          <w:bCs/>
          <w:lang w:val="en-US"/>
        </w:rPr>
        <w:t>we</w:t>
      </w:r>
      <w:r w:rsidR="00795B09">
        <w:rPr>
          <w:bCs/>
          <w:lang w:val="en-US"/>
        </w:rPr>
        <w:t xml:space="preserve"> provide details on China’s administrative hi</w:t>
      </w:r>
      <w:r w:rsidR="00A206E0">
        <w:rPr>
          <w:bCs/>
          <w:lang w:val="en-US"/>
        </w:rPr>
        <w:t xml:space="preserve">erarchy, describe some </w:t>
      </w:r>
      <w:r w:rsidR="00795B09">
        <w:rPr>
          <w:bCs/>
          <w:lang w:val="en-US"/>
        </w:rPr>
        <w:t xml:space="preserve">pathways through which counties can be upgraded, and show that prior studies in this </w:t>
      </w:r>
      <w:r w:rsidR="008E2A38">
        <w:rPr>
          <w:bCs/>
          <w:lang w:val="en-US"/>
        </w:rPr>
        <w:t xml:space="preserve">literature </w:t>
      </w:r>
      <w:r w:rsidR="00795B09">
        <w:rPr>
          <w:bCs/>
          <w:lang w:val="en-US"/>
        </w:rPr>
        <w:t xml:space="preserve">have not used spatial econometric models. Our data and methods are discussed in Section III. </w:t>
      </w:r>
      <w:r w:rsidR="008E2A38">
        <w:rPr>
          <w:bCs/>
          <w:lang w:val="en-US"/>
        </w:rPr>
        <w:t xml:space="preserve">Section </w:t>
      </w:r>
      <w:r w:rsidR="00795B09">
        <w:rPr>
          <w:bCs/>
          <w:lang w:val="en-US"/>
        </w:rPr>
        <w:t>I</w:t>
      </w:r>
      <w:r w:rsidR="008E2A38">
        <w:rPr>
          <w:bCs/>
          <w:lang w:val="en-US"/>
        </w:rPr>
        <w:t xml:space="preserve">V </w:t>
      </w:r>
      <w:r w:rsidR="00F00AE9">
        <w:rPr>
          <w:bCs/>
          <w:lang w:val="en-US"/>
        </w:rPr>
        <w:t xml:space="preserve">has </w:t>
      </w:r>
      <w:r w:rsidR="00795B09">
        <w:rPr>
          <w:bCs/>
          <w:lang w:val="en-US"/>
        </w:rPr>
        <w:t xml:space="preserve">the results, using both </w:t>
      </w:r>
      <w:r w:rsidR="008E2A38" w:rsidRPr="00A43630">
        <w:rPr>
          <w:bCs/>
          <w:lang w:val="en-US"/>
        </w:rPr>
        <w:t xml:space="preserve">county-level </w:t>
      </w:r>
      <w:r w:rsidR="00795B09">
        <w:rPr>
          <w:bCs/>
          <w:lang w:val="en-US"/>
        </w:rPr>
        <w:t>GDP and night-time lights as indicators of economic activity</w:t>
      </w:r>
      <w:r w:rsidR="008E2A38" w:rsidRPr="00A43630">
        <w:rPr>
          <w:bCs/>
          <w:lang w:val="en-US"/>
        </w:rPr>
        <w:t>.</w:t>
      </w:r>
      <w:r w:rsidR="00F00AE9">
        <w:rPr>
          <w:bCs/>
          <w:lang w:val="en-US"/>
        </w:rPr>
        <w:t xml:space="preserve"> Section V has our conclusions.</w:t>
      </w:r>
    </w:p>
    <w:p w14:paraId="61ABB076" w14:textId="77777777" w:rsidR="00A65C14" w:rsidRDefault="00A65C14" w:rsidP="00BD2F5C">
      <w:pPr>
        <w:spacing w:before="120" w:after="120" w:line="360" w:lineRule="auto"/>
        <w:ind w:firstLine="720"/>
        <w:jc w:val="both"/>
        <w:rPr>
          <w:bCs/>
          <w:lang w:val="en-US"/>
        </w:rPr>
      </w:pPr>
    </w:p>
    <w:p w14:paraId="2546DA37" w14:textId="77777777" w:rsidR="00A96C92" w:rsidRPr="006E5888" w:rsidRDefault="00CE27EF" w:rsidP="00BD2F5C">
      <w:pPr>
        <w:spacing w:before="120" w:after="120" w:line="360" w:lineRule="auto"/>
        <w:rPr>
          <w:b/>
          <w:sz w:val="26"/>
          <w:szCs w:val="26"/>
          <w:lang w:val="en-US"/>
        </w:rPr>
      </w:pPr>
      <w:r w:rsidRPr="006E5888">
        <w:rPr>
          <w:b/>
          <w:sz w:val="26"/>
          <w:szCs w:val="26"/>
          <w:lang w:val="en-US"/>
        </w:rPr>
        <w:t>II.</w:t>
      </w:r>
      <w:r w:rsidRPr="006E5888">
        <w:rPr>
          <w:b/>
          <w:sz w:val="26"/>
          <w:szCs w:val="26"/>
          <w:lang w:val="en-US"/>
        </w:rPr>
        <w:tab/>
      </w:r>
      <w:r w:rsidR="005719C0" w:rsidRPr="006E5888">
        <w:rPr>
          <w:b/>
          <w:sz w:val="26"/>
          <w:szCs w:val="26"/>
          <w:lang w:val="en-US"/>
        </w:rPr>
        <w:t>Background and Context</w:t>
      </w:r>
    </w:p>
    <w:p w14:paraId="2A2E26C2" w14:textId="77777777" w:rsidR="005719C0" w:rsidRPr="005719C0" w:rsidRDefault="005719C0" w:rsidP="00BD2F5C">
      <w:pPr>
        <w:spacing w:before="120" w:after="120" w:line="480" w:lineRule="auto"/>
        <w:rPr>
          <w:bCs/>
          <w:i/>
          <w:iCs/>
          <w:lang w:val="en-US"/>
        </w:rPr>
      </w:pPr>
      <w:r>
        <w:rPr>
          <w:bCs/>
          <w:i/>
          <w:iCs/>
          <w:lang w:val="en-US"/>
        </w:rPr>
        <w:t xml:space="preserve">China’s Administrative Hierarchy </w:t>
      </w:r>
    </w:p>
    <w:p w14:paraId="479199DF" w14:textId="24E9903B" w:rsidR="00E44AD8" w:rsidRDefault="002A3008" w:rsidP="00BD2F5C">
      <w:pPr>
        <w:spacing w:before="120" w:after="120" w:line="360" w:lineRule="auto"/>
        <w:jc w:val="both"/>
        <w:rPr>
          <w:bCs/>
          <w:lang w:val="en-US"/>
        </w:rPr>
      </w:pPr>
      <w:r>
        <w:rPr>
          <w:bCs/>
          <w:lang w:val="en-US"/>
        </w:rPr>
        <w:lastRenderedPageBreak/>
        <w:t xml:space="preserve">In </w:t>
      </w:r>
      <w:r w:rsidR="00804BF4">
        <w:rPr>
          <w:bCs/>
          <w:lang w:val="en-US"/>
        </w:rPr>
        <w:t>China’s administrative hierarchy four levels of local government</w:t>
      </w:r>
      <w:r>
        <w:rPr>
          <w:bCs/>
          <w:lang w:val="en-US"/>
        </w:rPr>
        <w:t xml:space="preserve"> exist</w:t>
      </w:r>
      <w:r w:rsidR="00804BF4">
        <w:rPr>
          <w:bCs/>
          <w:lang w:val="en-US"/>
        </w:rPr>
        <w:t>: province, prefecture, county, and town. The central government</w:t>
      </w:r>
      <w:r>
        <w:rPr>
          <w:bCs/>
          <w:lang w:val="en-US"/>
        </w:rPr>
        <w:t xml:space="preserve"> can bestow city status at any of the first three levels (Fan et al, 2012).</w:t>
      </w:r>
      <w:r w:rsidR="00804BF4">
        <w:rPr>
          <w:bCs/>
          <w:lang w:val="en-US"/>
        </w:rPr>
        <w:t xml:space="preserve"> For example, four </w:t>
      </w:r>
      <w:r w:rsidR="002E23F6">
        <w:rPr>
          <w:bCs/>
          <w:lang w:val="en-US"/>
        </w:rPr>
        <w:t xml:space="preserve">cities </w:t>
      </w:r>
      <w:r w:rsidR="00804BF4">
        <w:rPr>
          <w:bCs/>
          <w:lang w:val="en-US"/>
        </w:rPr>
        <w:t>directly under the central government – Beijing, Tianjin, Shanghai and Chongqing</w:t>
      </w:r>
      <w:r w:rsidR="002E23F6">
        <w:rPr>
          <w:bCs/>
          <w:lang w:val="en-US"/>
        </w:rPr>
        <w:t xml:space="preserve"> – have </w:t>
      </w:r>
      <w:r w:rsidR="00824836">
        <w:rPr>
          <w:bCs/>
          <w:lang w:val="en-US"/>
        </w:rPr>
        <w:t>equivalent status to province</w:t>
      </w:r>
      <w:r w:rsidR="002E23F6">
        <w:rPr>
          <w:bCs/>
          <w:lang w:val="en-US"/>
        </w:rPr>
        <w:t>s</w:t>
      </w:r>
      <w:r>
        <w:rPr>
          <w:bCs/>
          <w:lang w:val="en-US"/>
        </w:rPr>
        <w:t xml:space="preserve">. </w:t>
      </w:r>
      <w:r w:rsidR="002E23F6">
        <w:rPr>
          <w:bCs/>
          <w:lang w:val="en-US"/>
        </w:rPr>
        <w:t xml:space="preserve">Notably, </w:t>
      </w:r>
      <w:r w:rsidR="00824836">
        <w:rPr>
          <w:bCs/>
          <w:lang w:val="en-US"/>
        </w:rPr>
        <w:t>e</w:t>
      </w:r>
      <w:r>
        <w:rPr>
          <w:bCs/>
          <w:lang w:val="en-US"/>
        </w:rPr>
        <w:t xml:space="preserve">ven though </w:t>
      </w:r>
      <w:r w:rsidR="00824836">
        <w:rPr>
          <w:bCs/>
          <w:lang w:val="en-US"/>
        </w:rPr>
        <w:t xml:space="preserve">they are </w:t>
      </w:r>
      <w:r>
        <w:rPr>
          <w:bCs/>
          <w:lang w:val="en-US"/>
        </w:rPr>
        <w:t xml:space="preserve">designated as cities, this is an administrative rather than a functional characterization: Chongqing, for example, is as large as the country of Austria and has third-level units (districts and counties) </w:t>
      </w:r>
      <w:r w:rsidR="00824836">
        <w:rPr>
          <w:bCs/>
          <w:lang w:val="en-US"/>
        </w:rPr>
        <w:t xml:space="preserve">whose </w:t>
      </w:r>
      <w:r>
        <w:rPr>
          <w:bCs/>
          <w:lang w:val="en-US"/>
        </w:rPr>
        <w:t>population density ranges from 26,000 people per square kilometer (Yuzhong</w:t>
      </w:r>
      <w:r w:rsidR="00824836">
        <w:rPr>
          <w:bCs/>
          <w:lang w:val="en-US"/>
        </w:rPr>
        <w:t xml:space="preserve"> district, which is </w:t>
      </w:r>
      <w:r>
        <w:rPr>
          <w:bCs/>
          <w:lang w:val="en-US"/>
        </w:rPr>
        <w:t xml:space="preserve">the </w:t>
      </w:r>
      <w:r w:rsidR="00824836">
        <w:rPr>
          <w:bCs/>
          <w:lang w:val="en-US"/>
        </w:rPr>
        <w:t xml:space="preserve">main </w:t>
      </w:r>
      <w:r>
        <w:rPr>
          <w:bCs/>
          <w:lang w:val="en-US"/>
        </w:rPr>
        <w:t>business</w:t>
      </w:r>
      <w:r w:rsidR="00824836">
        <w:rPr>
          <w:bCs/>
          <w:lang w:val="en-US"/>
        </w:rPr>
        <w:t xml:space="preserve"> area</w:t>
      </w:r>
      <w:r>
        <w:rPr>
          <w:bCs/>
          <w:lang w:val="en-US"/>
        </w:rPr>
        <w:t xml:space="preserve">) to as low as 60 people per square kilometer (Chengkou county). Likewise, the </w:t>
      </w:r>
      <w:r w:rsidR="002E23F6">
        <w:rPr>
          <w:bCs/>
          <w:lang w:val="en-US"/>
        </w:rPr>
        <w:t xml:space="preserve">second level units </w:t>
      </w:r>
      <w:r>
        <w:rPr>
          <w:bCs/>
          <w:lang w:val="en-US"/>
        </w:rPr>
        <w:t>designated as prefectural-level cities</w:t>
      </w:r>
      <w:r w:rsidR="00824836">
        <w:rPr>
          <w:bCs/>
          <w:lang w:val="en-US"/>
        </w:rPr>
        <w:t xml:space="preserve"> (which </w:t>
      </w:r>
      <w:r w:rsidR="00FA6A9C">
        <w:rPr>
          <w:bCs/>
          <w:lang w:val="en-US"/>
        </w:rPr>
        <w:t>have</w:t>
      </w:r>
      <w:r w:rsidR="00824836">
        <w:rPr>
          <w:bCs/>
          <w:lang w:val="en-US"/>
        </w:rPr>
        <w:t xml:space="preserve"> a rising share over time, as</w:t>
      </w:r>
      <w:r>
        <w:rPr>
          <w:bCs/>
          <w:lang w:val="en-US"/>
        </w:rPr>
        <w:t xml:space="preserve"> shown below) consist not</w:t>
      </w:r>
      <w:r w:rsidR="002E23F6">
        <w:rPr>
          <w:bCs/>
          <w:lang w:val="en-US"/>
        </w:rPr>
        <w:t xml:space="preserve"> only of core urban areas, whose</w:t>
      </w:r>
      <w:r>
        <w:rPr>
          <w:bCs/>
          <w:lang w:val="en-US"/>
        </w:rPr>
        <w:t xml:space="preserve"> subsidiary spatial units </w:t>
      </w:r>
      <w:r w:rsidR="002E23F6">
        <w:rPr>
          <w:bCs/>
          <w:lang w:val="en-US"/>
        </w:rPr>
        <w:t xml:space="preserve">are </w:t>
      </w:r>
      <w:r>
        <w:rPr>
          <w:bCs/>
          <w:lang w:val="en-US"/>
        </w:rPr>
        <w:t>districts, but also may include counties that are largely rural</w:t>
      </w:r>
      <w:r w:rsidR="002E23F6">
        <w:rPr>
          <w:bCs/>
          <w:lang w:val="en-US"/>
        </w:rPr>
        <w:t>,</w:t>
      </w:r>
      <w:r>
        <w:rPr>
          <w:bCs/>
          <w:lang w:val="en-US"/>
        </w:rPr>
        <w:t xml:space="preserve"> and county-level cities</w:t>
      </w:r>
      <w:r w:rsidR="002E23F6">
        <w:rPr>
          <w:bCs/>
          <w:lang w:val="en-US"/>
        </w:rPr>
        <w:t xml:space="preserve"> that have </w:t>
      </w:r>
      <w:r w:rsidR="00C86814">
        <w:rPr>
          <w:bCs/>
          <w:lang w:val="en-US"/>
        </w:rPr>
        <w:t xml:space="preserve">some modest </w:t>
      </w:r>
      <w:r w:rsidR="002E23F6">
        <w:rPr>
          <w:bCs/>
          <w:lang w:val="en-US"/>
        </w:rPr>
        <w:t>urban development</w:t>
      </w:r>
      <w:r>
        <w:rPr>
          <w:bCs/>
          <w:lang w:val="en-US"/>
        </w:rPr>
        <w:t>.</w:t>
      </w:r>
    </w:p>
    <w:p w14:paraId="582D78C9" w14:textId="733C7630" w:rsidR="002E23F6" w:rsidRPr="002E23F6" w:rsidRDefault="000E615C" w:rsidP="00BD2F5C">
      <w:pPr>
        <w:spacing w:before="120" w:after="120" w:line="360" w:lineRule="auto"/>
        <w:ind w:firstLine="720"/>
        <w:jc w:val="both"/>
        <w:rPr>
          <w:bCs/>
          <w:lang w:val="en-US"/>
        </w:rPr>
      </w:pPr>
      <w:r>
        <w:rPr>
          <w:bCs/>
          <w:lang w:val="en-US"/>
        </w:rPr>
        <w:t xml:space="preserve">The </w:t>
      </w:r>
      <w:r w:rsidR="002E23F6">
        <w:rPr>
          <w:bCs/>
          <w:lang w:val="en-US"/>
        </w:rPr>
        <w:t>variation in population density of the three main types of</w:t>
      </w:r>
      <w:r w:rsidR="00F8178B">
        <w:rPr>
          <w:bCs/>
          <w:lang w:val="en-US"/>
        </w:rPr>
        <w:t xml:space="preserve"> third-level</w:t>
      </w:r>
      <w:r w:rsidR="002E23F6">
        <w:rPr>
          <w:bCs/>
          <w:lang w:val="en-US"/>
        </w:rPr>
        <w:t xml:space="preserve"> spatial units illustrates their differing degree of urbanity, even though they </w:t>
      </w:r>
      <w:r w:rsidR="00F8178B">
        <w:rPr>
          <w:bCs/>
          <w:lang w:val="en-US"/>
        </w:rPr>
        <w:t xml:space="preserve">all have </w:t>
      </w:r>
      <w:r w:rsidR="002E23F6">
        <w:rPr>
          <w:bCs/>
          <w:lang w:val="en-US"/>
        </w:rPr>
        <w:t xml:space="preserve">the same </w:t>
      </w:r>
      <w:r w:rsidR="002E23F6">
        <w:rPr>
          <w:bCs/>
          <w:i/>
          <w:iCs/>
          <w:lang w:val="en-US"/>
        </w:rPr>
        <w:t>de jure</w:t>
      </w:r>
      <w:r w:rsidR="002E23F6">
        <w:rPr>
          <w:bCs/>
          <w:lang w:val="en-US"/>
        </w:rPr>
        <w:t xml:space="preserve"> rank. In the 2020 census, the median population density of districts was 930 residents per km</w:t>
      </w:r>
      <w:r w:rsidR="002E23F6">
        <w:rPr>
          <w:bCs/>
          <w:vertAlign w:val="superscript"/>
          <w:lang w:val="en-US"/>
        </w:rPr>
        <w:t>2</w:t>
      </w:r>
      <w:r w:rsidR="00F8178B">
        <w:rPr>
          <w:bCs/>
          <w:lang w:val="en-US"/>
        </w:rPr>
        <w:t xml:space="preserve">, the median for county-level cities was </w:t>
      </w:r>
      <w:r w:rsidR="002E23F6">
        <w:rPr>
          <w:bCs/>
          <w:lang w:val="en-US"/>
        </w:rPr>
        <w:t>345 persons per km</w:t>
      </w:r>
      <w:r w:rsidR="002E23F6">
        <w:rPr>
          <w:bCs/>
          <w:vertAlign w:val="superscript"/>
          <w:lang w:val="en-US"/>
        </w:rPr>
        <w:t>2</w:t>
      </w:r>
      <w:r w:rsidR="002E23F6">
        <w:rPr>
          <w:bCs/>
          <w:lang w:val="en-US"/>
        </w:rPr>
        <w:t xml:space="preserve"> and </w:t>
      </w:r>
      <w:r w:rsidR="00F8178B">
        <w:rPr>
          <w:bCs/>
          <w:lang w:val="en-US"/>
        </w:rPr>
        <w:t xml:space="preserve">the median density for counties was </w:t>
      </w:r>
      <w:r w:rsidR="002E23F6">
        <w:rPr>
          <w:bCs/>
          <w:lang w:val="en-US"/>
        </w:rPr>
        <w:t>135 persons per km</w:t>
      </w:r>
      <w:r w:rsidR="002E23F6">
        <w:rPr>
          <w:bCs/>
          <w:vertAlign w:val="superscript"/>
          <w:lang w:val="en-US"/>
        </w:rPr>
        <w:t>2</w:t>
      </w:r>
      <w:r w:rsidR="002E23F6">
        <w:rPr>
          <w:bCs/>
          <w:lang w:val="en-US"/>
        </w:rPr>
        <w:t>.</w:t>
      </w:r>
      <w:r w:rsidR="00934BE9">
        <w:rPr>
          <w:bCs/>
          <w:lang w:val="en-US"/>
        </w:rPr>
        <w:t xml:space="preserve"> In other words, county-level cities are almost three times more densely populated than counties, and districts are almost three times more densely populated than county-level cities.</w:t>
      </w:r>
      <w:r w:rsidR="002E23F6">
        <w:rPr>
          <w:rStyle w:val="FootnoteReference"/>
          <w:bCs/>
          <w:lang w:val="en-US"/>
        </w:rPr>
        <w:footnoteReference w:id="3"/>
      </w:r>
    </w:p>
    <w:p w14:paraId="70B5B67C" w14:textId="3F1B6957" w:rsidR="002771B9" w:rsidRDefault="00472923" w:rsidP="00A65C14">
      <w:pPr>
        <w:spacing w:before="120" w:after="120" w:line="360" w:lineRule="auto"/>
        <w:ind w:firstLine="720"/>
        <w:jc w:val="both"/>
        <w:rPr>
          <w:bCs/>
          <w:lang w:val="en-AU"/>
        </w:rPr>
      </w:pPr>
      <w:r>
        <w:rPr>
          <w:bCs/>
          <w:lang w:val="en-AU"/>
        </w:rPr>
        <w:t>In addition to density, the important differences between the three types of third-level spatial units relate to administrative power, fiscal benefits, land-related issues, reputation and the priority they may receive in the plans of decision makers at higher-level</w:t>
      </w:r>
      <w:r w:rsidR="00A206E0">
        <w:rPr>
          <w:bCs/>
          <w:lang w:val="en-AU"/>
        </w:rPr>
        <w:t>s</w:t>
      </w:r>
      <w:r>
        <w:rPr>
          <w:bCs/>
          <w:lang w:val="en-AU"/>
        </w:rPr>
        <w:t xml:space="preserve"> (Table 1). For example, </w:t>
      </w:r>
      <w:r w:rsidR="00076B43">
        <w:rPr>
          <w:bCs/>
          <w:lang w:val="en-AU"/>
        </w:rPr>
        <w:t>more land is available for urban construction and higher taxes can be imposed on this activity once a county becomes a county-level city</w:t>
      </w:r>
      <w:r w:rsidR="00365F99">
        <w:rPr>
          <w:bCs/>
          <w:lang w:val="en-AU"/>
        </w:rPr>
        <w:t xml:space="preserve"> (Lichtenberg and Ding, 2009; Fan et al, 2012)</w:t>
      </w:r>
      <w:r w:rsidR="00076B43">
        <w:rPr>
          <w:bCs/>
          <w:lang w:val="en-AU"/>
        </w:rPr>
        <w:t xml:space="preserve"> while conversion to district status also reduces land-related hurdles to the expansion of urban built-up area</w:t>
      </w:r>
      <w:r w:rsidR="00365F99">
        <w:rPr>
          <w:bCs/>
          <w:lang w:val="en-AU"/>
        </w:rPr>
        <w:t xml:space="preserve"> (Ma, 2005)</w:t>
      </w:r>
      <w:r w:rsidR="00076B43">
        <w:rPr>
          <w:bCs/>
          <w:lang w:val="en-AU"/>
        </w:rPr>
        <w:t>.</w:t>
      </w:r>
      <w:r w:rsidR="00365F99">
        <w:rPr>
          <w:bCs/>
          <w:lang w:val="en-AU"/>
        </w:rPr>
        <w:t xml:space="preserve"> China has a complex system of inter-governmental fiscal transfers (</w:t>
      </w:r>
      <w:r w:rsidR="00C51834">
        <w:rPr>
          <w:bCs/>
          <w:lang w:val="en-AU"/>
        </w:rPr>
        <w:t>Tan and Tan, 2024</w:t>
      </w:r>
      <w:r w:rsidR="00365F99">
        <w:rPr>
          <w:bCs/>
          <w:lang w:val="en-AU"/>
        </w:rPr>
        <w:t xml:space="preserve">), </w:t>
      </w:r>
      <w:r w:rsidR="00C51834">
        <w:rPr>
          <w:bCs/>
          <w:lang w:val="en-AU"/>
        </w:rPr>
        <w:t>and</w:t>
      </w:r>
      <w:r w:rsidR="00365F99">
        <w:rPr>
          <w:bCs/>
          <w:lang w:val="en-AU"/>
        </w:rPr>
        <w:t xml:space="preserve"> transfers from prefectural level governments </w:t>
      </w:r>
      <w:r w:rsidR="00C51834">
        <w:rPr>
          <w:bCs/>
          <w:lang w:val="en-AU"/>
        </w:rPr>
        <w:t xml:space="preserve">to districts </w:t>
      </w:r>
      <w:r w:rsidR="00A206E0">
        <w:rPr>
          <w:bCs/>
          <w:lang w:val="en-AU"/>
        </w:rPr>
        <w:t xml:space="preserve">generally </w:t>
      </w:r>
      <w:r w:rsidR="00C51834">
        <w:rPr>
          <w:bCs/>
          <w:lang w:val="en-AU"/>
        </w:rPr>
        <w:t xml:space="preserve">exceed those going to </w:t>
      </w:r>
      <w:r w:rsidR="00365F99">
        <w:rPr>
          <w:bCs/>
          <w:lang w:val="en-AU"/>
        </w:rPr>
        <w:t>counties (</w:t>
      </w:r>
      <w:r w:rsidR="008A30ED">
        <w:rPr>
          <w:bCs/>
          <w:lang w:val="en-AU"/>
        </w:rPr>
        <w:t>Lu and Wang, 2023). The</w:t>
      </w:r>
      <w:r w:rsidR="00C51834">
        <w:rPr>
          <w:bCs/>
          <w:lang w:val="en-AU"/>
        </w:rPr>
        <w:t xml:space="preserve">re are also more </w:t>
      </w:r>
      <w:r w:rsidR="00A206E0">
        <w:rPr>
          <w:bCs/>
          <w:lang w:val="en-AU"/>
        </w:rPr>
        <w:t xml:space="preserve">subtle </w:t>
      </w:r>
      <w:r w:rsidR="008A30ED">
        <w:rPr>
          <w:bCs/>
          <w:lang w:val="en-AU"/>
        </w:rPr>
        <w:t xml:space="preserve">benefits of being a district or county-level city </w:t>
      </w:r>
      <w:r w:rsidR="00C51834">
        <w:rPr>
          <w:bCs/>
          <w:lang w:val="en-AU"/>
        </w:rPr>
        <w:t xml:space="preserve">that </w:t>
      </w:r>
      <w:r w:rsidR="008A30ED">
        <w:rPr>
          <w:bCs/>
          <w:lang w:val="en-AU"/>
        </w:rPr>
        <w:t>include factors related to prestige and policy priority (Chung and Lam, 2004, Shen, 2007, Deng et al, 2022).</w:t>
      </w:r>
    </w:p>
    <w:p w14:paraId="7FD999F3" w14:textId="77777777" w:rsidR="002771B9" w:rsidRPr="004F3B7B" w:rsidRDefault="002771B9" w:rsidP="00BD2F5C">
      <w:pPr>
        <w:widowControl w:val="0"/>
        <w:spacing w:before="120" w:after="120" w:line="240" w:lineRule="auto"/>
        <w:rPr>
          <w:rFonts w:eastAsia="DengXian"/>
          <w:color w:val="000000"/>
          <w:kern w:val="2"/>
          <w:lang w:val="en-US" w:eastAsia="zh-CN"/>
          <w14:ligatures w14:val="standardContextual"/>
        </w:rPr>
      </w:pPr>
      <w:r w:rsidRPr="004F3B7B">
        <w:rPr>
          <w:rFonts w:eastAsia="DengXian"/>
          <w:b/>
          <w:bCs/>
          <w:color w:val="000000"/>
          <w:kern w:val="2"/>
          <w:lang w:val="en-US" w:eastAsia="zh-CN"/>
          <w14:ligatures w14:val="standardContextual"/>
        </w:rPr>
        <w:lastRenderedPageBreak/>
        <w:t xml:space="preserve">Table 1. </w:t>
      </w:r>
      <w:r w:rsidRPr="00CE497C">
        <w:rPr>
          <w:rFonts w:eastAsia="DengXian"/>
          <w:b/>
          <w:bCs/>
          <w:color w:val="000000"/>
          <w:kern w:val="2"/>
          <w:lang w:val="en-US" w:eastAsia="zh-CN"/>
          <w14:ligatures w14:val="standardContextual"/>
        </w:rPr>
        <w:t>Potential benefits for a county in getting upgraded to city or district status</w:t>
      </w:r>
    </w:p>
    <w:p w14:paraId="59F403C0" w14:textId="77777777" w:rsidR="002771B9" w:rsidRPr="004F3B7B" w:rsidRDefault="002771B9" w:rsidP="00BD2F5C">
      <w:pPr>
        <w:spacing w:before="120" w:after="120" w:line="240" w:lineRule="auto"/>
        <w:jc w:val="center"/>
        <w:rPr>
          <w:bCs/>
          <w:sz w:val="4"/>
          <w:szCs w:val="4"/>
          <w:lang w:val="en-US"/>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628"/>
        <w:gridCol w:w="1758"/>
        <w:gridCol w:w="85"/>
      </w:tblGrid>
      <w:tr w:rsidR="002771B9" w:rsidRPr="00F719D4" w14:paraId="6B025EA6" w14:textId="77777777" w:rsidTr="00C45C74">
        <w:tc>
          <w:tcPr>
            <w:tcW w:w="2694" w:type="dxa"/>
            <w:tcBorders>
              <w:top w:val="single" w:sz="8" w:space="0" w:color="auto"/>
              <w:bottom w:val="single" w:sz="4" w:space="0" w:color="auto"/>
            </w:tcBorders>
          </w:tcPr>
          <w:p w14:paraId="0140BBFD" w14:textId="77777777" w:rsidR="002771B9" w:rsidRPr="00F719D4" w:rsidRDefault="002771B9" w:rsidP="00BD2F5C">
            <w:pPr>
              <w:adjustRightInd w:val="0"/>
              <w:snapToGrid w:val="0"/>
              <w:spacing w:before="120" w:after="120" w:line="228" w:lineRule="auto"/>
              <w:rPr>
                <w:rFonts w:asciiTheme="majorBidi" w:eastAsiaTheme="minorEastAsia" w:hAnsiTheme="majorBidi" w:cstheme="majorBidi"/>
                <w:snapToGrid w:val="0"/>
                <w:sz w:val="21"/>
                <w:szCs w:val="21"/>
                <w:lang w:bidi="en-US"/>
              </w:rPr>
            </w:pPr>
            <w:r w:rsidRPr="00F719D4">
              <w:rPr>
                <w:rFonts w:asciiTheme="majorBidi" w:eastAsiaTheme="minorEastAsia" w:hAnsiTheme="majorBidi" w:cstheme="majorBidi"/>
                <w:snapToGrid w:val="0"/>
                <w:sz w:val="21"/>
                <w:szCs w:val="21"/>
                <w:lang w:bidi="en-US"/>
              </w:rPr>
              <w:t>C</w:t>
            </w:r>
            <w:r w:rsidRPr="00F719D4">
              <w:rPr>
                <w:rFonts w:asciiTheme="majorBidi" w:hAnsiTheme="majorBidi" w:cstheme="majorBidi"/>
                <w:snapToGrid w:val="0"/>
                <w:sz w:val="21"/>
                <w:szCs w:val="21"/>
                <w:lang w:bidi="en-US"/>
              </w:rPr>
              <w:t>ategory</w:t>
            </w:r>
          </w:p>
        </w:tc>
        <w:tc>
          <w:tcPr>
            <w:tcW w:w="3628" w:type="dxa"/>
            <w:tcBorders>
              <w:top w:val="single" w:sz="8" w:space="0" w:color="auto"/>
              <w:bottom w:val="single" w:sz="4" w:space="0" w:color="auto"/>
            </w:tcBorders>
          </w:tcPr>
          <w:p w14:paraId="2B788738" w14:textId="77777777" w:rsidR="002771B9" w:rsidRPr="00F719D4" w:rsidRDefault="002771B9" w:rsidP="00BD2F5C">
            <w:pPr>
              <w:adjustRightInd w:val="0"/>
              <w:snapToGrid w:val="0"/>
              <w:spacing w:before="120" w:after="120" w:line="228" w:lineRule="auto"/>
              <w:jc w:val="center"/>
              <w:rPr>
                <w:rFonts w:asciiTheme="majorBidi" w:eastAsia="Times New Roman" w:hAnsiTheme="majorBidi" w:cstheme="majorBidi"/>
                <w:snapToGrid w:val="0"/>
                <w:sz w:val="21"/>
                <w:szCs w:val="21"/>
                <w:lang w:eastAsia="de-DE" w:bidi="en-US"/>
              </w:rPr>
            </w:pPr>
            <w:r w:rsidRPr="00F719D4">
              <w:rPr>
                <w:rFonts w:asciiTheme="majorBidi" w:eastAsia="Times New Roman" w:hAnsiTheme="majorBidi" w:cstheme="majorBidi"/>
                <w:snapToGrid w:val="0"/>
                <w:sz w:val="21"/>
                <w:szCs w:val="21"/>
                <w:lang w:eastAsia="de-DE" w:bidi="en-US"/>
              </w:rPr>
              <w:t>Benefits</w:t>
            </w:r>
          </w:p>
        </w:tc>
        <w:tc>
          <w:tcPr>
            <w:tcW w:w="1843" w:type="dxa"/>
            <w:gridSpan w:val="2"/>
            <w:tcBorders>
              <w:top w:val="single" w:sz="8" w:space="0" w:color="auto"/>
              <w:bottom w:val="single" w:sz="4" w:space="0" w:color="auto"/>
            </w:tcBorders>
          </w:tcPr>
          <w:p w14:paraId="49E82C90" w14:textId="77777777" w:rsidR="002771B9" w:rsidRPr="00F719D4" w:rsidRDefault="002771B9" w:rsidP="00BD2F5C">
            <w:pPr>
              <w:adjustRightInd w:val="0"/>
              <w:snapToGrid w:val="0"/>
              <w:spacing w:before="120" w:after="120" w:line="228" w:lineRule="auto"/>
              <w:jc w:val="center"/>
              <w:rPr>
                <w:rFonts w:asciiTheme="majorBidi" w:eastAsiaTheme="minorEastAsia" w:hAnsiTheme="majorBidi" w:cstheme="majorBidi"/>
                <w:snapToGrid w:val="0"/>
                <w:sz w:val="21"/>
                <w:szCs w:val="21"/>
                <w:lang w:bidi="en-US"/>
              </w:rPr>
            </w:pPr>
            <w:r w:rsidRPr="00F719D4">
              <w:rPr>
                <w:rFonts w:asciiTheme="majorBidi" w:eastAsiaTheme="minorEastAsia" w:hAnsiTheme="majorBidi" w:cstheme="majorBidi"/>
                <w:snapToGrid w:val="0"/>
                <w:sz w:val="21"/>
                <w:szCs w:val="21"/>
                <w:lang w:bidi="en-US"/>
              </w:rPr>
              <w:t>S</w:t>
            </w:r>
            <w:r w:rsidRPr="00F719D4">
              <w:rPr>
                <w:rFonts w:asciiTheme="majorBidi" w:hAnsiTheme="majorBidi" w:cstheme="majorBidi"/>
                <w:snapToGrid w:val="0"/>
                <w:sz w:val="21"/>
                <w:szCs w:val="21"/>
                <w:lang w:bidi="en-US"/>
              </w:rPr>
              <w:t>ource</w:t>
            </w:r>
          </w:p>
        </w:tc>
      </w:tr>
      <w:tr w:rsidR="002771B9" w:rsidRPr="00894171" w14:paraId="17D8323B" w14:textId="77777777" w:rsidTr="00C45C74">
        <w:trPr>
          <w:trHeight w:val="227"/>
        </w:trPr>
        <w:tc>
          <w:tcPr>
            <w:tcW w:w="2694" w:type="dxa"/>
            <w:tcBorders>
              <w:top w:val="single" w:sz="4" w:space="0" w:color="auto"/>
            </w:tcBorders>
          </w:tcPr>
          <w:p w14:paraId="54F5EFA7" w14:textId="77777777" w:rsidR="002771B9" w:rsidRPr="00F719D4" w:rsidRDefault="002771B9" w:rsidP="00BD2F5C">
            <w:pPr>
              <w:adjustRightInd w:val="0"/>
              <w:snapToGrid w:val="0"/>
              <w:spacing w:before="120" w:after="120" w:line="228" w:lineRule="auto"/>
              <w:rPr>
                <w:rFonts w:asciiTheme="majorBidi" w:eastAsiaTheme="minorEastAsia" w:hAnsiTheme="majorBidi" w:cstheme="majorBidi"/>
                <w:i/>
                <w:iCs/>
                <w:snapToGrid w:val="0"/>
                <w:lang w:bidi="en-US"/>
              </w:rPr>
            </w:pPr>
            <w:r w:rsidRPr="00F719D4">
              <w:rPr>
                <w:rFonts w:asciiTheme="majorBidi" w:eastAsiaTheme="minorEastAsia" w:hAnsiTheme="majorBidi" w:cstheme="majorBidi" w:hint="eastAsia"/>
                <w:i/>
                <w:iCs/>
                <w:snapToGrid w:val="0"/>
                <w:lang w:bidi="en-US"/>
              </w:rPr>
              <w:t>County</w:t>
            </w:r>
            <w:r w:rsidRPr="00F719D4">
              <w:rPr>
                <w:rFonts w:asciiTheme="majorBidi" w:eastAsiaTheme="minorEastAsia" w:hAnsiTheme="majorBidi" w:cstheme="majorBidi"/>
                <w:i/>
                <w:iCs/>
                <w:snapToGrid w:val="0"/>
                <w:lang w:bidi="en-US"/>
              </w:rPr>
              <w:t>-to-county-level city</w:t>
            </w:r>
          </w:p>
        </w:tc>
        <w:tc>
          <w:tcPr>
            <w:tcW w:w="3628" w:type="dxa"/>
            <w:tcBorders>
              <w:top w:val="single" w:sz="4" w:space="0" w:color="auto"/>
            </w:tcBorders>
          </w:tcPr>
          <w:p w14:paraId="79F7C27D"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p>
        </w:tc>
        <w:tc>
          <w:tcPr>
            <w:tcW w:w="1843" w:type="dxa"/>
            <w:gridSpan w:val="2"/>
            <w:tcBorders>
              <w:top w:val="single" w:sz="4" w:space="0" w:color="auto"/>
            </w:tcBorders>
          </w:tcPr>
          <w:p w14:paraId="30ED3A09" w14:textId="77777777" w:rsidR="002771B9" w:rsidRPr="00894171" w:rsidRDefault="002771B9" w:rsidP="00BD2F5C">
            <w:pPr>
              <w:adjustRightInd w:val="0"/>
              <w:snapToGrid w:val="0"/>
              <w:spacing w:before="120" w:after="120" w:line="228" w:lineRule="auto"/>
              <w:jc w:val="center"/>
              <w:rPr>
                <w:rFonts w:asciiTheme="majorBidi" w:eastAsiaTheme="minorEastAsia" w:hAnsiTheme="majorBidi" w:cstheme="majorBidi"/>
                <w:snapToGrid w:val="0"/>
                <w:sz w:val="18"/>
                <w:szCs w:val="18"/>
                <w:lang w:bidi="en-US"/>
              </w:rPr>
            </w:pPr>
          </w:p>
        </w:tc>
      </w:tr>
      <w:tr w:rsidR="002771B9" w:rsidRPr="00894171" w14:paraId="66DEFD91" w14:textId="77777777" w:rsidTr="00C45C74">
        <w:trPr>
          <w:trHeight w:val="1020"/>
        </w:trPr>
        <w:tc>
          <w:tcPr>
            <w:tcW w:w="2694" w:type="dxa"/>
          </w:tcPr>
          <w:p w14:paraId="5C0BB56F" w14:textId="77777777" w:rsidR="002771B9" w:rsidRPr="00894171" w:rsidRDefault="002771B9" w:rsidP="00BD2F5C">
            <w:pPr>
              <w:adjustRightInd w:val="0"/>
              <w:snapToGrid w:val="0"/>
              <w:spacing w:before="120" w:after="120" w:line="228" w:lineRule="auto"/>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A</w:t>
            </w:r>
            <w:r w:rsidRPr="00894171">
              <w:rPr>
                <w:rFonts w:asciiTheme="majorBidi" w:hAnsiTheme="majorBidi" w:cstheme="majorBidi"/>
                <w:snapToGrid w:val="0"/>
                <w:sz w:val="18"/>
                <w:szCs w:val="18"/>
                <w:lang w:bidi="en-US"/>
              </w:rPr>
              <w:t>dministrative power</w:t>
            </w:r>
          </w:p>
        </w:tc>
        <w:tc>
          <w:tcPr>
            <w:tcW w:w="3628" w:type="dxa"/>
          </w:tcPr>
          <w:p w14:paraId="483C3F69"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County-level cities have greater economic and social autonomy, for investment project</w:t>
            </w:r>
            <w:r>
              <w:rPr>
                <w:rFonts w:asciiTheme="majorBidi" w:eastAsia="Times New Roman" w:hAnsiTheme="majorBidi" w:cstheme="majorBidi"/>
                <w:snapToGrid w:val="0"/>
                <w:sz w:val="18"/>
                <w:szCs w:val="18"/>
                <w:lang w:eastAsia="de-DE" w:bidi="en-US"/>
              </w:rPr>
              <w:t>s</w:t>
            </w:r>
            <w:r w:rsidRPr="00894171">
              <w:rPr>
                <w:rFonts w:asciiTheme="majorBidi" w:eastAsia="Times New Roman" w:hAnsiTheme="majorBidi" w:cstheme="majorBidi"/>
                <w:snapToGrid w:val="0"/>
                <w:sz w:val="18"/>
                <w:szCs w:val="18"/>
                <w:lang w:eastAsia="de-DE" w:bidi="en-US"/>
              </w:rPr>
              <w:t>,</w:t>
            </w:r>
            <w:r w:rsidRPr="00894171">
              <w:rPr>
                <w:rFonts w:asciiTheme="majorBidi" w:hAnsiTheme="majorBidi" w:cstheme="majorBidi"/>
                <w:snapToGrid w:val="0"/>
                <w:sz w:val="18"/>
                <w:szCs w:val="18"/>
                <w:lang w:bidi="en-US"/>
              </w:rPr>
              <w:t xml:space="preserve"> for </w:t>
            </w:r>
            <w:r w:rsidRPr="00894171">
              <w:rPr>
                <w:rFonts w:asciiTheme="majorBidi" w:eastAsia="Times New Roman" w:hAnsiTheme="majorBidi" w:cstheme="majorBidi"/>
                <w:snapToGrid w:val="0"/>
                <w:sz w:val="18"/>
                <w:szCs w:val="18"/>
                <w:lang w:eastAsia="de-DE" w:bidi="en-US"/>
              </w:rPr>
              <w:t>flexibility when establishing branches</w:t>
            </w:r>
            <w:r w:rsidRPr="00894171">
              <w:rPr>
                <w:rFonts w:asciiTheme="majorBidi" w:hAnsiTheme="majorBidi" w:cstheme="majorBidi"/>
                <w:snapToGrid w:val="0"/>
                <w:sz w:val="18"/>
                <w:szCs w:val="18"/>
                <w:lang w:bidi="en-US"/>
              </w:rPr>
              <w:t xml:space="preserve"> </w:t>
            </w:r>
            <w:r w:rsidRPr="00894171">
              <w:rPr>
                <w:rFonts w:asciiTheme="majorBidi" w:eastAsia="Times New Roman" w:hAnsiTheme="majorBidi" w:cstheme="majorBidi"/>
                <w:snapToGrid w:val="0"/>
                <w:sz w:val="18"/>
                <w:szCs w:val="18"/>
                <w:lang w:eastAsia="de-DE" w:bidi="en-US"/>
              </w:rPr>
              <w:t>of customs offices and large state-owned banks, and for governing urban-related affairs</w:t>
            </w:r>
            <w:r>
              <w:rPr>
                <w:rFonts w:asciiTheme="majorBidi" w:eastAsia="Times New Roman" w:hAnsiTheme="majorBidi" w:cstheme="majorBidi"/>
                <w:snapToGrid w:val="0"/>
                <w:sz w:val="18"/>
                <w:szCs w:val="18"/>
                <w:lang w:eastAsia="de-DE" w:bidi="en-US"/>
              </w:rPr>
              <w:t>.</w:t>
            </w:r>
            <w:r w:rsidRPr="00894171">
              <w:rPr>
                <w:rFonts w:asciiTheme="majorBidi" w:eastAsia="Times New Roman" w:hAnsiTheme="majorBidi" w:cstheme="majorBidi"/>
                <w:snapToGrid w:val="0"/>
                <w:sz w:val="18"/>
                <w:szCs w:val="18"/>
                <w:lang w:eastAsia="de-DE" w:bidi="en-US"/>
              </w:rPr>
              <w:t xml:space="preserve"> </w:t>
            </w:r>
          </w:p>
        </w:tc>
        <w:tc>
          <w:tcPr>
            <w:tcW w:w="1843" w:type="dxa"/>
            <w:gridSpan w:val="2"/>
          </w:tcPr>
          <w:p w14:paraId="4A59820D"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heme="minorEastAsia" w:hAnsiTheme="majorBidi" w:cstheme="majorBidi"/>
                <w:snapToGrid w:val="0"/>
                <w:sz w:val="18"/>
                <w:szCs w:val="18"/>
                <w:lang w:bidi="en-US"/>
              </w:rPr>
              <w:t xml:space="preserve">Landry (2008); Su (2022); </w:t>
            </w:r>
            <w:r w:rsidRPr="00894171">
              <w:rPr>
                <w:rFonts w:asciiTheme="majorBidi" w:eastAsiaTheme="minorEastAsia" w:hAnsiTheme="majorBidi" w:cstheme="majorBidi"/>
                <w:snapToGrid w:val="0"/>
                <w:sz w:val="18"/>
                <w:szCs w:val="18"/>
                <w:lang w:bidi="en-US"/>
              </w:rPr>
              <w:t>Tang (2021)</w:t>
            </w:r>
          </w:p>
        </w:tc>
      </w:tr>
      <w:tr w:rsidR="002771B9" w:rsidRPr="00894171" w14:paraId="78976B8B" w14:textId="77777777" w:rsidTr="00C45C74">
        <w:trPr>
          <w:trHeight w:val="850"/>
        </w:trPr>
        <w:tc>
          <w:tcPr>
            <w:tcW w:w="2694" w:type="dxa"/>
          </w:tcPr>
          <w:p w14:paraId="13B2A382"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F</w:t>
            </w:r>
            <w:r w:rsidRPr="00894171">
              <w:rPr>
                <w:rFonts w:asciiTheme="majorBidi" w:hAnsiTheme="majorBidi" w:cstheme="majorBidi"/>
                <w:snapToGrid w:val="0"/>
                <w:sz w:val="18"/>
                <w:szCs w:val="18"/>
                <w:lang w:bidi="en-US"/>
              </w:rPr>
              <w:t>iscal benefits</w:t>
            </w:r>
          </w:p>
        </w:tc>
        <w:tc>
          <w:tcPr>
            <w:tcW w:w="3628" w:type="dxa"/>
          </w:tcPr>
          <w:p w14:paraId="4737610E"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County-level cities have powers to</w:t>
            </w:r>
            <w:r w:rsidRPr="00894171">
              <w:rPr>
                <w:rFonts w:asciiTheme="majorBidi" w:hAnsiTheme="majorBidi" w:cstheme="majorBidi"/>
                <w:snapToGrid w:val="0"/>
                <w:sz w:val="18"/>
                <w:szCs w:val="18"/>
                <w:lang w:bidi="en-US"/>
              </w:rPr>
              <w:t xml:space="preserve"> </w:t>
            </w:r>
            <w:r w:rsidRPr="00894171">
              <w:rPr>
                <w:rFonts w:asciiTheme="majorBidi" w:eastAsia="Times New Roman" w:hAnsiTheme="majorBidi" w:cstheme="majorBidi"/>
                <w:snapToGrid w:val="0"/>
                <w:sz w:val="18"/>
                <w:szCs w:val="18"/>
                <w:lang w:eastAsia="de-DE" w:bidi="en-US"/>
              </w:rPr>
              <w:t>collect extra taxes and fees related to urban construction and management</w:t>
            </w:r>
            <w:r w:rsidRPr="00894171">
              <w:rPr>
                <w:rFonts w:asciiTheme="majorBidi" w:eastAsiaTheme="minorEastAsia" w:hAnsiTheme="majorBidi" w:cstheme="majorBidi"/>
                <w:snapToGrid w:val="0"/>
                <w:sz w:val="18"/>
                <w:szCs w:val="18"/>
                <w:lang w:bidi="en-US"/>
              </w:rPr>
              <w:t xml:space="preserve"> </w:t>
            </w:r>
            <w:r w:rsidRPr="00894171">
              <w:rPr>
                <w:rFonts w:asciiTheme="majorBidi" w:eastAsia="Times New Roman" w:hAnsiTheme="majorBidi" w:cstheme="majorBidi"/>
                <w:snapToGrid w:val="0"/>
                <w:sz w:val="18"/>
                <w:szCs w:val="18"/>
                <w:lang w:eastAsia="de-DE" w:bidi="en-US"/>
              </w:rPr>
              <w:t>(7% versus 5%) and receive more fiscal subsides.</w:t>
            </w:r>
          </w:p>
        </w:tc>
        <w:tc>
          <w:tcPr>
            <w:tcW w:w="1843" w:type="dxa"/>
            <w:gridSpan w:val="2"/>
          </w:tcPr>
          <w:p w14:paraId="32934415"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Lichtenberg</w:t>
            </w:r>
          </w:p>
          <w:p w14:paraId="56A7A5FB"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imes New Roman" w:hAnsiTheme="majorBidi" w:cstheme="majorBidi"/>
                <w:snapToGrid w:val="0"/>
                <w:sz w:val="18"/>
                <w:szCs w:val="18"/>
                <w:lang w:eastAsia="de-DE" w:bidi="en-US"/>
              </w:rPr>
              <w:t>&amp;</w:t>
            </w:r>
            <w:r w:rsidRPr="00894171">
              <w:rPr>
                <w:rFonts w:asciiTheme="majorBidi" w:eastAsia="Times New Roman" w:hAnsiTheme="majorBidi" w:cstheme="majorBidi"/>
                <w:snapToGrid w:val="0"/>
                <w:sz w:val="18"/>
                <w:szCs w:val="18"/>
                <w:lang w:eastAsia="de-DE" w:bidi="en-US"/>
              </w:rPr>
              <w:t xml:space="preserve"> Ding (2009); Fan et al. (2012)</w:t>
            </w:r>
          </w:p>
        </w:tc>
      </w:tr>
      <w:tr w:rsidR="002771B9" w:rsidRPr="00894171" w14:paraId="3A12435E" w14:textId="77777777" w:rsidTr="00C45C74">
        <w:trPr>
          <w:trHeight w:val="1077"/>
        </w:trPr>
        <w:tc>
          <w:tcPr>
            <w:tcW w:w="2694" w:type="dxa"/>
          </w:tcPr>
          <w:p w14:paraId="640599C5"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Land-related</w:t>
            </w:r>
          </w:p>
        </w:tc>
        <w:tc>
          <w:tcPr>
            <w:tcW w:w="3628" w:type="dxa"/>
          </w:tcPr>
          <w:p w14:paraId="45E91885" w14:textId="77777777" w:rsidR="002771B9" w:rsidRPr="00894171" w:rsidRDefault="002771B9" w:rsidP="00BD2F5C">
            <w:pPr>
              <w:adjustRightInd w:val="0"/>
              <w:snapToGrid w:val="0"/>
              <w:spacing w:before="120" w:after="120" w:line="228" w:lineRule="auto"/>
              <w:jc w:val="center"/>
              <w:rPr>
                <w:rFonts w:asciiTheme="majorBidi" w:hAnsiTheme="majorBidi" w:cstheme="majorBidi"/>
                <w:snapToGrid w:val="0"/>
                <w:sz w:val="18"/>
                <w:szCs w:val="18"/>
                <w:lang w:bidi="en-US"/>
              </w:rPr>
            </w:pPr>
            <w:r w:rsidRPr="00894171">
              <w:rPr>
                <w:rFonts w:asciiTheme="majorBidi" w:eastAsia="Times New Roman" w:hAnsiTheme="majorBidi" w:cstheme="majorBidi"/>
                <w:snapToGrid w:val="0"/>
                <w:sz w:val="18"/>
                <w:szCs w:val="18"/>
                <w:lang w:eastAsia="de-DE" w:bidi="en-US"/>
              </w:rPr>
              <w:t>County-level cities have more autonomy over land use as well as more construction land</w:t>
            </w:r>
            <w:r w:rsidRPr="00894171">
              <w:rPr>
                <w:rFonts w:asciiTheme="majorBidi" w:eastAsiaTheme="minorEastAsia" w:hAnsiTheme="majorBidi" w:cstheme="majorBidi"/>
                <w:snapToGrid w:val="0"/>
                <w:sz w:val="18"/>
                <w:szCs w:val="18"/>
                <w:lang w:bidi="en-US"/>
              </w:rPr>
              <w:t xml:space="preserve"> </w:t>
            </w:r>
            <w:r w:rsidRPr="00894171">
              <w:rPr>
                <w:rFonts w:asciiTheme="majorBidi" w:eastAsia="Times New Roman" w:hAnsiTheme="majorBidi" w:cstheme="majorBidi"/>
                <w:snapToGrid w:val="0"/>
                <w:sz w:val="18"/>
                <w:szCs w:val="18"/>
                <w:lang w:eastAsia="de-DE" w:bidi="en-US"/>
              </w:rPr>
              <w:t xml:space="preserve">quota allocated </w:t>
            </w:r>
            <w:r>
              <w:rPr>
                <w:rFonts w:asciiTheme="majorBidi" w:eastAsia="Times New Roman" w:hAnsiTheme="majorBidi" w:cstheme="majorBidi"/>
                <w:snapToGrid w:val="0"/>
                <w:sz w:val="18"/>
                <w:szCs w:val="18"/>
                <w:lang w:eastAsia="de-DE" w:bidi="en-US"/>
              </w:rPr>
              <w:t xml:space="preserve">by </w:t>
            </w:r>
            <w:r w:rsidRPr="00894171">
              <w:rPr>
                <w:rFonts w:asciiTheme="majorBidi" w:eastAsia="Times New Roman" w:hAnsiTheme="majorBidi" w:cstheme="majorBidi"/>
                <w:snapToGrid w:val="0"/>
                <w:sz w:val="18"/>
                <w:szCs w:val="18"/>
                <w:lang w:eastAsia="de-DE" w:bidi="en-US"/>
              </w:rPr>
              <w:t xml:space="preserve">higher level governments. They can also retain </w:t>
            </w:r>
            <w:r w:rsidRPr="00894171">
              <w:rPr>
                <w:rFonts w:asciiTheme="majorBidi" w:hAnsiTheme="majorBidi" w:cstheme="majorBidi"/>
                <w:snapToGrid w:val="0"/>
                <w:sz w:val="18"/>
                <w:szCs w:val="18"/>
                <w:lang w:bidi="en-US"/>
              </w:rPr>
              <w:t>a larger share of revenues from land sales.</w:t>
            </w:r>
          </w:p>
        </w:tc>
        <w:tc>
          <w:tcPr>
            <w:tcW w:w="1843" w:type="dxa"/>
            <w:gridSpan w:val="2"/>
          </w:tcPr>
          <w:p w14:paraId="1A5E8D1F"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Chung and</w:t>
            </w:r>
          </w:p>
          <w:p w14:paraId="385899D5"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Lam(2004); Fan et al. (2012)</w:t>
            </w:r>
          </w:p>
        </w:tc>
      </w:tr>
      <w:tr w:rsidR="002771B9" w:rsidRPr="00894171" w14:paraId="28FBE6E0" w14:textId="77777777" w:rsidTr="00C45C74">
        <w:trPr>
          <w:trHeight w:val="680"/>
        </w:trPr>
        <w:tc>
          <w:tcPr>
            <w:tcW w:w="2694" w:type="dxa"/>
          </w:tcPr>
          <w:p w14:paraId="69AF2F75" w14:textId="77777777" w:rsidR="002771B9" w:rsidRPr="00894171" w:rsidRDefault="002771B9" w:rsidP="00BD2F5C">
            <w:pPr>
              <w:adjustRightInd w:val="0"/>
              <w:snapToGrid w:val="0"/>
              <w:spacing w:before="120" w:after="120" w:line="228" w:lineRule="auto"/>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Policy priority</w:t>
            </w:r>
          </w:p>
        </w:tc>
        <w:tc>
          <w:tcPr>
            <w:tcW w:w="3628" w:type="dxa"/>
          </w:tcPr>
          <w:p w14:paraId="00BC9232"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 xml:space="preserve">County-level cities are more likely to have policy priority than </w:t>
            </w:r>
            <w:r>
              <w:rPr>
                <w:rFonts w:asciiTheme="majorBidi" w:eastAsia="Times New Roman" w:hAnsiTheme="majorBidi" w:cstheme="majorBidi"/>
                <w:snapToGrid w:val="0"/>
                <w:sz w:val="18"/>
                <w:szCs w:val="18"/>
                <w:lang w:eastAsia="de-DE" w:bidi="en-US"/>
              </w:rPr>
              <w:t xml:space="preserve">are </w:t>
            </w:r>
            <w:r w:rsidRPr="00894171">
              <w:rPr>
                <w:rFonts w:asciiTheme="majorBidi" w:eastAsia="Times New Roman" w:hAnsiTheme="majorBidi" w:cstheme="majorBidi"/>
                <w:snapToGrid w:val="0"/>
                <w:sz w:val="18"/>
                <w:szCs w:val="18"/>
                <w:lang w:eastAsia="de-DE" w:bidi="en-US"/>
              </w:rPr>
              <w:t>counties, as they will be listed separately in provincial plans.</w:t>
            </w:r>
          </w:p>
        </w:tc>
        <w:tc>
          <w:tcPr>
            <w:tcW w:w="1843" w:type="dxa"/>
            <w:gridSpan w:val="2"/>
          </w:tcPr>
          <w:p w14:paraId="5D4130D9" w14:textId="77777777" w:rsidR="002771B9" w:rsidRPr="00894171" w:rsidRDefault="002771B9" w:rsidP="00BD2F5C">
            <w:pPr>
              <w:adjustRightInd w:val="0"/>
              <w:snapToGrid w:val="0"/>
              <w:spacing w:before="120" w:after="120" w:line="228" w:lineRule="auto"/>
              <w:jc w:val="center"/>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Shen (2007)</w:t>
            </w:r>
          </w:p>
        </w:tc>
      </w:tr>
      <w:tr w:rsidR="002771B9" w:rsidRPr="00894171" w14:paraId="071AE855" w14:textId="77777777" w:rsidTr="00C45C74">
        <w:trPr>
          <w:trHeight w:val="510"/>
        </w:trPr>
        <w:tc>
          <w:tcPr>
            <w:tcW w:w="2694" w:type="dxa"/>
          </w:tcPr>
          <w:p w14:paraId="62D4EFD9"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Rank and salary</w:t>
            </w:r>
          </w:p>
        </w:tc>
        <w:tc>
          <w:tcPr>
            <w:tcW w:w="3628" w:type="dxa"/>
          </w:tcPr>
          <w:p w14:paraId="1E0234D2"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In some cases, the bureaucratic rank and salary of officials is raised after upgrading.</w:t>
            </w:r>
          </w:p>
        </w:tc>
        <w:tc>
          <w:tcPr>
            <w:tcW w:w="1843" w:type="dxa"/>
            <w:gridSpan w:val="2"/>
          </w:tcPr>
          <w:p w14:paraId="55B11FB9" w14:textId="77777777" w:rsidR="002771B9" w:rsidRPr="00894171" w:rsidRDefault="002771B9" w:rsidP="00BD2F5C">
            <w:pPr>
              <w:adjustRightInd w:val="0"/>
              <w:snapToGrid w:val="0"/>
              <w:spacing w:before="120" w:after="120" w:line="228" w:lineRule="auto"/>
              <w:jc w:val="center"/>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 xml:space="preserve">Li </w:t>
            </w:r>
            <w:r>
              <w:rPr>
                <w:rFonts w:asciiTheme="majorBidi" w:eastAsiaTheme="minorEastAsia" w:hAnsiTheme="majorBidi" w:cstheme="majorBidi"/>
                <w:snapToGrid w:val="0"/>
                <w:sz w:val="18"/>
                <w:szCs w:val="18"/>
                <w:lang w:bidi="en-US"/>
              </w:rPr>
              <w:t>(2011); Mukim &amp;</w:t>
            </w:r>
            <w:r w:rsidRPr="00894171">
              <w:rPr>
                <w:rFonts w:asciiTheme="majorBidi" w:eastAsiaTheme="minorEastAsia" w:hAnsiTheme="majorBidi" w:cstheme="majorBidi"/>
                <w:snapToGrid w:val="0"/>
                <w:sz w:val="18"/>
                <w:szCs w:val="18"/>
                <w:lang w:bidi="en-US"/>
              </w:rPr>
              <w:t xml:space="preserve"> Zhu (2018)</w:t>
            </w:r>
          </w:p>
        </w:tc>
      </w:tr>
      <w:tr w:rsidR="002771B9" w:rsidRPr="00894171" w14:paraId="3F5ED541" w14:textId="77777777" w:rsidTr="00C45C74">
        <w:trPr>
          <w:trHeight w:val="848"/>
        </w:trPr>
        <w:tc>
          <w:tcPr>
            <w:tcW w:w="2694" w:type="dxa"/>
          </w:tcPr>
          <w:p w14:paraId="2E4FBC7A"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Reputation</w:t>
            </w:r>
          </w:p>
          <w:p w14:paraId="43FE659E"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p>
          <w:p w14:paraId="118D3B50"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p>
        </w:tc>
        <w:tc>
          <w:tcPr>
            <w:tcW w:w="3628" w:type="dxa"/>
          </w:tcPr>
          <w:p w14:paraId="72292887"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894171">
              <w:rPr>
                <w:rFonts w:asciiTheme="majorBidi" w:eastAsia="Times New Roman" w:hAnsiTheme="majorBidi" w:cstheme="majorBidi"/>
                <w:snapToGrid w:val="0"/>
                <w:sz w:val="18"/>
                <w:szCs w:val="18"/>
                <w:lang w:eastAsia="de-DE" w:bidi="en-US"/>
              </w:rPr>
              <w:t>County-level cities enjoy higher prestige compared with counties</w:t>
            </w:r>
            <w:r>
              <w:rPr>
                <w:rFonts w:asciiTheme="majorBidi" w:eastAsia="Times New Roman" w:hAnsiTheme="majorBidi" w:cstheme="majorBidi"/>
                <w:snapToGrid w:val="0"/>
                <w:sz w:val="18"/>
                <w:szCs w:val="18"/>
                <w:lang w:eastAsia="de-DE" w:bidi="en-US"/>
              </w:rPr>
              <w:t>,</w:t>
            </w:r>
            <w:r w:rsidRPr="00894171">
              <w:rPr>
                <w:rFonts w:asciiTheme="majorBidi" w:eastAsia="Times New Roman" w:hAnsiTheme="majorBidi" w:cstheme="majorBidi"/>
                <w:snapToGrid w:val="0"/>
                <w:sz w:val="18"/>
                <w:szCs w:val="18"/>
                <w:lang w:eastAsia="de-DE" w:bidi="en-US"/>
              </w:rPr>
              <w:t xml:space="preserve"> </w:t>
            </w:r>
            <w:r>
              <w:rPr>
                <w:rFonts w:asciiTheme="majorBidi" w:eastAsia="Times New Roman" w:hAnsiTheme="majorBidi" w:cstheme="majorBidi"/>
                <w:snapToGrid w:val="0"/>
                <w:sz w:val="18"/>
                <w:szCs w:val="18"/>
                <w:lang w:eastAsia="de-DE" w:bidi="en-US"/>
              </w:rPr>
              <w:t xml:space="preserve">making them </w:t>
            </w:r>
            <w:r w:rsidRPr="00894171">
              <w:rPr>
                <w:rFonts w:asciiTheme="majorBidi" w:eastAsia="Times New Roman" w:hAnsiTheme="majorBidi" w:cstheme="majorBidi"/>
                <w:snapToGrid w:val="0"/>
                <w:sz w:val="18"/>
                <w:szCs w:val="18"/>
                <w:lang w:eastAsia="de-DE" w:bidi="en-US"/>
              </w:rPr>
              <w:t>more attractive to outside investors.</w:t>
            </w:r>
          </w:p>
        </w:tc>
        <w:tc>
          <w:tcPr>
            <w:tcW w:w="1843" w:type="dxa"/>
            <w:gridSpan w:val="2"/>
          </w:tcPr>
          <w:p w14:paraId="3004B349" w14:textId="77777777" w:rsidR="002771B9" w:rsidRPr="00894171" w:rsidRDefault="002771B9" w:rsidP="00BD2F5C">
            <w:pPr>
              <w:adjustRightInd w:val="0"/>
              <w:snapToGrid w:val="0"/>
              <w:spacing w:before="120" w:after="120" w:line="228" w:lineRule="auto"/>
              <w:jc w:val="center"/>
              <w:rPr>
                <w:rFonts w:asciiTheme="majorBidi" w:eastAsiaTheme="minorEastAsia" w:hAnsiTheme="majorBidi" w:cstheme="majorBidi"/>
                <w:snapToGrid w:val="0"/>
                <w:sz w:val="18"/>
                <w:szCs w:val="18"/>
                <w:lang w:bidi="en-US"/>
              </w:rPr>
            </w:pPr>
            <w:r>
              <w:rPr>
                <w:rFonts w:asciiTheme="majorBidi" w:eastAsia="Times New Roman" w:hAnsiTheme="majorBidi" w:cstheme="majorBidi"/>
                <w:snapToGrid w:val="0"/>
                <w:sz w:val="18"/>
                <w:szCs w:val="18"/>
                <w:lang w:eastAsia="de-DE" w:bidi="en-US"/>
              </w:rPr>
              <w:t>Chung and Lam</w:t>
            </w:r>
            <w:r w:rsidRPr="00894171">
              <w:rPr>
                <w:rFonts w:asciiTheme="majorBidi" w:eastAsia="Times New Roman" w:hAnsiTheme="majorBidi" w:cstheme="majorBidi"/>
                <w:snapToGrid w:val="0"/>
                <w:sz w:val="18"/>
                <w:szCs w:val="18"/>
                <w:lang w:eastAsia="de-DE" w:bidi="en-US"/>
              </w:rPr>
              <w:t xml:space="preserve"> </w:t>
            </w:r>
            <w:r>
              <w:rPr>
                <w:rFonts w:asciiTheme="majorBidi" w:eastAsia="Times New Roman" w:hAnsiTheme="majorBidi" w:cstheme="majorBidi"/>
                <w:snapToGrid w:val="0"/>
                <w:sz w:val="18"/>
                <w:szCs w:val="18"/>
                <w:lang w:eastAsia="de-DE" w:bidi="en-US"/>
              </w:rPr>
              <w:t>(</w:t>
            </w:r>
            <w:r w:rsidRPr="00894171">
              <w:rPr>
                <w:rFonts w:asciiTheme="majorBidi" w:eastAsia="Times New Roman" w:hAnsiTheme="majorBidi" w:cstheme="majorBidi"/>
                <w:snapToGrid w:val="0"/>
                <w:sz w:val="18"/>
                <w:szCs w:val="18"/>
                <w:lang w:eastAsia="de-DE" w:bidi="en-US"/>
              </w:rPr>
              <w:t>2004)</w:t>
            </w:r>
          </w:p>
        </w:tc>
      </w:tr>
      <w:tr w:rsidR="002771B9" w:rsidRPr="00894171" w14:paraId="5524FDFE" w14:textId="77777777" w:rsidTr="00C45C74">
        <w:trPr>
          <w:trHeight w:val="284"/>
        </w:trPr>
        <w:tc>
          <w:tcPr>
            <w:tcW w:w="2694" w:type="dxa"/>
          </w:tcPr>
          <w:p w14:paraId="3428015F" w14:textId="77777777" w:rsidR="002771B9" w:rsidRPr="00F719D4" w:rsidRDefault="002771B9" w:rsidP="00BD2F5C">
            <w:pPr>
              <w:adjustRightInd w:val="0"/>
              <w:snapToGrid w:val="0"/>
              <w:spacing w:before="120" w:after="120" w:line="228" w:lineRule="auto"/>
              <w:rPr>
                <w:rFonts w:asciiTheme="majorBidi" w:hAnsiTheme="majorBidi" w:cstheme="majorBidi"/>
                <w:i/>
                <w:iCs/>
                <w:snapToGrid w:val="0"/>
                <w:lang w:bidi="en-US"/>
              </w:rPr>
            </w:pPr>
            <w:r w:rsidRPr="00F719D4">
              <w:rPr>
                <w:rFonts w:asciiTheme="majorBidi" w:eastAsiaTheme="minorEastAsia" w:hAnsiTheme="majorBidi" w:cstheme="majorBidi" w:hint="eastAsia"/>
                <w:i/>
                <w:iCs/>
                <w:snapToGrid w:val="0"/>
                <w:lang w:bidi="en-US"/>
              </w:rPr>
              <w:t>County</w:t>
            </w:r>
            <w:r w:rsidRPr="00F719D4">
              <w:rPr>
                <w:rFonts w:asciiTheme="majorBidi" w:eastAsiaTheme="minorEastAsia" w:hAnsiTheme="majorBidi" w:cstheme="majorBidi"/>
                <w:i/>
                <w:iCs/>
                <w:snapToGrid w:val="0"/>
                <w:lang w:bidi="en-US"/>
              </w:rPr>
              <w:t>-to-district</w:t>
            </w:r>
          </w:p>
        </w:tc>
        <w:tc>
          <w:tcPr>
            <w:tcW w:w="3628" w:type="dxa"/>
          </w:tcPr>
          <w:p w14:paraId="7DC95C6B"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p>
        </w:tc>
        <w:tc>
          <w:tcPr>
            <w:tcW w:w="1843" w:type="dxa"/>
            <w:gridSpan w:val="2"/>
          </w:tcPr>
          <w:p w14:paraId="30EB7CF1" w14:textId="77777777" w:rsidR="002771B9" w:rsidRPr="00894171" w:rsidRDefault="002771B9" w:rsidP="00BD2F5C">
            <w:pPr>
              <w:adjustRightInd w:val="0"/>
              <w:snapToGrid w:val="0"/>
              <w:spacing w:before="120" w:after="120" w:line="228" w:lineRule="auto"/>
              <w:jc w:val="center"/>
              <w:rPr>
                <w:rFonts w:asciiTheme="majorBidi" w:hAnsiTheme="majorBidi" w:cstheme="majorBidi"/>
                <w:snapToGrid w:val="0"/>
                <w:sz w:val="18"/>
                <w:szCs w:val="18"/>
                <w:lang w:bidi="en-US"/>
              </w:rPr>
            </w:pPr>
          </w:p>
        </w:tc>
      </w:tr>
      <w:tr w:rsidR="002771B9" w:rsidRPr="00C86814" w14:paraId="292CBCC6" w14:textId="77777777" w:rsidTr="00C45C74">
        <w:trPr>
          <w:trHeight w:val="510"/>
        </w:trPr>
        <w:tc>
          <w:tcPr>
            <w:tcW w:w="2694" w:type="dxa"/>
          </w:tcPr>
          <w:p w14:paraId="0730EE51" w14:textId="77777777" w:rsidR="002771B9" w:rsidRPr="00894171" w:rsidRDefault="002771B9" w:rsidP="00BD2F5C">
            <w:pPr>
              <w:adjustRightInd w:val="0"/>
              <w:snapToGrid w:val="0"/>
              <w:spacing w:before="120" w:after="120" w:line="228" w:lineRule="auto"/>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A</w:t>
            </w:r>
            <w:r w:rsidRPr="00894171">
              <w:rPr>
                <w:rFonts w:asciiTheme="majorBidi" w:hAnsiTheme="majorBidi" w:cstheme="majorBidi"/>
                <w:snapToGrid w:val="0"/>
                <w:sz w:val="18"/>
                <w:szCs w:val="18"/>
                <w:lang w:bidi="en-US"/>
              </w:rPr>
              <w:t>dministrative power</w:t>
            </w:r>
          </w:p>
        </w:tc>
        <w:tc>
          <w:tcPr>
            <w:tcW w:w="3628" w:type="dxa"/>
          </w:tcPr>
          <w:p w14:paraId="7B334242" w14:textId="77777777" w:rsidR="002771B9" w:rsidRPr="009040DC"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imes New Roman" w:hAnsiTheme="majorBidi" w:cstheme="majorBidi"/>
                <w:snapToGrid w:val="0"/>
                <w:sz w:val="18"/>
                <w:szCs w:val="18"/>
                <w:lang w:eastAsia="de-DE" w:bidi="en-US"/>
              </w:rPr>
              <w:t>Facilitates</w:t>
            </w:r>
            <w:r w:rsidRPr="009040DC">
              <w:rPr>
                <w:rFonts w:asciiTheme="majorBidi" w:eastAsia="Times New Roman" w:hAnsiTheme="majorBidi" w:cstheme="majorBidi"/>
                <w:snapToGrid w:val="0"/>
                <w:sz w:val="18"/>
                <w:szCs w:val="18"/>
                <w:lang w:eastAsia="de-DE" w:bidi="en-US"/>
              </w:rPr>
              <w:t xml:space="preserve"> centralization of administrative powers</w:t>
            </w:r>
            <w:r>
              <w:rPr>
                <w:rFonts w:asciiTheme="majorBidi" w:eastAsia="Times New Roman" w:hAnsiTheme="majorBidi" w:cstheme="majorBidi"/>
                <w:snapToGrid w:val="0"/>
                <w:sz w:val="18"/>
                <w:szCs w:val="18"/>
                <w:lang w:eastAsia="de-DE" w:bidi="en-US"/>
              </w:rPr>
              <w:t>, for unifying</w:t>
            </w:r>
            <w:r w:rsidRPr="009040DC">
              <w:rPr>
                <w:rFonts w:asciiTheme="majorBidi" w:eastAsia="Times New Roman" w:hAnsiTheme="majorBidi" w:cstheme="majorBidi"/>
                <w:snapToGrid w:val="0"/>
                <w:sz w:val="18"/>
                <w:szCs w:val="18"/>
                <w:lang w:eastAsia="de-DE" w:bidi="en-US"/>
              </w:rPr>
              <w:t xml:space="preserve"> urban planning and industrial layout</w:t>
            </w:r>
            <w:r>
              <w:rPr>
                <w:rFonts w:asciiTheme="majorBidi" w:eastAsia="Times New Roman" w:hAnsiTheme="majorBidi" w:cstheme="majorBidi"/>
                <w:snapToGrid w:val="0"/>
                <w:sz w:val="18"/>
                <w:szCs w:val="18"/>
                <w:lang w:eastAsia="de-DE" w:bidi="en-US"/>
              </w:rPr>
              <w:t xml:space="preserve"> which is </w:t>
            </w:r>
            <w:r w:rsidRPr="009040DC">
              <w:rPr>
                <w:rFonts w:asciiTheme="majorBidi" w:eastAsia="Times New Roman" w:hAnsiTheme="majorBidi" w:cstheme="majorBidi"/>
                <w:snapToGrid w:val="0"/>
                <w:sz w:val="18"/>
                <w:szCs w:val="18"/>
                <w:lang w:eastAsia="de-DE" w:bidi="en-US"/>
              </w:rPr>
              <w:t xml:space="preserve">conducive </w:t>
            </w:r>
            <w:r>
              <w:rPr>
                <w:rFonts w:asciiTheme="majorBidi" w:eastAsia="Times New Roman" w:hAnsiTheme="majorBidi" w:cstheme="majorBidi"/>
                <w:snapToGrid w:val="0"/>
                <w:sz w:val="18"/>
                <w:szCs w:val="18"/>
                <w:lang w:eastAsia="de-DE" w:bidi="en-US"/>
              </w:rPr>
              <w:t>to</w:t>
            </w:r>
            <w:r w:rsidRPr="009040DC">
              <w:rPr>
                <w:rFonts w:asciiTheme="majorBidi" w:eastAsia="Times New Roman" w:hAnsiTheme="majorBidi" w:cstheme="majorBidi"/>
                <w:snapToGrid w:val="0"/>
                <w:sz w:val="18"/>
                <w:szCs w:val="18"/>
                <w:lang w:eastAsia="de-DE" w:bidi="en-US"/>
              </w:rPr>
              <w:t xml:space="preserve"> market integration and optimal allocation of resources.</w:t>
            </w:r>
          </w:p>
        </w:tc>
        <w:tc>
          <w:tcPr>
            <w:tcW w:w="1843" w:type="dxa"/>
            <w:gridSpan w:val="2"/>
          </w:tcPr>
          <w:p w14:paraId="7881DDF3" w14:textId="77777777" w:rsidR="002771B9" w:rsidRPr="00EE33F3" w:rsidRDefault="002771B9" w:rsidP="00BD2F5C">
            <w:pPr>
              <w:adjustRightInd w:val="0"/>
              <w:snapToGrid w:val="0"/>
              <w:spacing w:before="120" w:after="120" w:line="228" w:lineRule="auto"/>
              <w:jc w:val="center"/>
              <w:rPr>
                <w:rFonts w:asciiTheme="majorBidi" w:hAnsiTheme="majorBidi" w:cstheme="majorBidi"/>
                <w:snapToGrid w:val="0"/>
                <w:sz w:val="18"/>
                <w:szCs w:val="18"/>
                <w:lang w:val="nl-NL" w:bidi="en-US"/>
              </w:rPr>
            </w:pPr>
            <w:r w:rsidRPr="00EE33F3">
              <w:rPr>
                <w:rFonts w:asciiTheme="majorBidi" w:hAnsiTheme="majorBidi" w:cstheme="majorBidi"/>
                <w:snapToGrid w:val="0"/>
                <w:sz w:val="18"/>
                <w:szCs w:val="18"/>
                <w:lang w:val="nl-NL" w:bidi="en-US"/>
              </w:rPr>
              <w:t>Cao, Wang &amp; Zhang (2022);</w:t>
            </w:r>
            <w:r w:rsidRPr="00EE33F3">
              <w:rPr>
                <w:rFonts w:asciiTheme="majorBidi" w:eastAsia="Times New Roman" w:hAnsiTheme="majorBidi" w:cstheme="majorBidi"/>
                <w:snapToGrid w:val="0"/>
                <w:sz w:val="18"/>
                <w:szCs w:val="18"/>
                <w:lang w:val="nl-NL" w:eastAsia="de-DE" w:bidi="en-US"/>
              </w:rPr>
              <w:t xml:space="preserve"> Tang &amp; Hewings (2017); Tian et al. (2020); Lu &amp; Wang (2023)</w:t>
            </w:r>
          </w:p>
        </w:tc>
      </w:tr>
      <w:tr w:rsidR="002771B9" w:rsidRPr="00894171" w14:paraId="281DF513" w14:textId="77777777" w:rsidTr="00C45C74">
        <w:trPr>
          <w:trHeight w:val="510"/>
        </w:trPr>
        <w:tc>
          <w:tcPr>
            <w:tcW w:w="2694" w:type="dxa"/>
          </w:tcPr>
          <w:p w14:paraId="3452B765" w14:textId="77777777" w:rsidR="002771B9" w:rsidRPr="00894171" w:rsidRDefault="002771B9" w:rsidP="00BD2F5C">
            <w:pPr>
              <w:adjustRightInd w:val="0"/>
              <w:snapToGrid w:val="0"/>
              <w:spacing w:before="120" w:after="120" w:line="228" w:lineRule="auto"/>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F</w:t>
            </w:r>
            <w:r w:rsidRPr="00894171">
              <w:rPr>
                <w:rFonts w:asciiTheme="majorBidi" w:hAnsiTheme="majorBidi" w:cstheme="majorBidi"/>
                <w:snapToGrid w:val="0"/>
                <w:sz w:val="18"/>
                <w:szCs w:val="18"/>
                <w:lang w:bidi="en-US"/>
              </w:rPr>
              <w:t>iscal benefits</w:t>
            </w:r>
          </w:p>
        </w:tc>
        <w:tc>
          <w:tcPr>
            <w:tcW w:w="3628" w:type="dxa"/>
          </w:tcPr>
          <w:p w14:paraId="645271C2" w14:textId="77777777" w:rsidR="002771B9" w:rsidRPr="009040DC"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sidRPr="009040DC">
              <w:rPr>
                <w:rFonts w:asciiTheme="majorBidi" w:eastAsia="Times New Roman" w:hAnsiTheme="majorBidi" w:cstheme="majorBidi"/>
                <w:snapToGrid w:val="0"/>
                <w:sz w:val="18"/>
                <w:szCs w:val="18"/>
                <w:lang w:eastAsia="de-DE" w:bidi="en-US"/>
              </w:rPr>
              <w:t>M</w:t>
            </w:r>
            <w:r>
              <w:rPr>
                <w:rFonts w:asciiTheme="majorBidi" w:eastAsia="Times New Roman" w:hAnsiTheme="majorBidi" w:cstheme="majorBidi"/>
                <w:snapToGrid w:val="0"/>
                <w:sz w:val="18"/>
                <w:szCs w:val="18"/>
                <w:lang w:eastAsia="de-DE" w:bidi="en-US"/>
              </w:rPr>
              <w:t>ore fiscal transfers</w:t>
            </w:r>
            <w:r w:rsidRPr="009040DC">
              <w:rPr>
                <w:rFonts w:asciiTheme="majorBidi" w:eastAsia="Times New Roman" w:hAnsiTheme="majorBidi" w:cstheme="majorBidi"/>
                <w:snapToGrid w:val="0"/>
                <w:sz w:val="18"/>
                <w:szCs w:val="18"/>
                <w:lang w:eastAsia="de-DE" w:bidi="en-US"/>
              </w:rPr>
              <w:t xml:space="preserve"> from prefecture-level government</w:t>
            </w:r>
            <w:r>
              <w:rPr>
                <w:rFonts w:asciiTheme="majorBidi" w:eastAsia="Times New Roman" w:hAnsiTheme="majorBidi" w:cstheme="majorBidi"/>
                <w:snapToGrid w:val="0"/>
                <w:sz w:val="18"/>
                <w:szCs w:val="18"/>
                <w:lang w:eastAsia="de-DE" w:bidi="en-US"/>
              </w:rPr>
              <w:t>s</w:t>
            </w:r>
            <w:r w:rsidRPr="009040DC">
              <w:rPr>
                <w:rFonts w:asciiTheme="majorBidi" w:eastAsia="Times New Roman" w:hAnsiTheme="majorBidi" w:cstheme="majorBidi"/>
                <w:snapToGrid w:val="0"/>
                <w:sz w:val="18"/>
                <w:szCs w:val="18"/>
                <w:lang w:eastAsia="de-DE" w:bidi="en-US"/>
              </w:rPr>
              <w:t xml:space="preserve"> to the newly established district</w:t>
            </w:r>
            <w:r>
              <w:rPr>
                <w:rFonts w:asciiTheme="majorBidi" w:eastAsia="Times New Roman" w:hAnsiTheme="majorBidi" w:cstheme="majorBidi"/>
                <w:snapToGrid w:val="0"/>
                <w:sz w:val="18"/>
                <w:szCs w:val="18"/>
                <w:lang w:eastAsia="de-DE" w:bidi="en-US"/>
              </w:rPr>
              <w:t>s.</w:t>
            </w:r>
          </w:p>
        </w:tc>
        <w:tc>
          <w:tcPr>
            <w:tcW w:w="1843" w:type="dxa"/>
            <w:gridSpan w:val="2"/>
          </w:tcPr>
          <w:p w14:paraId="49E31809" w14:textId="77777777" w:rsidR="002771B9" w:rsidRPr="009040DC" w:rsidRDefault="002771B9" w:rsidP="00BD2F5C">
            <w:pPr>
              <w:adjustRightInd w:val="0"/>
              <w:snapToGrid w:val="0"/>
              <w:spacing w:before="120" w:after="120" w:line="228" w:lineRule="auto"/>
              <w:jc w:val="center"/>
              <w:rPr>
                <w:rFonts w:asciiTheme="majorBidi" w:hAnsiTheme="majorBidi" w:cstheme="majorBidi"/>
                <w:snapToGrid w:val="0"/>
                <w:sz w:val="18"/>
                <w:szCs w:val="18"/>
                <w:lang w:bidi="en-US"/>
              </w:rPr>
            </w:pPr>
            <w:r>
              <w:rPr>
                <w:rFonts w:asciiTheme="majorBidi" w:eastAsia="Times New Roman" w:hAnsiTheme="majorBidi" w:cstheme="majorBidi"/>
                <w:snapToGrid w:val="0"/>
                <w:sz w:val="18"/>
                <w:szCs w:val="18"/>
                <w:lang w:eastAsia="de-DE" w:bidi="en-US"/>
              </w:rPr>
              <w:t>Lu &amp;</w:t>
            </w:r>
            <w:r w:rsidRPr="009040DC">
              <w:rPr>
                <w:rFonts w:asciiTheme="majorBidi" w:eastAsia="Times New Roman" w:hAnsiTheme="majorBidi" w:cstheme="majorBidi"/>
                <w:snapToGrid w:val="0"/>
                <w:sz w:val="18"/>
                <w:szCs w:val="18"/>
                <w:lang w:eastAsia="de-DE" w:bidi="en-US"/>
              </w:rPr>
              <w:t xml:space="preserve"> Wang (2023)</w:t>
            </w:r>
          </w:p>
        </w:tc>
      </w:tr>
      <w:tr w:rsidR="002771B9" w:rsidRPr="00894171" w14:paraId="6D6968A2" w14:textId="77777777" w:rsidTr="00C45C74">
        <w:trPr>
          <w:trHeight w:val="510"/>
        </w:trPr>
        <w:tc>
          <w:tcPr>
            <w:tcW w:w="2694" w:type="dxa"/>
          </w:tcPr>
          <w:p w14:paraId="204FB1A5" w14:textId="77777777" w:rsidR="002771B9" w:rsidRPr="00894171" w:rsidRDefault="002771B9" w:rsidP="00BD2F5C">
            <w:pPr>
              <w:adjustRightInd w:val="0"/>
              <w:snapToGrid w:val="0"/>
              <w:spacing w:before="120" w:after="120" w:line="228" w:lineRule="auto"/>
              <w:rPr>
                <w:rFonts w:asciiTheme="majorBidi"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Land-related</w:t>
            </w:r>
          </w:p>
        </w:tc>
        <w:tc>
          <w:tcPr>
            <w:tcW w:w="3628" w:type="dxa"/>
          </w:tcPr>
          <w:p w14:paraId="2C5ED551"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imes New Roman" w:hAnsiTheme="majorBidi" w:cstheme="majorBidi"/>
                <w:snapToGrid w:val="0"/>
                <w:sz w:val="18"/>
                <w:szCs w:val="18"/>
                <w:lang w:eastAsia="de-DE" w:bidi="en-US"/>
              </w:rPr>
              <w:t>G</w:t>
            </w:r>
            <w:r w:rsidRPr="00036B70">
              <w:rPr>
                <w:rFonts w:asciiTheme="majorBidi" w:eastAsia="Times New Roman" w:hAnsiTheme="majorBidi" w:cstheme="majorBidi"/>
                <w:snapToGrid w:val="0"/>
                <w:sz w:val="18"/>
                <w:szCs w:val="18"/>
                <w:lang w:eastAsia="de-DE" w:bidi="en-US"/>
              </w:rPr>
              <w:t xml:space="preserve">overnments development strategies </w:t>
            </w:r>
            <w:r>
              <w:rPr>
                <w:rFonts w:asciiTheme="majorBidi" w:eastAsia="Times New Roman" w:hAnsiTheme="majorBidi" w:cstheme="majorBidi"/>
                <w:snapToGrid w:val="0"/>
                <w:sz w:val="18"/>
                <w:szCs w:val="18"/>
                <w:lang w:eastAsia="de-DE" w:bidi="en-US"/>
              </w:rPr>
              <w:t xml:space="preserve">have </w:t>
            </w:r>
            <w:r w:rsidRPr="00036B70">
              <w:rPr>
                <w:rFonts w:asciiTheme="majorBidi" w:eastAsia="Times New Roman" w:hAnsiTheme="majorBidi" w:cstheme="majorBidi"/>
                <w:snapToGrid w:val="0"/>
                <w:sz w:val="18"/>
                <w:szCs w:val="18"/>
                <w:lang w:eastAsia="de-DE" w:bidi="en-US"/>
              </w:rPr>
              <w:t xml:space="preserve">full use of land resources </w:t>
            </w:r>
            <w:r>
              <w:rPr>
                <w:rFonts w:asciiTheme="majorBidi" w:eastAsia="Times New Roman" w:hAnsiTheme="majorBidi" w:cstheme="majorBidi"/>
                <w:snapToGrid w:val="0"/>
                <w:sz w:val="18"/>
                <w:szCs w:val="18"/>
                <w:lang w:eastAsia="de-DE" w:bidi="en-US"/>
              </w:rPr>
              <w:t xml:space="preserve">previously </w:t>
            </w:r>
            <w:r w:rsidRPr="00036B70">
              <w:rPr>
                <w:rFonts w:asciiTheme="majorBidi" w:eastAsia="Times New Roman" w:hAnsiTheme="majorBidi" w:cstheme="majorBidi"/>
                <w:snapToGrid w:val="0"/>
                <w:sz w:val="18"/>
                <w:szCs w:val="18"/>
                <w:lang w:eastAsia="de-DE" w:bidi="en-US"/>
              </w:rPr>
              <w:t>controlled by county government</w:t>
            </w:r>
            <w:r>
              <w:rPr>
                <w:rFonts w:asciiTheme="majorBidi" w:eastAsia="Times New Roman" w:hAnsiTheme="majorBidi" w:cstheme="majorBidi"/>
                <w:snapToGrid w:val="0"/>
                <w:sz w:val="18"/>
                <w:szCs w:val="18"/>
                <w:lang w:eastAsia="de-DE" w:bidi="en-US"/>
              </w:rPr>
              <w:t xml:space="preserve">, for </w:t>
            </w:r>
            <w:r w:rsidRPr="00BE5215">
              <w:rPr>
                <w:rFonts w:asciiTheme="majorBidi" w:eastAsia="Times New Roman" w:hAnsiTheme="majorBidi" w:cstheme="majorBidi"/>
                <w:snapToGrid w:val="0"/>
                <w:sz w:val="18"/>
                <w:szCs w:val="18"/>
                <w:lang w:eastAsia="de-DE" w:bidi="en-US"/>
              </w:rPr>
              <w:t>citywide planning and rur</w:t>
            </w:r>
            <w:r>
              <w:rPr>
                <w:rFonts w:asciiTheme="majorBidi" w:eastAsia="Times New Roman" w:hAnsiTheme="majorBidi" w:cstheme="majorBidi"/>
                <w:snapToGrid w:val="0"/>
                <w:sz w:val="18"/>
                <w:szCs w:val="18"/>
                <w:lang w:eastAsia="de-DE" w:bidi="en-US"/>
              </w:rPr>
              <w:t xml:space="preserve">al–urban integration, aiding </w:t>
            </w:r>
            <w:r w:rsidRPr="00BE5215">
              <w:rPr>
                <w:rFonts w:asciiTheme="majorBidi" w:eastAsia="Times New Roman" w:hAnsiTheme="majorBidi" w:cstheme="majorBidi"/>
                <w:snapToGrid w:val="0"/>
                <w:sz w:val="18"/>
                <w:szCs w:val="18"/>
                <w:lang w:eastAsia="de-DE" w:bidi="en-US"/>
              </w:rPr>
              <w:t>decentralization</w:t>
            </w:r>
            <w:r>
              <w:rPr>
                <w:rFonts w:asciiTheme="majorBidi" w:eastAsia="Times New Roman" w:hAnsiTheme="majorBidi" w:cstheme="majorBidi"/>
                <w:snapToGrid w:val="0"/>
                <w:sz w:val="18"/>
                <w:szCs w:val="18"/>
                <w:lang w:eastAsia="de-DE" w:bidi="en-US"/>
              </w:rPr>
              <w:t xml:space="preserve"> of urban industries, and reducing</w:t>
            </w:r>
            <w:r w:rsidRPr="00BE5215">
              <w:rPr>
                <w:rFonts w:asciiTheme="majorBidi" w:eastAsia="Times New Roman" w:hAnsiTheme="majorBidi" w:cstheme="majorBidi"/>
                <w:snapToGrid w:val="0"/>
                <w:sz w:val="18"/>
                <w:szCs w:val="18"/>
                <w:lang w:eastAsia="de-DE" w:bidi="en-US"/>
              </w:rPr>
              <w:t xml:space="preserve"> hurdles for the expansion of urban built-up areas.</w:t>
            </w:r>
          </w:p>
        </w:tc>
        <w:tc>
          <w:tcPr>
            <w:tcW w:w="1843" w:type="dxa"/>
            <w:gridSpan w:val="2"/>
          </w:tcPr>
          <w:p w14:paraId="4D2A5E1D" w14:textId="77777777" w:rsidR="002771B9" w:rsidRPr="00894171" w:rsidRDefault="002771B9" w:rsidP="00BD2F5C">
            <w:pPr>
              <w:adjustRightInd w:val="0"/>
              <w:snapToGrid w:val="0"/>
              <w:spacing w:before="120" w:after="120" w:line="228" w:lineRule="auto"/>
              <w:jc w:val="center"/>
              <w:rPr>
                <w:rFonts w:asciiTheme="majorBidi" w:hAnsiTheme="majorBidi" w:cstheme="majorBidi"/>
                <w:snapToGrid w:val="0"/>
                <w:sz w:val="18"/>
                <w:szCs w:val="18"/>
                <w:lang w:bidi="en-US"/>
              </w:rPr>
            </w:pPr>
            <w:r w:rsidRPr="00EA0CFF">
              <w:rPr>
                <w:rFonts w:asciiTheme="majorBidi" w:hAnsiTheme="majorBidi" w:cstheme="majorBidi"/>
                <w:snapToGrid w:val="0"/>
                <w:sz w:val="18"/>
                <w:szCs w:val="18"/>
                <w:lang w:bidi="en-US"/>
              </w:rPr>
              <w:t>Ma</w:t>
            </w:r>
            <w:r>
              <w:rPr>
                <w:rFonts w:asciiTheme="majorBidi" w:hAnsiTheme="majorBidi" w:cstheme="majorBidi"/>
                <w:snapToGrid w:val="0"/>
                <w:sz w:val="18"/>
                <w:szCs w:val="18"/>
                <w:lang w:bidi="en-US"/>
              </w:rPr>
              <w:t xml:space="preserve"> </w:t>
            </w:r>
            <w:r w:rsidRPr="00EA0CFF">
              <w:rPr>
                <w:rFonts w:asciiTheme="majorBidi" w:hAnsiTheme="majorBidi" w:cstheme="majorBidi"/>
                <w:snapToGrid w:val="0"/>
                <w:sz w:val="18"/>
                <w:szCs w:val="18"/>
                <w:lang w:bidi="en-US"/>
              </w:rPr>
              <w:t xml:space="preserve">(2005). </w:t>
            </w:r>
          </w:p>
        </w:tc>
      </w:tr>
      <w:tr w:rsidR="002771B9" w:rsidRPr="00C86814" w14:paraId="1E83EDE9" w14:textId="77777777" w:rsidTr="00C45C74">
        <w:trPr>
          <w:trHeight w:val="510"/>
        </w:trPr>
        <w:tc>
          <w:tcPr>
            <w:tcW w:w="2694" w:type="dxa"/>
          </w:tcPr>
          <w:p w14:paraId="7FDFF07B"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sidRPr="00894171">
              <w:rPr>
                <w:rFonts w:asciiTheme="majorBidi" w:eastAsiaTheme="minorEastAsia" w:hAnsiTheme="majorBidi" w:cstheme="majorBidi"/>
                <w:snapToGrid w:val="0"/>
                <w:sz w:val="18"/>
                <w:szCs w:val="18"/>
                <w:lang w:bidi="en-US"/>
              </w:rPr>
              <w:t>Policy priority</w:t>
            </w:r>
          </w:p>
        </w:tc>
        <w:tc>
          <w:tcPr>
            <w:tcW w:w="3628" w:type="dxa"/>
          </w:tcPr>
          <w:p w14:paraId="4D199299" w14:textId="77777777" w:rsidR="002771B9" w:rsidRPr="00894171"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hAnsiTheme="majorBidi" w:cstheme="majorBidi"/>
                <w:snapToGrid w:val="0"/>
                <w:sz w:val="18"/>
                <w:szCs w:val="18"/>
                <w:lang w:bidi="en-US"/>
              </w:rPr>
              <w:t xml:space="preserve">Mitigates issues </w:t>
            </w:r>
            <w:r w:rsidRPr="00E275D3">
              <w:rPr>
                <w:rFonts w:asciiTheme="majorBidi" w:hAnsiTheme="majorBidi" w:cstheme="majorBidi"/>
                <w:snapToGrid w:val="0"/>
                <w:sz w:val="18"/>
                <w:szCs w:val="18"/>
                <w:lang w:bidi="en-US"/>
              </w:rPr>
              <w:t>of regionalism in economic policy, balances the spatial distribution of resource</w:t>
            </w:r>
            <w:r>
              <w:rPr>
                <w:rFonts w:asciiTheme="majorBidi" w:hAnsiTheme="majorBidi" w:cstheme="majorBidi"/>
                <w:snapToGrid w:val="0"/>
                <w:sz w:val="18"/>
                <w:szCs w:val="18"/>
                <w:lang w:bidi="en-US"/>
              </w:rPr>
              <w:t>s</w:t>
            </w:r>
            <w:r w:rsidRPr="00E275D3">
              <w:rPr>
                <w:rFonts w:asciiTheme="majorBidi" w:hAnsiTheme="majorBidi" w:cstheme="majorBidi"/>
                <w:snapToGrid w:val="0"/>
                <w:sz w:val="18"/>
                <w:szCs w:val="18"/>
                <w:lang w:bidi="en-US"/>
              </w:rPr>
              <w:t xml:space="preserve"> between municipal districts and counties, and delays city shrinkage</w:t>
            </w:r>
            <w:r>
              <w:rPr>
                <w:rFonts w:asciiTheme="majorBidi" w:hAnsiTheme="majorBidi" w:cstheme="majorBidi"/>
                <w:snapToGrid w:val="0"/>
                <w:sz w:val="18"/>
                <w:szCs w:val="18"/>
                <w:lang w:bidi="en-US"/>
              </w:rPr>
              <w:t>.</w:t>
            </w:r>
          </w:p>
        </w:tc>
        <w:tc>
          <w:tcPr>
            <w:tcW w:w="1843" w:type="dxa"/>
            <w:gridSpan w:val="2"/>
          </w:tcPr>
          <w:p w14:paraId="6919D16B" w14:textId="77777777" w:rsidR="002771B9" w:rsidRPr="00EE33F3" w:rsidRDefault="002771B9" w:rsidP="00BD2F5C">
            <w:pPr>
              <w:adjustRightInd w:val="0"/>
              <w:snapToGrid w:val="0"/>
              <w:spacing w:before="120" w:after="120" w:line="228" w:lineRule="auto"/>
              <w:jc w:val="center"/>
              <w:rPr>
                <w:rFonts w:asciiTheme="majorBidi" w:eastAsiaTheme="minorEastAsia" w:hAnsiTheme="majorBidi" w:cstheme="majorBidi"/>
                <w:snapToGrid w:val="0"/>
                <w:sz w:val="18"/>
                <w:szCs w:val="18"/>
                <w:lang w:val="de-DE" w:bidi="en-US"/>
              </w:rPr>
            </w:pPr>
            <w:r w:rsidRPr="00EE33F3">
              <w:rPr>
                <w:rFonts w:asciiTheme="majorBidi" w:eastAsiaTheme="minorEastAsia" w:hAnsiTheme="majorBidi" w:cstheme="majorBidi" w:hint="eastAsia"/>
                <w:snapToGrid w:val="0"/>
                <w:sz w:val="18"/>
                <w:szCs w:val="18"/>
                <w:lang w:val="de-DE" w:bidi="en-US"/>
              </w:rPr>
              <w:t>C</w:t>
            </w:r>
            <w:r w:rsidRPr="00EE33F3">
              <w:rPr>
                <w:rFonts w:asciiTheme="majorBidi" w:eastAsiaTheme="minorEastAsia" w:hAnsiTheme="majorBidi" w:cstheme="majorBidi"/>
                <w:snapToGrid w:val="0"/>
                <w:sz w:val="18"/>
                <w:szCs w:val="18"/>
                <w:lang w:val="de-DE" w:bidi="en-US"/>
              </w:rPr>
              <w:t xml:space="preserve">hen, Wang &amp; Wang (2020); </w:t>
            </w:r>
            <w:r>
              <w:rPr>
                <w:rFonts w:asciiTheme="majorBidi" w:eastAsiaTheme="minorEastAsia" w:hAnsiTheme="majorBidi" w:cstheme="majorBidi"/>
                <w:snapToGrid w:val="0"/>
                <w:sz w:val="18"/>
                <w:szCs w:val="18"/>
                <w:lang w:val="de-DE" w:bidi="en-US"/>
              </w:rPr>
              <w:t xml:space="preserve">Deng, Feng &amp; </w:t>
            </w:r>
            <w:r w:rsidRPr="00EE33F3">
              <w:rPr>
                <w:rFonts w:asciiTheme="majorBidi" w:eastAsiaTheme="minorEastAsia" w:hAnsiTheme="majorBidi" w:cstheme="majorBidi"/>
                <w:snapToGrid w:val="0"/>
                <w:sz w:val="18"/>
                <w:szCs w:val="18"/>
                <w:lang w:val="de-DE" w:bidi="en-US"/>
              </w:rPr>
              <w:t>Partridge, (2022)</w:t>
            </w:r>
          </w:p>
        </w:tc>
      </w:tr>
      <w:tr w:rsidR="002771B9" w:rsidRPr="00894171" w14:paraId="637625FD" w14:textId="77777777" w:rsidTr="00C45C74">
        <w:tc>
          <w:tcPr>
            <w:tcW w:w="2694" w:type="dxa"/>
            <w:tcBorders>
              <w:bottom w:val="single" w:sz="8" w:space="0" w:color="auto"/>
            </w:tcBorders>
          </w:tcPr>
          <w:p w14:paraId="464AB6AC" w14:textId="77777777" w:rsidR="002771B9" w:rsidRPr="00894171" w:rsidRDefault="002771B9" w:rsidP="00BD2F5C">
            <w:pPr>
              <w:adjustRightInd w:val="0"/>
              <w:snapToGrid w:val="0"/>
              <w:spacing w:before="120" w:after="120" w:line="228" w:lineRule="auto"/>
              <w:rPr>
                <w:rFonts w:asciiTheme="majorBidi" w:eastAsiaTheme="minorEastAsia" w:hAnsiTheme="majorBidi" w:cstheme="majorBidi"/>
                <w:snapToGrid w:val="0"/>
                <w:sz w:val="18"/>
                <w:szCs w:val="18"/>
                <w:lang w:bidi="en-US"/>
              </w:rPr>
            </w:pPr>
            <w:r>
              <w:rPr>
                <w:rFonts w:asciiTheme="majorBidi" w:hAnsiTheme="majorBidi" w:cstheme="majorBidi" w:hint="eastAsia"/>
                <w:snapToGrid w:val="0"/>
                <w:sz w:val="18"/>
                <w:szCs w:val="18"/>
                <w:lang w:bidi="en-US"/>
              </w:rPr>
              <w:t>R</w:t>
            </w:r>
            <w:r>
              <w:rPr>
                <w:rFonts w:asciiTheme="majorBidi" w:hAnsiTheme="majorBidi" w:cstheme="majorBidi"/>
                <w:snapToGrid w:val="0"/>
                <w:sz w:val="18"/>
                <w:szCs w:val="18"/>
                <w:lang w:bidi="en-US"/>
              </w:rPr>
              <w:t>eputation</w:t>
            </w:r>
          </w:p>
        </w:tc>
        <w:tc>
          <w:tcPr>
            <w:tcW w:w="3628" w:type="dxa"/>
            <w:tcBorders>
              <w:bottom w:val="single" w:sz="8" w:space="0" w:color="auto"/>
            </w:tcBorders>
          </w:tcPr>
          <w:p w14:paraId="3B4EB2B6" w14:textId="77777777" w:rsidR="002771B9" w:rsidRPr="003852FE"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imes New Roman" w:hAnsiTheme="majorBidi" w:cstheme="majorBidi"/>
                <w:snapToGrid w:val="0"/>
                <w:sz w:val="18"/>
                <w:szCs w:val="18"/>
                <w:lang w:eastAsia="de-DE" w:bidi="en-US"/>
              </w:rPr>
              <w:t xml:space="preserve">Upgraded </w:t>
            </w:r>
            <w:r w:rsidRPr="003852FE">
              <w:rPr>
                <w:rFonts w:asciiTheme="majorBidi" w:eastAsia="Times New Roman" w:hAnsiTheme="majorBidi" w:cstheme="majorBidi"/>
                <w:snapToGrid w:val="0"/>
                <w:sz w:val="18"/>
                <w:szCs w:val="18"/>
                <w:lang w:eastAsia="de-DE" w:bidi="en-US"/>
              </w:rPr>
              <w:t>status from county to district makes the county more economically connected to the city</w:t>
            </w:r>
            <w:r>
              <w:rPr>
                <w:rFonts w:asciiTheme="majorBidi" w:eastAsia="Times New Roman" w:hAnsiTheme="majorBidi" w:cstheme="majorBidi"/>
                <w:snapToGrid w:val="0"/>
                <w:sz w:val="18"/>
                <w:szCs w:val="18"/>
                <w:lang w:eastAsia="de-DE" w:bidi="en-US"/>
              </w:rPr>
              <w:t>, in sharing reputational benefits</w:t>
            </w:r>
            <w:r w:rsidRPr="003852FE">
              <w:rPr>
                <w:rFonts w:asciiTheme="majorBidi" w:eastAsia="Times New Roman" w:hAnsiTheme="majorBidi" w:cstheme="majorBidi"/>
                <w:snapToGrid w:val="0"/>
                <w:sz w:val="18"/>
                <w:szCs w:val="18"/>
                <w:lang w:eastAsia="de-DE" w:bidi="en-US"/>
              </w:rPr>
              <w:t>.</w:t>
            </w:r>
          </w:p>
        </w:tc>
        <w:tc>
          <w:tcPr>
            <w:tcW w:w="1843" w:type="dxa"/>
            <w:gridSpan w:val="2"/>
            <w:tcBorders>
              <w:bottom w:val="single" w:sz="8" w:space="0" w:color="auto"/>
            </w:tcBorders>
          </w:tcPr>
          <w:p w14:paraId="552ABBDE" w14:textId="77777777" w:rsidR="002771B9" w:rsidRPr="003852FE" w:rsidRDefault="002771B9" w:rsidP="00BD2F5C">
            <w:pPr>
              <w:adjustRightInd w:val="0"/>
              <w:snapToGrid w:val="0"/>
              <w:spacing w:before="120" w:after="120" w:line="228" w:lineRule="auto"/>
              <w:jc w:val="center"/>
              <w:rPr>
                <w:rFonts w:asciiTheme="majorBidi" w:eastAsia="Times New Roman" w:hAnsiTheme="majorBidi" w:cstheme="majorBidi"/>
                <w:snapToGrid w:val="0"/>
                <w:sz w:val="18"/>
                <w:szCs w:val="18"/>
                <w:lang w:eastAsia="de-DE" w:bidi="en-US"/>
              </w:rPr>
            </w:pPr>
            <w:r>
              <w:rPr>
                <w:rFonts w:asciiTheme="majorBidi" w:eastAsia="Times New Roman" w:hAnsiTheme="majorBidi" w:cstheme="majorBidi"/>
                <w:snapToGrid w:val="0"/>
                <w:sz w:val="18"/>
                <w:szCs w:val="18"/>
                <w:lang w:eastAsia="de-DE" w:bidi="en-US"/>
              </w:rPr>
              <w:t xml:space="preserve">Lu &amp; </w:t>
            </w:r>
            <w:r w:rsidRPr="003852FE">
              <w:rPr>
                <w:rFonts w:asciiTheme="majorBidi" w:eastAsia="Times New Roman" w:hAnsiTheme="majorBidi" w:cstheme="majorBidi"/>
                <w:snapToGrid w:val="0"/>
                <w:sz w:val="18"/>
                <w:szCs w:val="18"/>
                <w:lang w:eastAsia="de-DE" w:bidi="en-US"/>
              </w:rPr>
              <w:t>Wang (2023)</w:t>
            </w:r>
          </w:p>
        </w:tc>
      </w:tr>
      <w:tr w:rsidR="002771B9" w:rsidRPr="00894171" w14:paraId="72AEAF43" w14:textId="77777777" w:rsidTr="00C45C74">
        <w:trPr>
          <w:gridAfter w:val="1"/>
          <w:wAfter w:w="85" w:type="dxa"/>
        </w:trPr>
        <w:tc>
          <w:tcPr>
            <w:tcW w:w="8080" w:type="dxa"/>
            <w:gridSpan w:val="3"/>
            <w:tcBorders>
              <w:top w:val="single" w:sz="8" w:space="0" w:color="auto"/>
              <w:bottom w:val="single" w:sz="8" w:space="0" w:color="FFFFFF" w:themeColor="background1"/>
            </w:tcBorders>
          </w:tcPr>
          <w:p w14:paraId="469C3BCB" w14:textId="77777777" w:rsidR="002771B9" w:rsidRPr="00EE33F3" w:rsidRDefault="002771B9" w:rsidP="00BD2F5C">
            <w:pPr>
              <w:adjustRightInd w:val="0"/>
              <w:snapToGrid w:val="0"/>
              <w:spacing w:before="120" w:after="120" w:line="228" w:lineRule="auto"/>
              <w:jc w:val="left"/>
              <w:rPr>
                <w:rFonts w:asciiTheme="majorBidi" w:eastAsiaTheme="minorEastAsia" w:hAnsiTheme="majorBidi" w:cstheme="majorBidi"/>
                <w:snapToGrid w:val="0"/>
                <w:sz w:val="16"/>
                <w:szCs w:val="16"/>
                <w:lang w:bidi="en-US"/>
              </w:rPr>
            </w:pPr>
            <w:r w:rsidRPr="00EE33F3">
              <w:rPr>
                <w:rFonts w:asciiTheme="majorBidi" w:eastAsiaTheme="minorEastAsia" w:hAnsiTheme="majorBidi" w:cstheme="majorBidi"/>
                <w:i/>
                <w:iCs/>
                <w:snapToGrid w:val="0"/>
                <w:sz w:val="16"/>
                <w:szCs w:val="16"/>
                <w:lang w:bidi="en-US"/>
              </w:rPr>
              <w:t>Note</w:t>
            </w:r>
            <w:r w:rsidRPr="00EE33F3">
              <w:rPr>
                <w:rFonts w:asciiTheme="majorBidi" w:eastAsiaTheme="minorEastAsia" w:hAnsiTheme="majorBidi" w:cstheme="majorBidi"/>
                <w:snapToGrid w:val="0"/>
                <w:sz w:val="16"/>
                <w:szCs w:val="16"/>
                <w:lang w:bidi="en-US"/>
              </w:rPr>
              <w:t>: Given the volatility of Chinese policies, the benefits listed here are continuously changing over time, and not all of them are necessarily practiced contemporaneously.</w:t>
            </w:r>
          </w:p>
        </w:tc>
      </w:tr>
    </w:tbl>
    <w:p w14:paraId="302388D1" w14:textId="77777777" w:rsidR="005719C0" w:rsidRPr="005719C0" w:rsidRDefault="005719C0" w:rsidP="00BD2F5C">
      <w:pPr>
        <w:spacing w:before="120" w:after="120" w:line="480" w:lineRule="auto"/>
        <w:rPr>
          <w:bCs/>
          <w:i/>
          <w:iCs/>
          <w:lang w:val="en-AU"/>
        </w:rPr>
      </w:pPr>
      <w:r>
        <w:rPr>
          <w:bCs/>
          <w:i/>
          <w:iCs/>
          <w:lang w:val="en-AU"/>
        </w:rPr>
        <w:lastRenderedPageBreak/>
        <w:t>Pathways to Upgrading</w:t>
      </w:r>
    </w:p>
    <w:p w14:paraId="5E447F62" w14:textId="6ED09FED" w:rsidR="005719C0" w:rsidRDefault="006849CE" w:rsidP="00BD2F5C">
      <w:pPr>
        <w:spacing w:before="120" w:after="120" w:line="360" w:lineRule="auto"/>
        <w:jc w:val="both"/>
        <w:rPr>
          <w:bCs/>
        </w:rPr>
      </w:pPr>
      <w:r>
        <w:rPr>
          <w:bCs/>
          <w:lang w:val="en-AU"/>
        </w:rPr>
        <w:t>The</w:t>
      </w:r>
      <w:r w:rsidR="005719C0">
        <w:rPr>
          <w:bCs/>
          <w:lang w:val="en-AU"/>
        </w:rPr>
        <w:t xml:space="preserve">re are several </w:t>
      </w:r>
      <w:r w:rsidR="00934BE9">
        <w:rPr>
          <w:bCs/>
          <w:lang w:val="en-AU"/>
        </w:rPr>
        <w:t xml:space="preserve">way for </w:t>
      </w:r>
      <w:r w:rsidR="005719C0">
        <w:rPr>
          <w:bCs/>
          <w:lang w:val="en-AU"/>
        </w:rPr>
        <w:t xml:space="preserve">a county </w:t>
      </w:r>
      <w:r w:rsidR="00934BE9">
        <w:rPr>
          <w:bCs/>
          <w:lang w:val="en-AU"/>
        </w:rPr>
        <w:t>to</w:t>
      </w:r>
      <w:r w:rsidR="005719C0">
        <w:rPr>
          <w:bCs/>
          <w:lang w:val="en-AU"/>
        </w:rPr>
        <w:t xml:space="preserve"> be upgraded to become either a county-level city or a district.</w:t>
      </w:r>
      <w:r w:rsidR="00351D8B">
        <w:rPr>
          <w:bCs/>
          <w:lang w:val="en-AU"/>
        </w:rPr>
        <w:t xml:space="preserve"> Some c</w:t>
      </w:r>
      <w:r w:rsidR="001F4B25">
        <w:rPr>
          <w:bCs/>
          <w:lang w:val="en-AU"/>
        </w:rPr>
        <w:t xml:space="preserve">ounties adjacent to existing </w:t>
      </w:r>
      <w:r w:rsidR="00AB5CA6">
        <w:rPr>
          <w:bCs/>
          <w:lang w:val="en-AU"/>
        </w:rPr>
        <w:t xml:space="preserve">big cities are converted to </w:t>
      </w:r>
      <w:r w:rsidR="001F4B25">
        <w:rPr>
          <w:bCs/>
          <w:lang w:val="en-AU"/>
        </w:rPr>
        <w:t>district</w:t>
      </w:r>
      <w:r w:rsidR="00AB5CA6">
        <w:rPr>
          <w:bCs/>
          <w:lang w:val="en-AU"/>
        </w:rPr>
        <w:t>s</w:t>
      </w:r>
      <w:r w:rsidR="00144278">
        <w:rPr>
          <w:bCs/>
          <w:lang w:val="en-AU"/>
        </w:rPr>
        <w:t xml:space="preserve"> </w:t>
      </w:r>
      <w:r w:rsidR="00351D8B">
        <w:rPr>
          <w:bCs/>
          <w:lang w:val="en-AU"/>
        </w:rPr>
        <w:t xml:space="preserve">to aid </w:t>
      </w:r>
      <w:r w:rsidR="001F4B25">
        <w:rPr>
          <w:bCs/>
          <w:lang w:val="en-AU"/>
        </w:rPr>
        <w:t>expansion of the existing urban area and relieve pressure on high</w:t>
      </w:r>
      <w:r w:rsidR="00AE4C3A">
        <w:rPr>
          <w:bCs/>
          <w:lang w:val="en-AU"/>
        </w:rPr>
        <w:t>er</w:t>
      </w:r>
      <w:r w:rsidR="001F4B25">
        <w:rPr>
          <w:bCs/>
          <w:lang w:val="en-AU"/>
        </w:rPr>
        <w:t xml:space="preserve"> density</w:t>
      </w:r>
      <w:r w:rsidR="00144278">
        <w:rPr>
          <w:bCs/>
          <w:lang w:val="en-AU"/>
        </w:rPr>
        <w:t xml:space="preserve"> district</w:t>
      </w:r>
      <w:r w:rsidR="001F4B25">
        <w:rPr>
          <w:bCs/>
          <w:lang w:val="en-AU"/>
        </w:rPr>
        <w:t xml:space="preserve">s nearer </w:t>
      </w:r>
      <w:r w:rsidR="00144278">
        <w:rPr>
          <w:bCs/>
          <w:lang w:val="en-AU"/>
        </w:rPr>
        <w:t xml:space="preserve">to </w:t>
      </w:r>
      <w:r w:rsidR="001F4B25">
        <w:rPr>
          <w:bCs/>
          <w:lang w:val="en-AU"/>
        </w:rPr>
        <w:t xml:space="preserve">the central city. For example, </w:t>
      </w:r>
      <w:r w:rsidR="004D51DE">
        <w:rPr>
          <w:bCs/>
          <w:lang w:val="en-AU"/>
        </w:rPr>
        <w:t>between</w:t>
      </w:r>
      <w:r w:rsidR="00351D8B">
        <w:rPr>
          <w:bCs/>
          <w:lang w:val="en-AU"/>
        </w:rPr>
        <w:t xml:space="preserve"> </w:t>
      </w:r>
      <w:r w:rsidR="004D51DE">
        <w:rPr>
          <w:bCs/>
          <w:lang w:val="en-AU"/>
        </w:rPr>
        <w:t>2001 and 2015</w:t>
      </w:r>
      <w:r w:rsidR="001F4B25">
        <w:rPr>
          <w:bCs/>
          <w:lang w:val="en-AU"/>
        </w:rPr>
        <w:t xml:space="preserve"> five counties on the outskirts of Beijing were </w:t>
      </w:r>
      <w:r w:rsidR="00AB5CA6">
        <w:rPr>
          <w:bCs/>
          <w:lang w:val="en-AU"/>
        </w:rPr>
        <w:t xml:space="preserve">converted </w:t>
      </w:r>
      <w:r w:rsidR="001F4B25">
        <w:rPr>
          <w:bCs/>
          <w:lang w:val="en-AU"/>
        </w:rPr>
        <w:t xml:space="preserve">to districts and one of these (Daxing) subsequently </w:t>
      </w:r>
      <w:r w:rsidR="00144278">
        <w:rPr>
          <w:bCs/>
          <w:lang w:val="en-AU"/>
        </w:rPr>
        <w:t xml:space="preserve">was chosen for </w:t>
      </w:r>
      <w:r w:rsidR="001F4B25">
        <w:rPr>
          <w:bCs/>
          <w:lang w:val="en-AU"/>
        </w:rPr>
        <w:t xml:space="preserve">Beijing’s second international airport. In the neighbouring Tongzhou District, which was a county until 1997, the new Beijing </w:t>
      </w:r>
      <w:r w:rsidR="001F4B25" w:rsidRPr="001F4B25">
        <w:rPr>
          <w:bCs/>
        </w:rPr>
        <w:t>Municipal Administrative Center</w:t>
      </w:r>
      <w:r w:rsidR="001F4B25">
        <w:rPr>
          <w:bCs/>
        </w:rPr>
        <w:t xml:space="preserve"> is being developed by transferring many </w:t>
      </w:r>
      <w:r w:rsidR="00B924EE">
        <w:rPr>
          <w:bCs/>
        </w:rPr>
        <w:t xml:space="preserve">of the </w:t>
      </w:r>
      <w:r w:rsidR="001F4B25">
        <w:rPr>
          <w:bCs/>
        </w:rPr>
        <w:t xml:space="preserve">city government offices out of </w:t>
      </w:r>
      <w:r w:rsidR="00B962C7">
        <w:rPr>
          <w:bCs/>
        </w:rPr>
        <w:t xml:space="preserve">the </w:t>
      </w:r>
      <w:r w:rsidR="001F4B25">
        <w:rPr>
          <w:bCs/>
        </w:rPr>
        <w:t>central</w:t>
      </w:r>
      <w:r w:rsidR="00B962C7">
        <w:rPr>
          <w:bCs/>
        </w:rPr>
        <w:t xml:space="preserve"> city</w:t>
      </w:r>
      <w:r w:rsidR="001F4B25">
        <w:rPr>
          <w:bCs/>
        </w:rPr>
        <w:t xml:space="preserve">, </w:t>
      </w:r>
      <w:r w:rsidR="00B924EE">
        <w:rPr>
          <w:bCs/>
        </w:rPr>
        <w:t xml:space="preserve">along with movements </w:t>
      </w:r>
      <w:r w:rsidR="00351D8B">
        <w:rPr>
          <w:bCs/>
        </w:rPr>
        <w:t xml:space="preserve">of </w:t>
      </w:r>
      <w:r w:rsidR="00B924EE">
        <w:rPr>
          <w:bCs/>
        </w:rPr>
        <w:t xml:space="preserve">the </w:t>
      </w:r>
      <w:r w:rsidR="001F4B25" w:rsidRPr="001F4B25">
        <w:rPr>
          <w:bCs/>
        </w:rPr>
        <w:t xml:space="preserve">headquarters of </w:t>
      </w:r>
      <w:r w:rsidR="00B962C7">
        <w:rPr>
          <w:bCs/>
        </w:rPr>
        <w:t xml:space="preserve">some </w:t>
      </w:r>
      <w:r w:rsidR="001F4B25" w:rsidRPr="001F4B25">
        <w:rPr>
          <w:bCs/>
        </w:rPr>
        <w:t>centrally-administered state-owned enterprises</w:t>
      </w:r>
      <w:r w:rsidR="00B962C7">
        <w:rPr>
          <w:bCs/>
        </w:rPr>
        <w:t>.</w:t>
      </w:r>
    </w:p>
    <w:p w14:paraId="1108C601" w14:textId="77777777" w:rsidR="002771B9" w:rsidRDefault="00B962C7" w:rsidP="00BD2F5C">
      <w:pPr>
        <w:spacing w:before="120" w:after="120" w:line="360" w:lineRule="auto"/>
        <w:ind w:firstLine="720"/>
        <w:jc w:val="both"/>
        <w:rPr>
          <w:bCs/>
        </w:rPr>
      </w:pPr>
      <w:r>
        <w:rPr>
          <w:bCs/>
        </w:rPr>
        <w:t>In less urbanized regions of China, a driving force for the conversion of counties into districts has been</w:t>
      </w:r>
      <w:r w:rsidR="00813AFD">
        <w:rPr>
          <w:bCs/>
        </w:rPr>
        <w:t xml:space="preserve"> the growing territorial coverage of prefectural-level cities (given that there must be at least one district per prefectural-level city). At the time of the 2000 census, </w:t>
      </w:r>
      <w:r w:rsidR="00EF5641">
        <w:rPr>
          <w:bCs/>
        </w:rPr>
        <w:t xml:space="preserve">spatial units at </w:t>
      </w:r>
      <w:r w:rsidR="00813AFD">
        <w:rPr>
          <w:bCs/>
        </w:rPr>
        <w:t>the</w:t>
      </w:r>
      <w:r w:rsidR="00EF5641">
        <w:rPr>
          <w:bCs/>
        </w:rPr>
        <w:t xml:space="preserve"> second subnational </w:t>
      </w:r>
      <w:r w:rsidR="00813AFD">
        <w:rPr>
          <w:bCs/>
        </w:rPr>
        <w:t xml:space="preserve">level </w:t>
      </w:r>
      <w:r w:rsidR="00EF5641">
        <w:rPr>
          <w:bCs/>
        </w:rPr>
        <w:t xml:space="preserve">that were </w:t>
      </w:r>
      <w:r w:rsidR="00813AFD">
        <w:rPr>
          <w:bCs/>
        </w:rPr>
        <w:t>organized in the form of prefectural-level cities covered territ</w:t>
      </w:r>
      <w:r w:rsidR="00DE273C">
        <w:rPr>
          <w:bCs/>
        </w:rPr>
        <w:t>ory that contained just under 87</w:t>
      </w:r>
      <w:r w:rsidR="00813AFD">
        <w:rPr>
          <w:bCs/>
        </w:rPr>
        <w:t xml:space="preserve">% of China’s </w:t>
      </w:r>
      <w:r w:rsidR="00DE273C">
        <w:rPr>
          <w:bCs/>
        </w:rPr>
        <w:t xml:space="preserve">resident </w:t>
      </w:r>
      <w:r w:rsidR="00813AFD">
        <w:rPr>
          <w:bCs/>
        </w:rPr>
        <w:t>population (Figure 2).</w:t>
      </w:r>
      <w:r w:rsidR="00DE273C">
        <w:rPr>
          <w:bCs/>
        </w:rPr>
        <w:t xml:space="preserve"> B</w:t>
      </w:r>
      <w:r w:rsidR="00813AFD">
        <w:rPr>
          <w:bCs/>
        </w:rPr>
        <w:t>y the time of the census in 2020, 94% of China</w:t>
      </w:r>
      <w:r w:rsidR="00DE273C">
        <w:rPr>
          <w:bCs/>
        </w:rPr>
        <w:t xml:space="preserve">’s population resided </w:t>
      </w:r>
      <w:r w:rsidR="00813AFD">
        <w:rPr>
          <w:bCs/>
        </w:rPr>
        <w:t xml:space="preserve">in </w:t>
      </w:r>
      <w:r w:rsidR="00DE273C">
        <w:rPr>
          <w:bCs/>
        </w:rPr>
        <w:t xml:space="preserve">the </w:t>
      </w:r>
      <w:r w:rsidR="00813AFD">
        <w:rPr>
          <w:bCs/>
        </w:rPr>
        <w:t>areas organized as prefectural-level cities, with expansion especially in southwest and northern China. While there are still some physica</w:t>
      </w:r>
      <w:r w:rsidR="00144278">
        <w:rPr>
          <w:bCs/>
        </w:rPr>
        <w:t>lly large areas not organized under</w:t>
      </w:r>
      <w:r w:rsidR="00813AFD">
        <w:rPr>
          <w:bCs/>
        </w:rPr>
        <w:t xml:space="preserve"> prefectural-level cities, as </w:t>
      </w:r>
      <w:r w:rsidR="00144278">
        <w:rPr>
          <w:bCs/>
        </w:rPr>
        <w:t xml:space="preserve">seen </w:t>
      </w:r>
      <w:r w:rsidR="00EF5641">
        <w:rPr>
          <w:bCs/>
        </w:rPr>
        <w:t>in the map</w:t>
      </w:r>
      <w:r w:rsidR="00813AFD">
        <w:rPr>
          <w:bCs/>
        </w:rPr>
        <w:t xml:space="preserve"> in the </w:t>
      </w:r>
      <w:r w:rsidR="00EF5641">
        <w:rPr>
          <w:bCs/>
        </w:rPr>
        <w:t xml:space="preserve">bottom </w:t>
      </w:r>
      <w:r w:rsidR="00813AFD">
        <w:rPr>
          <w:bCs/>
        </w:rPr>
        <w:t xml:space="preserve">panel of Figure 2, these </w:t>
      </w:r>
      <w:r w:rsidR="00934BE9">
        <w:rPr>
          <w:bCs/>
        </w:rPr>
        <w:t xml:space="preserve">large </w:t>
      </w:r>
      <w:r w:rsidR="00813AFD">
        <w:rPr>
          <w:bCs/>
        </w:rPr>
        <w:t>areas (</w:t>
      </w:r>
      <w:r w:rsidR="00934BE9">
        <w:rPr>
          <w:bCs/>
        </w:rPr>
        <w:t xml:space="preserve">especially </w:t>
      </w:r>
      <w:r w:rsidR="00813AFD">
        <w:rPr>
          <w:bCs/>
        </w:rPr>
        <w:t>in Xinjiang) have only a low share of population and economic activity.</w:t>
      </w:r>
    </w:p>
    <w:p w14:paraId="49011193" w14:textId="77777777" w:rsidR="00A65C14" w:rsidRDefault="00A65C14" w:rsidP="00BD2F5C">
      <w:pPr>
        <w:spacing w:before="120" w:after="120" w:line="360" w:lineRule="auto"/>
        <w:ind w:firstLine="720"/>
        <w:jc w:val="both"/>
        <w:rPr>
          <w:bCs/>
        </w:rPr>
      </w:pPr>
    </w:p>
    <w:p w14:paraId="464B0BDC" w14:textId="77777777" w:rsidR="00A65C14" w:rsidRDefault="00A65C14">
      <w:pPr>
        <w:rPr>
          <w:bCs/>
        </w:rPr>
      </w:pPr>
      <w:r>
        <w:rPr>
          <w:bCs/>
        </w:rPr>
        <w:br w:type="page"/>
      </w:r>
    </w:p>
    <w:p w14:paraId="5835A438" w14:textId="5E3F87D6" w:rsidR="002771B9" w:rsidRPr="00CE497C" w:rsidRDefault="002771B9" w:rsidP="00BD2F5C">
      <w:pPr>
        <w:spacing w:before="120" w:after="120" w:line="240" w:lineRule="auto"/>
        <w:jc w:val="center"/>
        <w:rPr>
          <w:b/>
        </w:rPr>
      </w:pPr>
      <w:r w:rsidRPr="00CE497C">
        <w:rPr>
          <w:b/>
        </w:rPr>
        <w:lastRenderedPageBreak/>
        <w:t>Figure 2: The growing spread of prefectural-level cities from 2000 to 2020 in China</w:t>
      </w:r>
    </w:p>
    <w:p w14:paraId="1CE9D8A1" w14:textId="77777777" w:rsidR="002771B9" w:rsidRDefault="002771B9" w:rsidP="00BD2F5C">
      <w:pPr>
        <w:spacing w:before="120" w:after="120" w:line="240" w:lineRule="auto"/>
        <w:jc w:val="center"/>
      </w:pPr>
      <w:r>
        <w:rPr>
          <w:noProof/>
          <w:lang w:eastAsia="zh-CN"/>
        </w:rPr>
        <w:drawing>
          <wp:inline distT="0" distB="0" distL="0" distR="0" wp14:anchorId="714FD95F" wp14:editId="1F52FFF5">
            <wp:extent cx="4176000" cy="4176000"/>
            <wp:effectExtent l="0" t="0" r="0" b="0"/>
            <wp:docPr id="1450525381" name="Picture 145052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fectural2000.tif"/>
                    <pic:cNvPicPr/>
                  </pic:nvPicPr>
                  <pic:blipFill>
                    <a:blip r:embed="rId9">
                      <a:extLst>
                        <a:ext uri="{28A0092B-C50C-407E-A947-70E740481C1C}">
                          <a14:useLocalDpi xmlns:a14="http://schemas.microsoft.com/office/drawing/2010/main" val="0"/>
                        </a:ext>
                      </a:extLst>
                    </a:blip>
                    <a:stretch>
                      <a:fillRect/>
                    </a:stretch>
                  </pic:blipFill>
                  <pic:spPr>
                    <a:xfrm>
                      <a:off x="0" y="0"/>
                      <a:ext cx="4176000" cy="4176000"/>
                    </a:xfrm>
                    <a:prstGeom prst="rect">
                      <a:avLst/>
                    </a:prstGeom>
                  </pic:spPr>
                </pic:pic>
              </a:graphicData>
            </a:graphic>
          </wp:inline>
        </w:drawing>
      </w:r>
    </w:p>
    <w:p w14:paraId="52285BA0" w14:textId="77777777" w:rsidR="002771B9" w:rsidRDefault="002771B9" w:rsidP="00BD2F5C">
      <w:pPr>
        <w:spacing w:before="120" w:after="120" w:line="240" w:lineRule="auto"/>
        <w:jc w:val="center"/>
      </w:pPr>
      <w:r>
        <w:rPr>
          <w:noProof/>
          <w:lang w:eastAsia="zh-CN"/>
        </w:rPr>
        <w:drawing>
          <wp:inline distT="0" distB="0" distL="0" distR="0" wp14:anchorId="4E3229F4" wp14:editId="75804835">
            <wp:extent cx="4176000" cy="4176000"/>
            <wp:effectExtent l="0" t="0" r="0" b="0"/>
            <wp:docPr id="1708993808" name="Picture 170899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fectural2020.tif"/>
                    <pic:cNvPicPr/>
                  </pic:nvPicPr>
                  <pic:blipFill>
                    <a:blip r:embed="rId10">
                      <a:extLst>
                        <a:ext uri="{28A0092B-C50C-407E-A947-70E740481C1C}">
                          <a14:useLocalDpi xmlns:a14="http://schemas.microsoft.com/office/drawing/2010/main" val="0"/>
                        </a:ext>
                      </a:extLst>
                    </a:blip>
                    <a:stretch>
                      <a:fillRect/>
                    </a:stretch>
                  </pic:blipFill>
                  <pic:spPr>
                    <a:xfrm>
                      <a:off x="0" y="0"/>
                      <a:ext cx="4176000" cy="4176000"/>
                    </a:xfrm>
                    <a:prstGeom prst="rect">
                      <a:avLst/>
                    </a:prstGeom>
                  </pic:spPr>
                </pic:pic>
              </a:graphicData>
            </a:graphic>
          </wp:inline>
        </w:drawing>
      </w:r>
    </w:p>
    <w:p w14:paraId="3916C241" w14:textId="4AA67B92" w:rsidR="002771B9" w:rsidRPr="00CE497C" w:rsidRDefault="00813AFD" w:rsidP="00797613">
      <w:pPr>
        <w:spacing w:before="120" w:after="120" w:line="360" w:lineRule="auto"/>
        <w:jc w:val="both"/>
        <w:rPr>
          <w:b/>
          <w:bCs/>
          <w:noProof/>
          <w:lang w:eastAsia="zh-CN"/>
        </w:rPr>
      </w:pPr>
      <w:r>
        <w:rPr>
          <w:bCs/>
        </w:rPr>
        <w:lastRenderedPageBreak/>
        <w:t xml:space="preserve"> </w:t>
      </w:r>
      <w:r w:rsidR="00AE4C3A">
        <w:rPr>
          <w:bCs/>
          <w:lang w:val="en-AU"/>
        </w:rPr>
        <w:tab/>
      </w:r>
      <w:r w:rsidR="002771B9" w:rsidRPr="00CE497C">
        <w:rPr>
          <w:b/>
          <w:bCs/>
          <w:noProof/>
          <w:lang w:eastAsia="zh-CN"/>
        </w:rPr>
        <w:t>Figure 3: County-to-district upgrading in Haidong City, Qinghai Province, China</w:t>
      </w:r>
    </w:p>
    <w:p w14:paraId="3926FEB9" w14:textId="77777777" w:rsidR="002771B9" w:rsidRDefault="002771B9" w:rsidP="00BD2F5C">
      <w:pPr>
        <w:spacing w:before="120" w:after="120"/>
        <w:jc w:val="center"/>
      </w:pPr>
      <w:r>
        <w:rPr>
          <w:rFonts w:hint="eastAsia"/>
          <w:noProof/>
          <w:lang w:eastAsia="zh-CN"/>
        </w:rPr>
        <w:drawing>
          <wp:inline distT="0" distB="0" distL="0" distR="0" wp14:anchorId="13A8E02D" wp14:editId="50ACE827">
            <wp:extent cx="2786400" cy="2786400"/>
            <wp:effectExtent l="0" t="0" r="0" b="0"/>
            <wp:docPr id="1088683075" name="Picture 108868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33973" name="图片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6959" cy="2786959"/>
                    </a:xfrm>
                    <a:prstGeom prst="rect">
                      <a:avLst/>
                    </a:prstGeom>
                  </pic:spPr>
                </pic:pic>
              </a:graphicData>
            </a:graphic>
          </wp:inline>
        </w:drawing>
      </w:r>
    </w:p>
    <w:p w14:paraId="2806C125" w14:textId="77777777" w:rsidR="002771B9" w:rsidRDefault="002771B9" w:rsidP="00BD2F5C">
      <w:pPr>
        <w:spacing w:before="120" w:after="120"/>
        <w:jc w:val="center"/>
      </w:pPr>
      <w:r>
        <w:rPr>
          <w:rFonts w:hint="eastAsia"/>
          <w:noProof/>
          <w:lang w:eastAsia="zh-CN"/>
        </w:rPr>
        <w:drawing>
          <wp:inline distT="0" distB="0" distL="0" distR="0" wp14:anchorId="1452F6CA" wp14:editId="4DD255F5">
            <wp:extent cx="2757600" cy="2757600"/>
            <wp:effectExtent l="0" t="0" r="5080" b="5080"/>
            <wp:docPr id="1768595231" name="Picture 176859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83100" name="图片 197708310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9410" cy="2759410"/>
                    </a:xfrm>
                    <a:prstGeom prst="rect">
                      <a:avLst/>
                    </a:prstGeom>
                  </pic:spPr>
                </pic:pic>
              </a:graphicData>
            </a:graphic>
          </wp:inline>
        </w:drawing>
      </w:r>
    </w:p>
    <w:p w14:paraId="262C7C4A" w14:textId="77777777" w:rsidR="002771B9" w:rsidRDefault="002771B9" w:rsidP="00BD2F5C">
      <w:pPr>
        <w:spacing w:before="120" w:after="120"/>
        <w:jc w:val="center"/>
      </w:pPr>
      <w:r>
        <w:rPr>
          <w:rFonts w:hint="eastAsia"/>
          <w:noProof/>
          <w:lang w:eastAsia="zh-CN"/>
        </w:rPr>
        <w:drawing>
          <wp:inline distT="0" distB="0" distL="0" distR="0" wp14:anchorId="19388926" wp14:editId="28F234EC">
            <wp:extent cx="2779200" cy="2779200"/>
            <wp:effectExtent l="0" t="0" r="2540" b="2540"/>
            <wp:docPr id="1172899734" name="Picture 117289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87913" name="图片 12953879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81561" cy="2781561"/>
                    </a:xfrm>
                    <a:prstGeom prst="rect">
                      <a:avLst/>
                    </a:prstGeom>
                  </pic:spPr>
                </pic:pic>
              </a:graphicData>
            </a:graphic>
          </wp:inline>
        </w:drawing>
      </w:r>
    </w:p>
    <w:p w14:paraId="24CDE7D0" w14:textId="6FDF7830" w:rsidR="00797613" w:rsidRPr="00797613" w:rsidRDefault="00797613" w:rsidP="00797613">
      <w:pPr>
        <w:spacing w:before="120" w:after="120" w:line="360" w:lineRule="auto"/>
        <w:ind w:firstLine="720"/>
        <w:jc w:val="both"/>
        <w:rPr>
          <w:bCs/>
          <w:lang w:val="en-AU"/>
        </w:rPr>
      </w:pPr>
      <w:r>
        <w:rPr>
          <w:bCs/>
          <w:lang w:val="en-AU"/>
        </w:rPr>
        <w:lastRenderedPageBreak/>
        <w:t>A good example of this second pathway comes from Haidong prefectural-level city in Qinghai province, to the east of the provincial capital, Xining. When this prefectural-level city was created in 2013, one of Haidong’s six counties, Ledu, got upgraded to become a district (as prefectural-level cities are required to have at least one district). Two years later, adjacent Ping’an county, which borders Xining to the west, also got upgraded. This sequence is shown in Figure 3, with the administrative status of each of the constituent spatial units in Haidong shown in 2012, 2014, and 2016. The maps also show a non-administrative indicator of urban areas, based on DMSP night-time lights (with red for the brightest areas, orange and green for less bright areas and white for unlit (completely rural) areas).</w:t>
      </w:r>
      <w:r w:rsidRPr="00797613">
        <w:footnoteReference w:id="4"/>
      </w:r>
      <w:r>
        <w:rPr>
          <w:bCs/>
          <w:lang w:val="en-AU"/>
        </w:rPr>
        <w:t xml:space="preserve"> The main urban axis through Haidong is on a slightly tilted east-to-west orientation, along the Huangshui river (a tributary of the Yellow river); a route also used by China’s G6 </w:t>
      </w:r>
      <w:r w:rsidRPr="00797613">
        <w:rPr>
          <w:bCs/>
          <w:lang w:val="en-AU"/>
        </w:rPr>
        <w:t>Beijing–Lhasa Expressway. The upgrading for Ledu and Ping’an reflects this increasing urban activity linked to Xining, 40km to the west. It is also notable that the upgrading of one county was quickly followed by the upgrading of an adjacent one; indicating some non-independence between spatial units.</w:t>
      </w:r>
    </w:p>
    <w:p w14:paraId="45ED9AE8" w14:textId="5124303F" w:rsidR="00AE4C3A" w:rsidRDefault="00723031" w:rsidP="00BD2F5C">
      <w:pPr>
        <w:spacing w:before="120" w:after="120" w:line="360" w:lineRule="auto"/>
        <w:jc w:val="both"/>
        <w:rPr>
          <w:bCs/>
          <w:lang w:val="en-AU"/>
        </w:rPr>
      </w:pPr>
      <w:r>
        <w:rPr>
          <w:bCs/>
          <w:lang w:val="en-AU"/>
        </w:rPr>
        <w:tab/>
        <w:t>The other common type of county upgrading is to county-level city; about 50 counties underwent this type of upgrade in the last two decades, contributing to about one-fifth of the total shown in Figure 1. The county to county-level city conversion had been practiced more widely in the 1980s, when China’s urbanization strategy prioritized the development of small cities. According to the standards in place at the time</w:t>
      </w:r>
      <w:r w:rsidR="00B130DD">
        <w:rPr>
          <w:bCs/>
          <w:lang w:val="en-AU"/>
        </w:rPr>
        <w:t>,</w:t>
      </w:r>
      <w:r>
        <w:rPr>
          <w:bCs/>
          <w:lang w:val="en-AU"/>
        </w:rPr>
        <w:t xml:space="preserve"> almost one-half of all counties met the criteria for conversion </w:t>
      </w:r>
      <w:r w:rsidR="00B130DD">
        <w:rPr>
          <w:bCs/>
          <w:lang w:val="en-AU"/>
        </w:rPr>
        <w:t xml:space="preserve">in terms of their share of non-agricultural </w:t>
      </w:r>
      <w:r w:rsidR="00B130DD">
        <w:rPr>
          <w:bCs/>
          <w:i/>
          <w:iCs/>
          <w:lang w:val="en-AU"/>
        </w:rPr>
        <w:t xml:space="preserve">hukou </w:t>
      </w:r>
      <w:r w:rsidR="00B130DD">
        <w:rPr>
          <w:bCs/>
          <w:lang w:val="en-AU"/>
        </w:rPr>
        <w:t xml:space="preserve">population, economic activity (GDP and industrial output) and local budgetary revenues </w:t>
      </w:r>
      <w:r>
        <w:rPr>
          <w:bCs/>
          <w:lang w:val="en-AU"/>
        </w:rPr>
        <w:t>(Chung and Lam, 2004)</w:t>
      </w:r>
      <w:r w:rsidR="006C6B7A">
        <w:rPr>
          <w:bCs/>
          <w:lang w:val="en-AU"/>
        </w:rPr>
        <w:t>. Yet</w:t>
      </w:r>
      <w:r w:rsidR="00B130DD">
        <w:rPr>
          <w:bCs/>
          <w:lang w:val="en-AU"/>
        </w:rPr>
        <w:t xml:space="preserve"> standards may not </w:t>
      </w:r>
      <w:r w:rsidR="00E54E79">
        <w:rPr>
          <w:bCs/>
          <w:lang w:val="en-AU"/>
        </w:rPr>
        <w:t xml:space="preserve">have </w:t>
      </w:r>
      <w:r w:rsidR="00B130DD">
        <w:rPr>
          <w:bCs/>
          <w:lang w:val="en-AU"/>
        </w:rPr>
        <w:t xml:space="preserve">been uniformly applied </w:t>
      </w:r>
      <w:r w:rsidR="006C6B7A">
        <w:rPr>
          <w:bCs/>
          <w:lang w:val="en-AU"/>
        </w:rPr>
        <w:t xml:space="preserve">given that </w:t>
      </w:r>
      <w:r w:rsidR="00E54E79">
        <w:rPr>
          <w:bCs/>
          <w:lang w:val="en-AU"/>
        </w:rPr>
        <w:t xml:space="preserve">some counties without </w:t>
      </w:r>
      <w:r w:rsidR="00B130DD">
        <w:rPr>
          <w:bCs/>
          <w:lang w:val="en-AU"/>
        </w:rPr>
        <w:t xml:space="preserve">much </w:t>
      </w:r>
      <w:r w:rsidR="00E54E79">
        <w:rPr>
          <w:bCs/>
          <w:lang w:val="en-AU"/>
        </w:rPr>
        <w:t>agglomeration potential still got upgraded (Fan et al, 2012).</w:t>
      </w:r>
      <w:r w:rsidR="00B130DD">
        <w:rPr>
          <w:bCs/>
          <w:lang w:val="en-AU"/>
        </w:rPr>
        <w:t xml:space="preserve"> This type of upgrading then fell out of favour for a decade from the mid-1990s</w:t>
      </w:r>
      <w:r w:rsidR="006C6B7A">
        <w:rPr>
          <w:bCs/>
          <w:lang w:val="en-AU"/>
        </w:rPr>
        <w:t>,</w:t>
      </w:r>
      <w:r w:rsidR="00B130DD">
        <w:rPr>
          <w:bCs/>
          <w:lang w:val="en-AU"/>
        </w:rPr>
        <w:t xml:space="preserve"> as shown clearly in year-by-year counts of upgrade</w:t>
      </w:r>
      <w:r w:rsidR="00AB5CA6">
        <w:rPr>
          <w:bCs/>
          <w:lang w:val="en-AU"/>
        </w:rPr>
        <w:t>s</w:t>
      </w:r>
      <w:r w:rsidR="00B130DD">
        <w:rPr>
          <w:bCs/>
          <w:lang w:val="en-AU"/>
        </w:rPr>
        <w:t xml:space="preserve"> recorded by China’s Ministry of Civil Affairs (see Figure 2, in Tang, 2021).</w:t>
      </w:r>
    </w:p>
    <w:p w14:paraId="475C8C60" w14:textId="77777777" w:rsidR="005719C0" w:rsidRPr="005719C0" w:rsidRDefault="005719C0" w:rsidP="003E7102">
      <w:pPr>
        <w:spacing w:before="160" w:after="120" w:line="360" w:lineRule="auto"/>
        <w:jc w:val="both"/>
        <w:rPr>
          <w:bCs/>
          <w:i/>
          <w:iCs/>
          <w:lang w:val="en-AU"/>
        </w:rPr>
      </w:pPr>
      <w:r>
        <w:rPr>
          <w:bCs/>
          <w:i/>
          <w:iCs/>
          <w:lang w:val="en-AU"/>
        </w:rPr>
        <w:t xml:space="preserve">Prior Research </w:t>
      </w:r>
      <w:r w:rsidR="00B130DD">
        <w:rPr>
          <w:bCs/>
          <w:i/>
          <w:iCs/>
          <w:lang w:val="en-AU"/>
        </w:rPr>
        <w:t xml:space="preserve">Evaluating Effects of County </w:t>
      </w:r>
      <w:r>
        <w:rPr>
          <w:bCs/>
          <w:i/>
          <w:iCs/>
          <w:lang w:val="en-AU"/>
        </w:rPr>
        <w:t>Upgrading</w:t>
      </w:r>
    </w:p>
    <w:p w14:paraId="44820D66" w14:textId="31ADD20B" w:rsidR="002A1D3B" w:rsidRDefault="00D831B0" w:rsidP="003E7102">
      <w:pPr>
        <w:spacing w:before="120" w:after="120" w:line="360" w:lineRule="auto"/>
        <w:jc w:val="both"/>
        <w:rPr>
          <w:bCs/>
          <w:lang w:val="en-AU"/>
        </w:rPr>
      </w:pPr>
      <w:r>
        <w:rPr>
          <w:bCs/>
          <w:lang w:val="en-AU"/>
        </w:rPr>
        <w:t xml:space="preserve">The </w:t>
      </w:r>
      <w:r w:rsidR="00C74544">
        <w:rPr>
          <w:bCs/>
          <w:lang w:val="en-AU"/>
        </w:rPr>
        <w:t xml:space="preserve">economic </w:t>
      </w:r>
      <w:r>
        <w:rPr>
          <w:bCs/>
          <w:lang w:val="en-AU"/>
        </w:rPr>
        <w:t xml:space="preserve">effects of </w:t>
      </w:r>
      <w:r w:rsidR="00934BE9" w:rsidRPr="00934BE9">
        <w:rPr>
          <w:bCs/>
          <w:i/>
          <w:iCs/>
          <w:lang w:val="en-AU"/>
        </w:rPr>
        <w:t>de facto</w:t>
      </w:r>
      <w:r w:rsidR="00934BE9">
        <w:rPr>
          <w:bCs/>
          <w:lang w:val="en-AU"/>
        </w:rPr>
        <w:t xml:space="preserve"> upgrading of </w:t>
      </w:r>
      <w:r>
        <w:rPr>
          <w:bCs/>
          <w:lang w:val="en-AU"/>
        </w:rPr>
        <w:t>counties to county-leve</w:t>
      </w:r>
      <w:r w:rsidR="00934BE9">
        <w:rPr>
          <w:bCs/>
          <w:lang w:val="en-AU"/>
        </w:rPr>
        <w:t>l city</w:t>
      </w:r>
      <w:r>
        <w:rPr>
          <w:bCs/>
          <w:lang w:val="en-AU"/>
        </w:rPr>
        <w:t xml:space="preserve"> or district status </w:t>
      </w:r>
      <w:r w:rsidR="00934BE9">
        <w:rPr>
          <w:bCs/>
          <w:lang w:val="en-AU"/>
        </w:rPr>
        <w:t>has attracted</w:t>
      </w:r>
      <w:r>
        <w:rPr>
          <w:bCs/>
          <w:lang w:val="en-AU"/>
        </w:rPr>
        <w:t xml:space="preserve"> interest from researchers</w:t>
      </w:r>
      <w:r w:rsidR="002A1D3B">
        <w:rPr>
          <w:bCs/>
          <w:lang w:val="en-AU"/>
        </w:rPr>
        <w:t>. The studies in</w:t>
      </w:r>
      <w:r w:rsidR="002A1D3B" w:rsidRPr="002A1D3B">
        <w:rPr>
          <w:bCs/>
          <w:lang w:val="en-AU"/>
        </w:rPr>
        <w:t xml:space="preserve"> this </w:t>
      </w:r>
      <w:r w:rsidR="00934BE9">
        <w:rPr>
          <w:bCs/>
          <w:lang w:val="en-AU"/>
        </w:rPr>
        <w:t>literature apply</w:t>
      </w:r>
      <w:r w:rsidR="002A1D3B">
        <w:rPr>
          <w:bCs/>
          <w:lang w:val="en-AU"/>
        </w:rPr>
        <w:t xml:space="preserve"> </w:t>
      </w:r>
      <w:r w:rsidR="002A1D3B" w:rsidRPr="002A1D3B">
        <w:rPr>
          <w:bCs/>
          <w:lang w:val="en-AU"/>
        </w:rPr>
        <w:t xml:space="preserve">panel data econometric </w:t>
      </w:r>
      <w:r w:rsidR="002A1D3B">
        <w:rPr>
          <w:bCs/>
          <w:lang w:val="en-AU"/>
        </w:rPr>
        <w:t xml:space="preserve">models to </w:t>
      </w:r>
      <w:r w:rsidR="00934BE9">
        <w:rPr>
          <w:bCs/>
          <w:lang w:val="en-AU"/>
        </w:rPr>
        <w:t>various samples (usua</w:t>
      </w:r>
      <w:r w:rsidR="002A1D3B" w:rsidRPr="002A1D3B">
        <w:rPr>
          <w:bCs/>
          <w:lang w:val="en-AU"/>
        </w:rPr>
        <w:t xml:space="preserve">lly </w:t>
      </w:r>
      <w:r w:rsidR="00AB5CA6">
        <w:rPr>
          <w:bCs/>
          <w:lang w:val="en-AU"/>
        </w:rPr>
        <w:t xml:space="preserve">of </w:t>
      </w:r>
      <w:r w:rsidR="002A1D3B" w:rsidRPr="002A1D3B">
        <w:rPr>
          <w:bCs/>
          <w:lang w:val="en-AU"/>
        </w:rPr>
        <w:t>third</w:t>
      </w:r>
      <w:r w:rsidR="00AB5CA6">
        <w:rPr>
          <w:bCs/>
          <w:lang w:val="en-AU"/>
        </w:rPr>
        <w:t>-level spatial units</w:t>
      </w:r>
      <w:r w:rsidR="002A1D3B" w:rsidRPr="002A1D3B">
        <w:rPr>
          <w:bCs/>
          <w:lang w:val="en-AU"/>
        </w:rPr>
        <w:t xml:space="preserve">), to </w:t>
      </w:r>
      <w:r w:rsidR="00AB5CA6">
        <w:rPr>
          <w:bCs/>
          <w:lang w:val="en-AU"/>
        </w:rPr>
        <w:t xml:space="preserve">test if </w:t>
      </w:r>
      <w:r w:rsidR="002A1D3B" w:rsidRPr="002A1D3B">
        <w:rPr>
          <w:bCs/>
          <w:lang w:val="en-AU"/>
        </w:rPr>
        <w:t>there is faster post-upgrading growth in indicators of economic activity</w:t>
      </w:r>
      <w:r w:rsidR="0034762A">
        <w:rPr>
          <w:bCs/>
          <w:lang w:val="en-AU"/>
        </w:rPr>
        <w:t>; typically these studies use</w:t>
      </w:r>
      <w:r w:rsidR="002A1D3B" w:rsidRPr="002A1D3B">
        <w:rPr>
          <w:bCs/>
          <w:lang w:val="en-AU"/>
        </w:rPr>
        <w:t xml:space="preserve"> </w:t>
      </w:r>
      <w:r w:rsidR="002A1D3B" w:rsidRPr="002A1D3B">
        <w:rPr>
          <w:bCs/>
          <w:lang w:val="en-AU"/>
        </w:rPr>
        <w:lastRenderedPageBreak/>
        <w:t xml:space="preserve">local GDP </w:t>
      </w:r>
      <w:r w:rsidR="0034762A">
        <w:rPr>
          <w:bCs/>
          <w:lang w:val="en-AU"/>
        </w:rPr>
        <w:t>as the economic activity indicator but a couple use luminosity</w:t>
      </w:r>
      <w:r w:rsidR="002A1D3B" w:rsidRPr="002A1D3B">
        <w:rPr>
          <w:bCs/>
          <w:lang w:val="en-AU"/>
        </w:rPr>
        <w:t xml:space="preserve">. </w:t>
      </w:r>
      <w:r w:rsidR="002A1D3B">
        <w:rPr>
          <w:bCs/>
          <w:lang w:val="en-AU"/>
        </w:rPr>
        <w:t>Our summary of</w:t>
      </w:r>
      <w:r w:rsidR="002A1D3B" w:rsidRPr="002A1D3B">
        <w:rPr>
          <w:bCs/>
          <w:lang w:val="en-AU"/>
        </w:rPr>
        <w:t xml:space="preserve"> a selection of these studies </w:t>
      </w:r>
      <w:r w:rsidR="002A1D3B">
        <w:rPr>
          <w:bCs/>
          <w:lang w:val="en-AU"/>
        </w:rPr>
        <w:t xml:space="preserve">is </w:t>
      </w:r>
      <w:r w:rsidR="002A1D3B" w:rsidRPr="002A1D3B">
        <w:rPr>
          <w:bCs/>
          <w:lang w:val="en-AU"/>
        </w:rPr>
        <w:t xml:space="preserve">in Table 2, </w:t>
      </w:r>
      <w:r w:rsidR="002A1D3B">
        <w:rPr>
          <w:bCs/>
          <w:lang w:val="en-AU"/>
        </w:rPr>
        <w:t>which also includes</w:t>
      </w:r>
      <w:r w:rsidR="002A1D3B" w:rsidRPr="002A1D3B">
        <w:rPr>
          <w:bCs/>
          <w:lang w:val="en-AU"/>
        </w:rPr>
        <w:t xml:space="preserve"> a few where some of the results are for spatial units at the prefectural level (e.g. Deng et al, 2022) because </w:t>
      </w:r>
      <w:r w:rsidR="00C74544">
        <w:rPr>
          <w:bCs/>
          <w:lang w:val="en-AU"/>
        </w:rPr>
        <w:t xml:space="preserve">of the similarity of </w:t>
      </w:r>
      <w:r w:rsidR="002A1D3B" w:rsidRPr="002A1D3B">
        <w:rPr>
          <w:bCs/>
          <w:lang w:val="en-AU"/>
        </w:rPr>
        <w:t xml:space="preserve">data and methods </w:t>
      </w:r>
      <w:r w:rsidR="002A1D3B">
        <w:rPr>
          <w:bCs/>
          <w:lang w:val="en-AU"/>
        </w:rPr>
        <w:t xml:space="preserve">and </w:t>
      </w:r>
      <w:r w:rsidR="00C74544">
        <w:rPr>
          <w:bCs/>
          <w:lang w:val="en-AU"/>
        </w:rPr>
        <w:t xml:space="preserve">also because </w:t>
      </w:r>
      <w:r w:rsidR="002A1D3B">
        <w:rPr>
          <w:bCs/>
          <w:lang w:val="en-AU"/>
        </w:rPr>
        <w:t>the urbanization processes studied are similar</w:t>
      </w:r>
      <w:r w:rsidR="002A1D3B" w:rsidRPr="002A1D3B">
        <w:rPr>
          <w:bCs/>
          <w:lang w:val="en-AU"/>
        </w:rPr>
        <w:t xml:space="preserve">. </w:t>
      </w:r>
      <w:r w:rsidR="00C74544">
        <w:rPr>
          <w:bCs/>
          <w:lang w:val="en-AU"/>
        </w:rPr>
        <w:t>T</w:t>
      </w:r>
      <w:r w:rsidR="002A1D3B" w:rsidRPr="002A1D3B">
        <w:rPr>
          <w:bCs/>
          <w:lang w:val="en-AU"/>
        </w:rPr>
        <w:t xml:space="preserve">ypically </w:t>
      </w:r>
      <w:r w:rsidR="00DC2BDA">
        <w:rPr>
          <w:bCs/>
          <w:lang w:val="en-AU"/>
        </w:rPr>
        <w:t xml:space="preserve">a </w:t>
      </w:r>
      <w:r w:rsidR="002A1D3B" w:rsidRPr="002A1D3B">
        <w:rPr>
          <w:bCs/>
          <w:lang w:val="en-AU"/>
        </w:rPr>
        <w:t xml:space="preserve">difference-in-differences </w:t>
      </w:r>
      <w:r w:rsidR="00DC2BDA">
        <w:rPr>
          <w:bCs/>
          <w:lang w:val="en-AU"/>
        </w:rPr>
        <w:t xml:space="preserve">framework </w:t>
      </w:r>
      <w:r w:rsidR="00C74544">
        <w:rPr>
          <w:bCs/>
          <w:lang w:val="en-AU"/>
        </w:rPr>
        <w:t xml:space="preserve">is used </w:t>
      </w:r>
      <w:r w:rsidR="002A1D3B" w:rsidRPr="002A1D3B">
        <w:rPr>
          <w:bCs/>
          <w:lang w:val="en-AU"/>
        </w:rPr>
        <w:t>as the non-experimental evaluation approach, given that the counties subject to upgrading are un</w:t>
      </w:r>
      <w:r w:rsidR="00C74544">
        <w:rPr>
          <w:bCs/>
          <w:lang w:val="en-AU"/>
        </w:rPr>
        <w:t>likely to be a random selection</w:t>
      </w:r>
      <w:r w:rsidR="0034762A">
        <w:rPr>
          <w:bCs/>
          <w:lang w:val="en-AU"/>
        </w:rPr>
        <w:t>.</w:t>
      </w:r>
    </w:p>
    <w:p w14:paraId="095F918C" w14:textId="47D1CCBA" w:rsidR="00890E0A" w:rsidRPr="00CE497C" w:rsidRDefault="00890E0A" w:rsidP="00797613">
      <w:pPr>
        <w:rPr>
          <w:rStyle w:val="fontstyle21"/>
          <w:rFonts w:asciiTheme="majorBidi" w:hAnsiTheme="majorBidi" w:cstheme="majorBidi"/>
          <w:b/>
          <w:bCs/>
          <w:sz w:val="24"/>
          <w:szCs w:val="24"/>
        </w:rPr>
      </w:pPr>
      <w:r w:rsidRPr="00CE497C">
        <w:rPr>
          <w:rStyle w:val="fontstyle01"/>
          <w:rFonts w:asciiTheme="majorBidi" w:hAnsiTheme="majorBidi" w:cstheme="majorBidi"/>
          <w:sz w:val="24"/>
          <w:szCs w:val="24"/>
        </w:rPr>
        <w:t>Table 2</w:t>
      </w:r>
      <w:r w:rsidRPr="00CE497C">
        <w:rPr>
          <w:rStyle w:val="fontstyle01"/>
          <w:rFonts w:asciiTheme="majorBidi" w:hAnsiTheme="majorBidi" w:cstheme="majorBidi"/>
          <w:b w:val="0"/>
          <w:bCs w:val="0"/>
          <w:sz w:val="24"/>
          <w:szCs w:val="24"/>
        </w:rPr>
        <w:t xml:space="preserve">. </w:t>
      </w:r>
      <w:r w:rsidRPr="00CE497C">
        <w:rPr>
          <w:rStyle w:val="fontstyle21"/>
          <w:rFonts w:asciiTheme="majorBidi" w:hAnsiTheme="majorBidi" w:cstheme="majorBidi"/>
          <w:b/>
          <w:bCs/>
          <w:sz w:val="24"/>
          <w:szCs w:val="24"/>
        </w:rPr>
        <w:t>Selected studies analysing upgrading of county-level units in China</w:t>
      </w:r>
    </w:p>
    <w:tbl>
      <w:tblPr>
        <w:tblStyle w:val="1"/>
        <w:tblW w:w="978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6"/>
        <w:gridCol w:w="850"/>
        <w:gridCol w:w="1418"/>
        <w:gridCol w:w="1275"/>
        <w:gridCol w:w="1418"/>
        <w:gridCol w:w="1559"/>
        <w:gridCol w:w="1276"/>
      </w:tblGrid>
      <w:tr w:rsidR="00E42EC9" w:rsidRPr="00AF3187" w14:paraId="572CF1E9" w14:textId="77777777" w:rsidTr="00E42EC9">
        <w:tc>
          <w:tcPr>
            <w:tcW w:w="1986" w:type="dxa"/>
            <w:tcBorders>
              <w:top w:val="single" w:sz="8" w:space="0" w:color="auto"/>
              <w:bottom w:val="single" w:sz="4" w:space="0" w:color="auto"/>
            </w:tcBorders>
          </w:tcPr>
          <w:p w14:paraId="325F4D66" w14:textId="77777777" w:rsidR="00890E0A" w:rsidRPr="00AF3187" w:rsidRDefault="00890E0A" w:rsidP="00BD2F5C">
            <w:pPr>
              <w:adjustRightInd w:val="0"/>
              <w:snapToGrid w:val="0"/>
              <w:spacing w:before="120" w:after="120" w:line="228" w:lineRule="auto"/>
              <w:rPr>
                <w:rFonts w:eastAsiaTheme="minorEastAsia"/>
                <w:snapToGrid w:val="0"/>
                <w:sz w:val="18"/>
                <w:szCs w:val="18"/>
                <w:lang w:bidi="en-US"/>
              </w:rPr>
            </w:pPr>
            <w:r>
              <w:rPr>
                <w:rFonts w:eastAsiaTheme="minorEastAsia"/>
                <w:snapToGrid w:val="0"/>
                <w:sz w:val="18"/>
                <w:szCs w:val="18"/>
                <w:lang w:bidi="en-US"/>
              </w:rPr>
              <w:t>A</w:t>
            </w:r>
            <w:r>
              <w:rPr>
                <w:snapToGrid w:val="0"/>
                <w:lang w:bidi="en-US"/>
              </w:rPr>
              <w:t>uthors</w:t>
            </w:r>
          </w:p>
        </w:tc>
        <w:tc>
          <w:tcPr>
            <w:tcW w:w="850" w:type="dxa"/>
            <w:tcBorders>
              <w:top w:val="single" w:sz="8" w:space="0" w:color="auto"/>
              <w:bottom w:val="single" w:sz="4" w:space="0" w:color="auto"/>
            </w:tcBorders>
          </w:tcPr>
          <w:p w14:paraId="0D291BF9" w14:textId="77777777" w:rsidR="00890E0A" w:rsidRPr="00AF3187"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Y</w:t>
            </w:r>
            <w:r>
              <w:rPr>
                <w:rFonts w:eastAsiaTheme="minorEastAsia"/>
                <w:snapToGrid w:val="0"/>
                <w:sz w:val="18"/>
                <w:szCs w:val="18"/>
                <w:lang w:bidi="en-US"/>
              </w:rPr>
              <w:t>ear</w:t>
            </w:r>
          </w:p>
        </w:tc>
        <w:tc>
          <w:tcPr>
            <w:tcW w:w="1418" w:type="dxa"/>
            <w:tcBorders>
              <w:top w:val="single" w:sz="8" w:space="0" w:color="auto"/>
              <w:bottom w:val="single" w:sz="4" w:space="0" w:color="auto"/>
            </w:tcBorders>
          </w:tcPr>
          <w:p w14:paraId="7D22D1BB" w14:textId="77777777" w:rsidR="00890E0A" w:rsidRPr="00A31249"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snapToGrid w:val="0"/>
                <w:sz w:val="18"/>
                <w:szCs w:val="18"/>
                <w:lang w:bidi="en-US"/>
              </w:rPr>
              <w:t>Spatial models used?</w:t>
            </w:r>
          </w:p>
        </w:tc>
        <w:tc>
          <w:tcPr>
            <w:tcW w:w="1275" w:type="dxa"/>
            <w:tcBorders>
              <w:top w:val="single" w:sz="8" w:space="0" w:color="auto"/>
              <w:bottom w:val="single" w:sz="4" w:space="0" w:color="auto"/>
            </w:tcBorders>
          </w:tcPr>
          <w:p w14:paraId="3BD4EE91" w14:textId="77777777" w:rsidR="00890E0A" w:rsidRDefault="00890E0A" w:rsidP="00BD2F5C">
            <w:pPr>
              <w:adjustRightInd w:val="0"/>
              <w:snapToGrid w:val="0"/>
              <w:spacing w:before="120" w:after="120" w:line="228" w:lineRule="auto"/>
              <w:jc w:val="center"/>
              <w:rPr>
                <w:snapToGrid w:val="0"/>
                <w:sz w:val="18"/>
                <w:szCs w:val="18"/>
                <w:lang w:bidi="en-US"/>
              </w:rPr>
            </w:pPr>
            <w:r>
              <w:rPr>
                <w:snapToGrid w:val="0"/>
                <w:sz w:val="18"/>
                <w:szCs w:val="18"/>
                <w:lang w:bidi="en-US"/>
              </w:rPr>
              <w:t>Estimation time period</w:t>
            </w:r>
          </w:p>
        </w:tc>
        <w:tc>
          <w:tcPr>
            <w:tcW w:w="1418" w:type="dxa"/>
            <w:tcBorders>
              <w:top w:val="single" w:sz="8" w:space="0" w:color="auto"/>
              <w:bottom w:val="single" w:sz="4" w:space="0" w:color="auto"/>
            </w:tcBorders>
          </w:tcPr>
          <w:p w14:paraId="72D0FF6C" w14:textId="77777777" w:rsidR="00890E0A" w:rsidRDefault="00890E0A" w:rsidP="00BD2F5C">
            <w:pPr>
              <w:adjustRightInd w:val="0"/>
              <w:snapToGrid w:val="0"/>
              <w:spacing w:before="120" w:after="120" w:line="228" w:lineRule="auto"/>
              <w:jc w:val="center"/>
              <w:rPr>
                <w:snapToGrid w:val="0"/>
                <w:sz w:val="18"/>
                <w:szCs w:val="18"/>
                <w:lang w:bidi="en-US"/>
              </w:rPr>
            </w:pPr>
            <w:r>
              <w:rPr>
                <w:snapToGrid w:val="0"/>
                <w:sz w:val="18"/>
                <w:szCs w:val="18"/>
                <w:lang w:bidi="en-US"/>
              </w:rPr>
              <w:t>Spatial units used</w:t>
            </w:r>
          </w:p>
        </w:tc>
        <w:tc>
          <w:tcPr>
            <w:tcW w:w="1559" w:type="dxa"/>
            <w:tcBorders>
              <w:top w:val="single" w:sz="8" w:space="0" w:color="auto"/>
              <w:bottom w:val="single" w:sz="4" w:space="0" w:color="auto"/>
            </w:tcBorders>
          </w:tcPr>
          <w:p w14:paraId="56E3CEC4" w14:textId="77777777" w:rsidR="00890E0A" w:rsidRDefault="00890E0A" w:rsidP="00BD2F5C">
            <w:pPr>
              <w:adjustRightInd w:val="0"/>
              <w:snapToGrid w:val="0"/>
              <w:spacing w:before="120" w:after="120" w:line="228" w:lineRule="auto"/>
              <w:jc w:val="center"/>
              <w:rPr>
                <w:snapToGrid w:val="0"/>
                <w:sz w:val="18"/>
                <w:szCs w:val="18"/>
                <w:lang w:bidi="en-US"/>
              </w:rPr>
            </w:pPr>
            <w:r>
              <w:rPr>
                <w:snapToGrid w:val="0"/>
                <w:sz w:val="18"/>
                <w:szCs w:val="18"/>
                <w:lang w:bidi="en-US"/>
              </w:rPr>
              <w:t>Treatment variable period</w:t>
            </w:r>
          </w:p>
        </w:tc>
        <w:tc>
          <w:tcPr>
            <w:tcW w:w="1276" w:type="dxa"/>
            <w:tcBorders>
              <w:top w:val="single" w:sz="8" w:space="0" w:color="auto"/>
              <w:bottom w:val="single" w:sz="4" w:space="0" w:color="auto"/>
            </w:tcBorders>
          </w:tcPr>
          <w:p w14:paraId="7C800AD8"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D</w:t>
            </w:r>
            <w:r>
              <w:rPr>
                <w:snapToGrid w:val="0"/>
                <w:sz w:val="18"/>
                <w:szCs w:val="18"/>
                <w:lang w:bidi="en-US"/>
              </w:rPr>
              <w:t>ata source</w:t>
            </w:r>
          </w:p>
        </w:tc>
      </w:tr>
      <w:tr w:rsidR="00E42EC9" w:rsidRPr="00AF3187" w14:paraId="25AB6834" w14:textId="77777777" w:rsidTr="00E42EC9">
        <w:trPr>
          <w:trHeight w:val="454"/>
        </w:trPr>
        <w:tc>
          <w:tcPr>
            <w:tcW w:w="1986" w:type="dxa"/>
            <w:tcBorders>
              <w:top w:val="single" w:sz="4" w:space="0" w:color="auto"/>
            </w:tcBorders>
          </w:tcPr>
          <w:p w14:paraId="724951C8" w14:textId="77777777" w:rsidR="00890E0A" w:rsidRPr="00AF3187" w:rsidRDefault="00890E0A" w:rsidP="00BD2F5C">
            <w:pPr>
              <w:adjustRightInd w:val="0"/>
              <w:snapToGrid w:val="0"/>
              <w:spacing w:before="120" w:after="120" w:line="228" w:lineRule="auto"/>
              <w:jc w:val="left"/>
              <w:rPr>
                <w:rFonts w:eastAsiaTheme="minorEastAsia"/>
                <w:snapToGrid w:val="0"/>
                <w:sz w:val="18"/>
                <w:szCs w:val="18"/>
                <w:lang w:bidi="en-US"/>
              </w:rPr>
            </w:pPr>
            <w:r w:rsidRPr="00B84545">
              <w:rPr>
                <w:rFonts w:eastAsiaTheme="minorEastAsia"/>
                <w:snapToGrid w:val="0"/>
                <w:sz w:val="18"/>
                <w:szCs w:val="18"/>
                <w:lang w:bidi="en-US"/>
              </w:rPr>
              <w:t>Deng, Feng &amp; Partridge</w:t>
            </w:r>
          </w:p>
        </w:tc>
        <w:tc>
          <w:tcPr>
            <w:tcW w:w="850" w:type="dxa"/>
            <w:tcBorders>
              <w:top w:val="single" w:sz="4" w:space="0" w:color="auto"/>
            </w:tcBorders>
          </w:tcPr>
          <w:p w14:paraId="01D35335" w14:textId="77777777" w:rsidR="00890E0A" w:rsidRPr="00AF3187"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2</w:t>
            </w:r>
            <w:r>
              <w:rPr>
                <w:rFonts w:eastAsiaTheme="minorEastAsia"/>
                <w:snapToGrid w:val="0"/>
                <w:sz w:val="18"/>
                <w:szCs w:val="18"/>
                <w:lang w:bidi="en-US"/>
              </w:rPr>
              <w:t>022</w:t>
            </w:r>
          </w:p>
        </w:tc>
        <w:tc>
          <w:tcPr>
            <w:tcW w:w="1418" w:type="dxa"/>
            <w:tcBorders>
              <w:top w:val="single" w:sz="4" w:space="0" w:color="auto"/>
            </w:tcBorders>
          </w:tcPr>
          <w:p w14:paraId="232BBAF3" w14:textId="77777777" w:rsidR="00890E0A" w:rsidRPr="00475DA6"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N</w:t>
            </w:r>
            <w:r>
              <w:rPr>
                <w:rFonts w:eastAsiaTheme="minorEastAsia"/>
                <w:snapToGrid w:val="0"/>
                <w:sz w:val="18"/>
                <w:szCs w:val="18"/>
                <w:lang w:bidi="en-US"/>
              </w:rPr>
              <w:t>o</w:t>
            </w:r>
          </w:p>
        </w:tc>
        <w:tc>
          <w:tcPr>
            <w:tcW w:w="1275" w:type="dxa"/>
            <w:tcBorders>
              <w:top w:val="single" w:sz="4" w:space="0" w:color="auto"/>
            </w:tcBorders>
          </w:tcPr>
          <w:p w14:paraId="5FAFB393" w14:textId="77777777" w:rsidR="00890E0A" w:rsidRPr="00361F22"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997-2016</w:t>
            </w:r>
          </w:p>
        </w:tc>
        <w:tc>
          <w:tcPr>
            <w:tcW w:w="1418" w:type="dxa"/>
            <w:tcBorders>
              <w:top w:val="single" w:sz="4" w:space="0" w:color="auto"/>
            </w:tcBorders>
          </w:tcPr>
          <w:p w14:paraId="72890131" w14:textId="77777777" w:rsidR="00890E0A" w:rsidRPr="0033664D"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137 counties</w:t>
            </w:r>
          </w:p>
        </w:tc>
        <w:tc>
          <w:tcPr>
            <w:tcW w:w="1559" w:type="dxa"/>
            <w:tcBorders>
              <w:top w:val="single" w:sz="4" w:space="0" w:color="auto"/>
            </w:tcBorders>
          </w:tcPr>
          <w:p w14:paraId="0CFF9922" w14:textId="77777777" w:rsidR="00890E0A" w:rsidRPr="00A31249" w:rsidRDefault="00890E0A" w:rsidP="00BD2F5C">
            <w:pPr>
              <w:adjustRightInd w:val="0"/>
              <w:snapToGrid w:val="0"/>
              <w:spacing w:before="120" w:after="120" w:line="228" w:lineRule="auto"/>
              <w:jc w:val="center"/>
              <w:rPr>
                <w:rFonts w:eastAsia="Times New Roman"/>
                <w:snapToGrid w:val="0"/>
                <w:sz w:val="18"/>
                <w:szCs w:val="18"/>
                <w:lang w:eastAsia="de-DE" w:bidi="en-US"/>
              </w:rPr>
            </w:pPr>
            <w:r>
              <w:rPr>
                <w:rFonts w:eastAsiaTheme="minorEastAsia" w:hint="eastAsia"/>
                <w:snapToGrid w:val="0"/>
                <w:sz w:val="18"/>
                <w:szCs w:val="18"/>
                <w:lang w:bidi="en-US"/>
              </w:rPr>
              <w:t>2</w:t>
            </w:r>
            <w:r>
              <w:rPr>
                <w:rFonts w:eastAsiaTheme="minorEastAsia"/>
                <w:snapToGrid w:val="0"/>
                <w:sz w:val="18"/>
                <w:szCs w:val="18"/>
                <w:lang w:bidi="en-US"/>
              </w:rPr>
              <w:t>000-2006</w:t>
            </w:r>
          </w:p>
        </w:tc>
        <w:tc>
          <w:tcPr>
            <w:tcW w:w="1276" w:type="dxa"/>
            <w:tcBorders>
              <w:top w:val="single" w:sz="4" w:space="0" w:color="auto"/>
            </w:tcBorders>
          </w:tcPr>
          <w:p w14:paraId="44A26938" w14:textId="77777777" w:rsidR="00890E0A" w:rsidRPr="00DE59E7"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G</w:t>
            </w:r>
            <w:r>
              <w:rPr>
                <w:rFonts w:eastAsiaTheme="minorEastAsia"/>
                <w:snapToGrid w:val="0"/>
                <w:sz w:val="18"/>
                <w:szCs w:val="18"/>
                <w:lang w:bidi="en-US"/>
              </w:rPr>
              <w:t>DP per capita</w:t>
            </w:r>
          </w:p>
        </w:tc>
      </w:tr>
      <w:tr w:rsidR="00E42EC9" w:rsidRPr="00AF3187" w14:paraId="35715B54" w14:textId="77777777" w:rsidTr="00E42EC9">
        <w:trPr>
          <w:trHeight w:val="454"/>
        </w:trPr>
        <w:tc>
          <w:tcPr>
            <w:tcW w:w="1986" w:type="dxa"/>
          </w:tcPr>
          <w:p w14:paraId="3BC96B15" w14:textId="77777777" w:rsidR="00890E0A" w:rsidRPr="00AF3187" w:rsidRDefault="00890E0A" w:rsidP="00BD2F5C">
            <w:pPr>
              <w:adjustRightInd w:val="0"/>
              <w:snapToGrid w:val="0"/>
              <w:spacing w:before="120" w:after="120" w:line="228" w:lineRule="auto"/>
              <w:jc w:val="left"/>
              <w:rPr>
                <w:rFonts w:eastAsiaTheme="minorEastAsia"/>
                <w:snapToGrid w:val="0"/>
                <w:sz w:val="18"/>
                <w:szCs w:val="18"/>
                <w:lang w:bidi="en-US"/>
              </w:rPr>
            </w:pPr>
            <w:r>
              <w:rPr>
                <w:rFonts w:hint="eastAsia"/>
                <w:snapToGrid w:val="0"/>
                <w:sz w:val="18"/>
                <w:szCs w:val="18"/>
                <w:lang w:bidi="en-US"/>
              </w:rPr>
              <w:t>H</w:t>
            </w:r>
            <w:r>
              <w:rPr>
                <w:snapToGrid w:val="0"/>
                <w:sz w:val="18"/>
                <w:szCs w:val="18"/>
                <w:lang w:bidi="en-US"/>
              </w:rPr>
              <w:t>e</w:t>
            </w:r>
          </w:p>
        </w:tc>
        <w:tc>
          <w:tcPr>
            <w:tcW w:w="850" w:type="dxa"/>
          </w:tcPr>
          <w:p w14:paraId="391DD674" w14:textId="77777777" w:rsidR="00890E0A" w:rsidRPr="00AF3187"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2</w:t>
            </w:r>
            <w:r>
              <w:rPr>
                <w:snapToGrid w:val="0"/>
                <w:sz w:val="18"/>
                <w:szCs w:val="18"/>
                <w:lang w:bidi="en-US"/>
              </w:rPr>
              <w:t>022</w:t>
            </w:r>
          </w:p>
        </w:tc>
        <w:tc>
          <w:tcPr>
            <w:tcW w:w="1418" w:type="dxa"/>
          </w:tcPr>
          <w:p w14:paraId="48B8E11A" w14:textId="77777777" w:rsidR="00890E0A" w:rsidRPr="00003668"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77A08ECA" w14:textId="77777777" w:rsidR="00890E0A" w:rsidRPr="007028CD"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1</w:t>
            </w:r>
            <w:r>
              <w:rPr>
                <w:snapToGrid w:val="0"/>
                <w:sz w:val="18"/>
                <w:szCs w:val="18"/>
                <w:lang w:bidi="en-US"/>
              </w:rPr>
              <w:t>999-2018</w:t>
            </w:r>
          </w:p>
        </w:tc>
        <w:tc>
          <w:tcPr>
            <w:tcW w:w="1418" w:type="dxa"/>
          </w:tcPr>
          <w:p w14:paraId="6592CE3F" w14:textId="77777777" w:rsidR="00890E0A" w:rsidRPr="00B53EA3"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1</w:t>
            </w:r>
            <w:r>
              <w:rPr>
                <w:snapToGrid w:val="0"/>
                <w:sz w:val="18"/>
                <w:szCs w:val="18"/>
                <w:lang w:bidi="en-US"/>
              </w:rPr>
              <w:t>53 units</w:t>
            </w:r>
          </w:p>
        </w:tc>
        <w:tc>
          <w:tcPr>
            <w:tcW w:w="1559" w:type="dxa"/>
          </w:tcPr>
          <w:p w14:paraId="4BFF3242" w14:textId="77777777" w:rsidR="00890E0A" w:rsidRPr="00ED67AB"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2</w:t>
            </w:r>
            <w:r>
              <w:rPr>
                <w:snapToGrid w:val="0"/>
                <w:sz w:val="18"/>
                <w:szCs w:val="18"/>
                <w:lang w:bidi="en-US"/>
              </w:rPr>
              <w:t>003-2018</w:t>
            </w:r>
          </w:p>
        </w:tc>
        <w:tc>
          <w:tcPr>
            <w:tcW w:w="1276" w:type="dxa"/>
          </w:tcPr>
          <w:p w14:paraId="1837F2FC" w14:textId="77777777" w:rsidR="00890E0A" w:rsidRPr="00B53EA3" w:rsidRDefault="00890E0A" w:rsidP="00BD2F5C">
            <w:pPr>
              <w:adjustRightInd w:val="0"/>
              <w:snapToGrid w:val="0"/>
              <w:spacing w:before="120" w:after="120" w:line="228" w:lineRule="auto"/>
              <w:jc w:val="center"/>
              <w:rPr>
                <w:rFonts w:eastAsiaTheme="minorEastAsia"/>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6DB7A08F" w14:textId="77777777" w:rsidTr="00E42EC9">
        <w:trPr>
          <w:trHeight w:val="454"/>
        </w:trPr>
        <w:tc>
          <w:tcPr>
            <w:tcW w:w="1986" w:type="dxa"/>
          </w:tcPr>
          <w:p w14:paraId="58C97EAE" w14:textId="77777777" w:rsidR="00890E0A" w:rsidRPr="006D77DD" w:rsidRDefault="00890E0A" w:rsidP="00BD2F5C">
            <w:pPr>
              <w:adjustRightInd w:val="0"/>
              <w:snapToGrid w:val="0"/>
              <w:spacing w:before="120" w:after="120" w:line="228" w:lineRule="auto"/>
              <w:jc w:val="left"/>
              <w:rPr>
                <w:snapToGrid w:val="0"/>
                <w:sz w:val="18"/>
                <w:szCs w:val="18"/>
                <w:lang w:bidi="en-US"/>
              </w:rPr>
            </w:pPr>
            <w:r>
              <w:rPr>
                <w:rFonts w:hint="eastAsia"/>
                <w:snapToGrid w:val="0"/>
                <w:sz w:val="18"/>
                <w:szCs w:val="18"/>
                <w:lang w:bidi="en-US"/>
              </w:rPr>
              <w:t>J</w:t>
            </w:r>
            <w:r>
              <w:rPr>
                <w:snapToGrid w:val="0"/>
                <w:sz w:val="18"/>
                <w:szCs w:val="18"/>
                <w:lang w:bidi="en-US"/>
              </w:rPr>
              <w:t>iang et al.</w:t>
            </w:r>
          </w:p>
        </w:tc>
        <w:tc>
          <w:tcPr>
            <w:tcW w:w="850" w:type="dxa"/>
          </w:tcPr>
          <w:p w14:paraId="450DB8E5"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022</w:t>
            </w:r>
          </w:p>
        </w:tc>
        <w:tc>
          <w:tcPr>
            <w:tcW w:w="1418" w:type="dxa"/>
          </w:tcPr>
          <w:p w14:paraId="3A7B014F"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1BEDFE8E"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003-2018</w:t>
            </w:r>
          </w:p>
        </w:tc>
        <w:tc>
          <w:tcPr>
            <w:tcW w:w="1418" w:type="dxa"/>
          </w:tcPr>
          <w:p w14:paraId="144B52AC" w14:textId="77777777" w:rsidR="00890E0A" w:rsidRPr="00D96354"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83 units</w:t>
            </w:r>
          </w:p>
        </w:tc>
        <w:tc>
          <w:tcPr>
            <w:tcW w:w="1559" w:type="dxa"/>
          </w:tcPr>
          <w:p w14:paraId="28AF5618"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003-2018</w:t>
            </w:r>
          </w:p>
        </w:tc>
        <w:tc>
          <w:tcPr>
            <w:tcW w:w="1276" w:type="dxa"/>
          </w:tcPr>
          <w:p w14:paraId="6986A6BD"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22CC5088" w14:textId="77777777" w:rsidTr="00E42EC9">
        <w:trPr>
          <w:trHeight w:val="454"/>
        </w:trPr>
        <w:tc>
          <w:tcPr>
            <w:tcW w:w="1986" w:type="dxa"/>
          </w:tcPr>
          <w:p w14:paraId="3897907A" w14:textId="77777777" w:rsidR="00890E0A" w:rsidRPr="00AF3187" w:rsidRDefault="00890E0A" w:rsidP="00BD2F5C">
            <w:pPr>
              <w:adjustRightInd w:val="0"/>
              <w:snapToGrid w:val="0"/>
              <w:spacing w:before="120" w:after="120" w:line="228" w:lineRule="auto"/>
              <w:jc w:val="left"/>
              <w:rPr>
                <w:rFonts w:eastAsiaTheme="minorEastAsia"/>
                <w:snapToGrid w:val="0"/>
                <w:sz w:val="18"/>
                <w:szCs w:val="18"/>
                <w:lang w:bidi="en-US"/>
              </w:rPr>
            </w:pPr>
            <w:r w:rsidRPr="006D77DD">
              <w:rPr>
                <w:rFonts w:eastAsiaTheme="minorEastAsia"/>
                <w:snapToGrid w:val="0"/>
                <w:sz w:val="18"/>
                <w:szCs w:val="18"/>
                <w:lang w:bidi="en-US"/>
              </w:rPr>
              <w:t>Zeng</w:t>
            </w:r>
            <w:r>
              <w:rPr>
                <w:rFonts w:eastAsiaTheme="minorEastAsia"/>
                <w:snapToGrid w:val="0"/>
                <w:sz w:val="18"/>
                <w:szCs w:val="18"/>
                <w:lang w:bidi="en-US"/>
              </w:rPr>
              <w:t xml:space="preserve"> </w:t>
            </w:r>
            <w:r>
              <w:rPr>
                <w:rFonts w:eastAsiaTheme="minorEastAsia" w:hint="eastAsia"/>
                <w:snapToGrid w:val="0"/>
                <w:sz w:val="18"/>
                <w:szCs w:val="18"/>
                <w:lang w:bidi="en-US"/>
              </w:rPr>
              <w:t>&amp;</w:t>
            </w:r>
            <w:r>
              <w:rPr>
                <w:rFonts w:eastAsiaTheme="minorEastAsia"/>
                <w:snapToGrid w:val="0"/>
                <w:sz w:val="18"/>
                <w:szCs w:val="18"/>
                <w:lang w:bidi="en-US"/>
              </w:rPr>
              <w:t xml:space="preserve"> You</w:t>
            </w:r>
            <w:r w:rsidRPr="006D77DD">
              <w:rPr>
                <w:rFonts w:eastAsiaTheme="minorEastAsia"/>
                <w:snapToGrid w:val="0"/>
                <w:sz w:val="18"/>
                <w:szCs w:val="18"/>
                <w:lang w:bidi="en-US"/>
              </w:rPr>
              <w:t xml:space="preserve"> </w:t>
            </w:r>
          </w:p>
        </w:tc>
        <w:tc>
          <w:tcPr>
            <w:tcW w:w="850" w:type="dxa"/>
          </w:tcPr>
          <w:p w14:paraId="298E5BFB" w14:textId="77777777" w:rsidR="00890E0A" w:rsidRPr="00AF3187" w:rsidRDefault="00890E0A" w:rsidP="00BD2F5C">
            <w:pPr>
              <w:adjustRightInd w:val="0"/>
              <w:snapToGrid w:val="0"/>
              <w:spacing w:before="120" w:after="120" w:line="228" w:lineRule="auto"/>
              <w:jc w:val="center"/>
              <w:rPr>
                <w:rFonts w:eastAsiaTheme="minorEastAsia"/>
                <w:snapToGrid w:val="0"/>
                <w:sz w:val="18"/>
                <w:szCs w:val="18"/>
                <w:lang w:bidi="en-US"/>
              </w:rPr>
            </w:pPr>
            <w:r w:rsidRPr="001C2730">
              <w:rPr>
                <w:rFonts w:eastAsiaTheme="minorEastAsia" w:hint="eastAsia"/>
                <w:snapToGrid w:val="0"/>
                <w:sz w:val="18"/>
                <w:szCs w:val="18"/>
                <w:lang w:bidi="en-US"/>
              </w:rPr>
              <w:t>2022</w:t>
            </w:r>
          </w:p>
        </w:tc>
        <w:tc>
          <w:tcPr>
            <w:tcW w:w="1418" w:type="dxa"/>
          </w:tcPr>
          <w:p w14:paraId="556B86D9" w14:textId="77777777" w:rsidR="00890E0A" w:rsidRPr="00646AD5"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No</w:t>
            </w:r>
          </w:p>
        </w:tc>
        <w:tc>
          <w:tcPr>
            <w:tcW w:w="1275" w:type="dxa"/>
          </w:tcPr>
          <w:p w14:paraId="1921046E" w14:textId="77777777" w:rsidR="00890E0A" w:rsidRPr="00D70DD9"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990-2018</w:t>
            </w:r>
          </w:p>
        </w:tc>
        <w:tc>
          <w:tcPr>
            <w:tcW w:w="1418" w:type="dxa"/>
          </w:tcPr>
          <w:p w14:paraId="22B3C262" w14:textId="77777777" w:rsidR="00890E0A" w:rsidRPr="00A31249" w:rsidRDefault="00890E0A" w:rsidP="00BD2F5C">
            <w:pPr>
              <w:adjustRightInd w:val="0"/>
              <w:snapToGrid w:val="0"/>
              <w:spacing w:before="120" w:after="120" w:line="228" w:lineRule="auto"/>
              <w:jc w:val="center"/>
              <w:rPr>
                <w:rFonts w:eastAsia="Times New Roman"/>
                <w:snapToGrid w:val="0"/>
                <w:sz w:val="18"/>
                <w:szCs w:val="18"/>
                <w:lang w:eastAsia="de-DE" w:bidi="en-US"/>
              </w:rPr>
            </w:pPr>
            <w:r w:rsidRPr="00D96354">
              <w:rPr>
                <w:rFonts w:eastAsiaTheme="minorEastAsia"/>
                <w:snapToGrid w:val="0"/>
                <w:sz w:val="18"/>
                <w:szCs w:val="18"/>
                <w:lang w:bidi="en-US"/>
              </w:rPr>
              <w:t>2013 county-level units</w:t>
            </w:r>
          </w:p>
        </w:tc>
        <w:tc>
          <w:tcPr>
            <w:tcW w:w="1559" w:type="dxa"/>
          </w:tcPr>
          <w:p w14:paraId="6534FBF2" w14:textId="77777777" w:rsidR="00890E0A" w:rsidRPr="00B168B6"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2005-2018</w:t>
            </w:r>
          </w:p>
        </w:tc>
        <w:tc>
          <w:tcPr>
            <w:tcW w:w="1276" w:type="dxa"/>
          </w:tcPr>
          <w:p w14:paraId="3CB264A8" w14:textId="77777777" w:rsidR="00890E0A" w:rsidRPr="00A31249" w:rsidRDefault="00890E0A" w:rsidP="00BD2F5C">
            <w:pPr>
              <w:adjustRightInd w:val="0"/>
              <w:snapToGrid w:val="0"/>
              <w:spacing w:before="120" w:after="120" w:line="228" w:lineRule="auto"/>
              <w:jc w:val="center"/>
              <w:rPr>
                <w:rFonts w:eastAsia="Times New Roman"/>
                <w:snapToGrid w:val="0"/>
                <w:sz w:val="18"/>
                <w:szCs w:val="18"/>
                <w:lang w:eastAsia="de-DE" w:bidi="en-US"/>
              </w:rPr>
            </w:pPr>
            <w:r>
              <w:rPr>
                <w:rFonts w:eastAsiaTheme="minorEastAsia" w:hint="eastAsia"/>
                <w:snapToGrid w:val="0"/>
                <w:sz w:val="18"/>
                <w:szCs w:val="18"/>
                <w:lang w:bidi="en-US"/>
              </w:rPr>
              <w:t>G</w:t>
            </w:r>
            <w:r>
              <w:rPr>
                <w:rFonts w:eastAsiaTheme="minorEastAsia"/>
                <w:snapToGrid w:val="0"/>
                <w:sz w:val="18"/>
                <w:szCs w:val="18"/>
                <w:lang w:bidi="en-US"/>
              </w:rPr>
              <w:t>DP</w:t>
            </w:r>
          </w:p>
        </w:tc>
      </w:tr>
      <w:tr w:rsidR="00E42EC9" w:rsidRPr="00AF3187" w14:paraId="33AF4993" w14:textId="77777777" w:rsidTr="00E42EC9">
        <w:trPr>
          <w:trHeight w:val="454"/>
        </w:trPr>
        <w:tc>
          <w:tcPr>
            <w:tcW w:w="1986" w:type="dxa"/>
          </w:tcPr>
          <w:p w14:paraId="133A4089" w14:textId="77777777" w:rsidR="00890E0A" w:rsidRPr="00AF3187" w:rsidRDefault="00890E0A" w:rsidP="00BD2F5C">
            <w:pPr>
              <w:adjustRightInd w:val="0"/>
              <w:snapToGrid w:val="0"/>
              <w:spacing w:before="120" w:after="120" w:line="228" w:lineRule="auto"/>
              <w:jc w:val="left"/>
              <w:rPr>
                <w:rFonts w:eastAsiaTheme="minorEastAsia"/>
                <w:snapToGrid w:val="0"/>
                <w:sz w:val="18"/>
                <w:szCs w:val="18"/>
                <w:lang w:bidi="en-US"/>
              </w:rPr>
            </w:pPr>
            <w:r>
              <w:rPr>
                <w:rFonts w:eastAsiaTheme="minorEastAsia" w:hint="eastAsia"/>
                <w:snapToGrid w:val="0"/>
                <w:sz w:val="18"/>
                <w:szCs w:val="18"/>
                <w:lang w:bidi="en-US"/>
              </w:rPr>
              <w:t>Z</w:t>
            </w:r>
            <w:r>
              <w:rPr>
                <w:rFonts w:eastAsiaTheme="minorEastAsia"/>
                <w:snapToGrid w:val="0"/>
                <w:sz w:val="18"/>
                <w:szCs w:val="18"/>
                <w:lang w:bidi="en-US"/>
              </w:rPr>
              <w:t>hao &amp; Xi</w:t>
            </w:r>
          </w:p>
        </w:tc>
        <w:tc>
          <w:tcPr>
            <w:tcW w:w="850" w:type="dxa"/>
          </w:tcPr>
          <w:p w14:paraId="3CCA740D"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2</w:t>
            </w:r>
            <w:r>
              <w:rPr>
                <w:rFonts w:eastAsiaTheme="minorEastAsia"/>
                <w:snapToGrid w:val="0"/>
                <w:sz w:val="18"/>
                <w:szCs w:val="18"/>
                <w:lang w:bidi="en-US"/>
              </w:rPr>
              <w:t>022</w:t>
            </w:r>
          </w:p>
        </w:tc>
        <w:tc>
          <w:tcPr>
            <w:tcW w:w="1418" w:type="dxa"/>
          </w:tcPr>
          <w:p w14:paraId="3DD2FDF9"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N</w:t>
            </w:r>
            <w:r>
              <w:rPr>
                <w:rFonts w:eastAsiaTheme="minorEastAsia"/>
                <w:snapToGrid w:val="0"/>
                <w:sz w:val="18"/>
                <w:szCs w:val="18"/>
                <w:lang w:bidi="en-US"/>
              </w:rPr>
              <w:t>o</w:t>
            </w:r>
          </w:p>
        </w:tc>
        <w:tc>
          <w:tcPr>
            <w:tcW w:w="1275" w:type="dxa"/>
          </w:tcPr>
          <w:p w14:paraId="62661ED5"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996-2016</w:t>
            </w:r>
          </w:p>
        </w:tc>
        <w:tc>
          <w:tcPr>
            <w:tcW w:w="1418" w:type="dxa"/>
          </w:tcPr>
          <w:p w14:paraId="02B9C85E"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2</w:t>
            </w:r>
            <w:r>
              <w:rPr>
                <w:rFonts w:eastAsiaTheme="minorEastAsia"/>
                <w:snapToGrid w:val="0"/>
                <w:sz w:val="18"/>
                <w:szCs w:val="18"/>
                <w:lang w:bidi="en-US"/>
              </w:rPr>
              <w:t>40 cities</w:t>
            </w:r>
          </w:p>
        </w:tc>
        <w:tc>
          <w:tcPr>
            <w:tcW w:w="1559" w:type="dxa"/>
          </w:tcPr>
          <w:p w14:paraId="2C4882B6"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998-2016</w:t>
            </w:r>
          </w:p>
        </w:tc>
        <w:tc>
          <w:tcPr>
            <w:tcW w:w="1276" w:type="dxa"/>
          </w:tcPr>
          <w:p w14:paraId="74CB3B4F" w14:textId="77777777" w:rsidR="00890E0A" w:rsidRPr="001C2730"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G</w:t>
            </w:r>
            <w:r>
              <w:rPr>
                <w:rFonts w:eastAsiaTheme="minorEastAsia"/>
                <w:snapToGrid w:val="0"/>
                <w:sz w:val="18"/>
                <w:szCs w:val="18"/>
                <w:lang w:bidi="en-US"/>
              </w:rPr>
              <w:t>DP</w:t>
            </w:r>
          </w:p>
        </w:tc>
      </w:tr>
      <w:tr w:rsidR="00E42EC9" w:rsidRPr="00AF3187" w14:paraId="30A0E88F" w14:textId="77777777" w:rsidTr="00E42EC9">
        <w:trPr>
          <w:trHeight w:val="454"/>
        </w:trPr>
        <w:tc>
          <w:tcPr>
            <w:tcW w:w="1986" w:type="dxa"/>
          </w:tcPr>
          <w:p w14:paraId="66A65A40" w14:textId="77777777" w:rsidR="00890E0A" w:rsidRDefault="00890E0A" w:rsidP="00BD2F5C">
            <w:pPr>
              <w:adjustRightInd w:val="0"/>
              <w:snapToGrid w:val="0"/>
              <w:spacing w:before="120" w:after="120" w:line="228" w:lineRule="auto"/>
              <w:jc w:val="left"/>
              <w:rPr>
                <w:snapToGrid w:val="0"/>
                <w:sz w:val="18"/>
                <w:szCs w:val="18"/>
                <w:lang w:bidi="en-US"/>
              </w:rPr>
            </w:pPr>
            <w:r>
              <w:rPr>
                <w:rFonts w:hint="eastAsia"/>
                <w:snapToGrid w:val="0"/>
                <w:sz w:val="18"/>
                <w:szCs w:val="18"/>
                <w:lang w:bidi="en-US"/>
              </w:rPr>
              <w:t>Z</w:t>
            </w:r>
            <w:r>
              <w:rPr>
                <w:snapToGrid w:val="0"/>
                <w:sz w:val="18"/>
                <w:szCs w:val="18"/>
                <w:lang w:bidi="en-US"/>
              </w:rPr>
              <w:t>hang, Zhang &amp; Sun</w:t>
            </w:r>
          </w:p>
        </w:tc>
        <w:tc>
          <w:tcPr>
            <w:tcW w:w="850" w:type="dxa"/>
          </w:tcPr>
          <w:p w14:paraId="16E13EE4"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022</w:t>
            </w:r>
          </w:p>
        </w:tc>
        <w:tc>
          <w:tcPr>
            <w:tcW w:w="1418" w:type="dxa"/>
          </w:tcPr>
          <w:p w14:paraId="5A366B0C"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74B58A5E"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011-2018</w:t>
            </w:r>
          </w:p>
        </w:tc>
        <w:tc>
          <w:tcPr>
            <w:tcW w:w="1418" w:type="dxa"/>
          </w:tcPr>
          <w:p w14:paraId="738A1E46"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4</w:t>
            </w:r>
            <w:r>
              <w:rPr>
                <w:snapToGrid w:val="0"/>
                <w:sz w:val="18"/>
                <w:szCs w:val="18"/>
                <w:lang w:bidi="en-US"/>
              </w:rPr>
              <w:t>03 districts</w:t>
            </w:r>
          </w:p>
        </w:tc>
        <w:tc>
          <w:tcPr>
            <w:tcW w:w="1559" w:type="dxa"/>
          </w:tcPr>
          <w:p w14:paraId="14B85373"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011-2018</w:t>
            </w:r>
          </w:p>
        </w:tc>
        <w:tc>
          <w:tcPr>
            <w:tcW w:w="1276" w:type="dxa"/>
          </w:tcPr>
          <w:p w14:paraId="7E662B87"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7FAEFB46" w14:textId="77777777" w:rsidTr="00E42EC9">
        <w:trPr>
          <w:trHeight w:val="454"/>
        </w:trPr>
        <w:tc>
          <w:tcPr>
            <w:tcW w:w="1986" w:type="dxa"/>
          </w:tcPr>
          <w:p w14:paraId="28067C02" w14:textId="77777777" w:rsidR="00890E0A" w:rsidRPr="00AF3187" w:rsidRDefault="00890E0A" w:rsidP="00BD2F5C">
            <w:pPr>
              <w:adjustRightInd w:val="0"/>
              <w:snapToGrid w:val="0"/>
              <w:spacing w:before="120" w:after="120" w:line="228" w:lineRule="auto"/>
              <w:jc w:val="left"/>
              <w:rPr>
                <w:snapToGrid w:val="0"/>
                <w:sz w:val="18"/>
                <w:szCs w:val="18"/>
                <w:lang w:bidi="en-US"/>
              </w:rPr>
            </w:pPr>
            <w:r>
              <w:rPr>
                <w:rFonts w:eastAsiaTheme="minorEastAsia" w:hint="eastAsia"/>
                <w:snapToGrid w:val="0"/>
                <w:sz w:val="18"/>
                <w:szCs w:val="18"/>
                <w:lang w:bidi="en-US"/>
              </w:rPr>
              <w:t>T</w:t>
            </w:r>
            <w:r>
              <w:rPr>
                <w:rFonts w:eastAsiaTheme="minorEastAsia"/>
                <w:snapToGrid w:val="0"/>
                <w:sz w:val="18"/>
                <w:szCs w:val="18"/>
                <w:lang w:bidi="en-US"/>
              </w:rPr>
              <w:t>ang</w:t>
            </w:r>
          </w:p>
        </w:tc>
        <w:tc>
          <w:tcPr>
            <w:tcW w:w="850" w:type="dxa"/>
          </w:tcPr>
          <w:p w14:paraId="1BD02C33"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2</w:t>
            </w:r>
            <w:r>
              <w:rPr>
                <w:rFonts w:eastAsiaTheme="minorEastAsia"/>
                <w:snapToGrid w:val="0"/>
                <w:sz w:val="18"/>
                <w:szCs w:val="18"/>
                <w:lang w:bidi="en-US"/>
              </w:rPr>
              <w:t>021</w:t>
            </w:r>
          </w:p>
        </w:tc>
        <w:tc>
          <w:tcPr>
            <w:tcW w:w="1418" w:type="dxa"/>
          </w:tcPr>
          <w:p w14:paraId="1C3C6158"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N</w:t>
            </w:r>
            <w:r>
              <w:rPr>
                <w:rFonts w:eastAsiaTheme="minorEastAsia"/>
                <w:snapToGrid w:val="0"/>
                <w:sz w:val="18"/>
                <w:szCs w:val="18"/>
                <w:lang w:bidi="en-US"/>
              </w:rPr>
              <w:t>o</w:t>
            </w:r>
          </w:p>
        </w:tc>
        <w:tc>
          <w:tcPr>
            <w:tcW w:w="1275" w:type="dxa"/>
          </w:tcPr>
          <w:p w14:paraId="536F2504"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976-2018</w:t>
            </w:r>
          </w:p>
        </w:tc>
        <w:tc>
          <w:tcPr>
            <w:tcW w:w="1418" w:type="dxa"/>
          </w:tcPr>
          <w:p w14:paraId="69EBDF32"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546 counties</w:t>
            </w:r>
          </w:p>
        </w:tc>
        <w:tc>
          <w:tcPr>
            <w:tcW w:w="1559" w:type="dxa"/>
          </w:tcPr>
          <w:p w14:paraId="18DE6BB7"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992-2012</w:t>
            </w:r>
          </w:p>
        </w:tc>
        <w:tc>
          <w:tcPr>
            <w:tcW w:w="1276" w:type="dxa"/>
          </w:tcPr>
          <w:p w14:paraId="27D70A32" w14:textId="77777777" w:rsidR="00890E0A" w:rsidRPr="00093B15" w:rsidRDefault="00890E0A" w:rsidP="00BD2F5C">
            <w:pPr>
              <w:adjustRightInd w:val="0"/>
              <w:snapToGrid w:val="0"/>
              <w:spacing w:before="120" w:after="120" w:line="228" w:lineRule="auto"/>
              <w:jc w:val="center"/>
              <w:rPr>
                <w:snapToGrid w:val="0"/>
                <w:sz w:val="18"/>
                <w:szCs w:val="18"/>
                <w:vertAlign w:val="superscript"/>
                <w:lang w:bidi="en-US"/>
              </w:rPr>
            </w:pPr>
            <w:r>
              <w:rPr>
                <w:rFonts w:eastAsiaTheme="minorEastAsia" w:hint="eastAsia"/>
                <w:snapToGrid w:val="0"/>
                <w:sz w:val="18"/>
                <w:szCs w:val="18"/>
                <w:lang w:bidi="en-US"/>
              </w:rPr>
              <w:t>D</w:t>
            </w:r>
            <w:r>
              <w:rPr>
                <w:rFonts w:eastAsiaTheme="minorEastAsia"/>
                <w:snapToGrid w:val="0"/>
                <w:sz w:val="18"/>
                <w:szCs w:val="18"/>
                <w:lang w:bidi="en-US"/>
              </w:rPr>
              <w:t>MSP</w:t>
            </w:r>
            <w:r>
              <w:rPr>
                <w:rFonts w:eastAsiaTheme="minorEastAsia"/>
                <w:snapToGrid w:val="0"/>
                <w:sz w:val="18"/>
                <w:szCs w:val="18"/>
                <w:vertAlign w:val="superscript"/>
                <w:lang w:bidi="en-US"/>
              </w:rPr>
              <w:t>a</w:t>
            </w:r>
          </w:p>
        </w:tc>
      </w:tr>
      <w:tr w:rsidR="00E42EC9" w:rsidRPr="00AF3187" w14:paraId="374F6670" w14:textId="77777777" w:rsidTr="00E42EC9">
        <w:trPr>
          <w:trHeight w:val="454"/>
        </w:trPr>
        <w:tc>
          <w:tcPr>
            <w:tcW w:w="1986" w:type="dxa"/>
          </w:tcPr>
          <w:p w14:paraId="76EAA7D5" w14:textId="77777777" w:rsidR="00890E0A" w:rsidRPr="00FD1412" w:rsidRDefault="00890E0A" w:rsidP="00BD2F5C">
            <w:pPr>
              <w:adjustRightInd w:val="0"/>
              <w:snapToGrid w:val="0"/>
              <w:spacing w:before="120" w:after="120" w:line="228" w:lineRule="auto"/>
              <w:jc w:val="left"/>
              <w:rPr>
                <w:snapToGrid w:val="0"/>
                <w:sz w:val="18"/>
                <w:szCs w:val="18"/>
                <w:lang w:bidi="en-US"/>
              </w:rPr>
            </w:pPr>
            <w:r w:rsidRPr="00FD1412">
              <w:rPr>
                <w:snapToGrid w:val="0"/>
                <w:sz w:val="18"/>
                <w:szCs w:val="18"/>
                <w:lang w:bidi="en-US"/>
              </w:rPr>
              <w:t>Wang</w:t>
            </w:r>
          </w:p>
        </w:tc>
        <w:tc>
          <w:tcPr>
            <w:tcW w:w="850" w:type="dxa"/>
          </w:tcPr>
          <w:p w14:paraId="23359CE1"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021</w:t>
            </w:r>
          </w:p>
        </w:tc>
        <w:tc>
          <w:tcPr>
            <w:tcW w:w="1418" w:type="dxa"/>
          </w:tcPr>
          <w:p w14:paraId="5AD01903"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7C5C678C"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990-2010</w:t>
            </w:r>
          </w:p>
        </w:tc>
        <w:tc>
          <w:tcPr>
            <w:tcW w:w="1418" w:type="dxa"/>
          </w:tcPr>
          <w:p w14:paraId="7FFD4F6E" w14:textId="77777777" w:rsidR="00890E0A" w:rsidRDefault="00890E0A" w:rsidP="00BD2F5C">
            <w:pPr>
              <w:adjustRightInd w:val="0"/>
              <w:snapToGrid w:val="0"/>
              <w:spacing w:before="120" w:after="120" w:line="228" w:lineRule="auto"/>
              <w:jc w:val="center"/>
              <w:rPr>
                <w:snapToGrid w:val="0"/>
                <w:sz w:val="18"/>
                <w:szCs w:val="18"/>
                <w:lang w:bidi="en-US"/>
              </w:rPr>
            </w:pPr>
            <w:r>
              <w:rPr>
                <w:snapToGrid w:val="0"/>
                <w:sz w:val="18"/>
                <w:szCs w:val="18"/>
                <w:lang w:bidi="en-US"/>
              </w:rPr>
              <w:t>1991</w:t>
            </w:r>
            <w:r w:rsidRPr="001D78BA">
              <w:rPr>
                <w:snapToGrid w:val="0"/>
                <w:sz w:val="18"/>
                <w:szCs w:val="18"/>
                <w:lang w:bidi="en-US"/>
              </w:rPr>
              <w:t xml:space="preserve"> counties</w:t>
            </w:r>
          </w:p>
        </w:tc>
        <w:tc>
          <w:tcPr>
            <w:tcW w:w="1559" w:type="dxa"/>
          </w:tcPr>
          <w:p w14:paraId="33DD2C9E"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990-2010</w:t>
            </w:r>
          </w:p>
        </w:tc>
        <w:tc>
          <w:tcPr>
            <w:tcW w:w="1276" w:type="dxa"/>
          </w:tcPr>
          <w:p w14:paraId="47057467"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B53EA3" w14:paraId="14B77F99" w14:textId="77777777" w:rsidTr="00E42EC9">
        <w:trPr>
          <w:trHeight w:val="454"/>
        </w:trPr>
        <w:tc>
          <w:tcPr>
            <w:tcW w:w="1986" w:type="dxa"/>
          </w:tcPr>
          <w:p w14:paraId="7C19BA6A" w14:textId="77777777" w:rsidR="00890E0A" w:rsidRPr="00AF3187" w:rsidRDefault="00890E0A" w:rsidP="00BD2F5C">
            <w:pPr>
              <w:adjustRightInd w:val="0"/>
              <w:snapToGrid w:val="0"/>
              <w:spacing w:before="120" w:after="120" w:line="228" w:lineRule="auto"/>
              <w:jc w:val="left"/>
              <w:rPr>
                <w:rFonts w:eastAsiaTheme="minorEastAsia"/>
                <w:snapToGrid w:val="0"/>
                <w:sz w:val="18"/>
                <w:szCs w:val="18"/>
                <w:lang w:bidi="en-US"/>
              </w:rPr>
            </w:pPr>
            <w:r>
              <w:rPr>
                <w:rFonts w:eastAsiaTheme="minorEastAsia" w:hint="eastAsia"/>
                <w:snapToGrid w:val="0"/>
                <w:sz w:val="18"/>
                <w:szCs w:val="18"/>
                <w:lang w:bidi="en-US"/>
              </w:rPr>
              <w:t>W</w:t>
            </w:r>
            <w:r>
              <w:rPr>
                <w:rFonts w:eastAsiaTheme="minorEastAsia"/>
                <w:snapToGrid w:val="0"/>
                <w:sz w:val="18"/>
                <w:szCs w:val="18"/>
                <w:lang w:bidi="en-US"/>
              </w:rPr>
              <w:t>ang &amp; Yeh</w:t>
            </w:r>
          </w:p>
        </w:tc>
        <w:tc>
          <w:tcPr>
            <w:tcW w:w="850" w:type="dxa"/>
          </w:tcPr>
          <w:p w14:paraId="02116BA6" w14:textId="77777777" w:rsidR="00890E0A" w:rsidRPr="00AF3187"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2</w:t>
            </w:r>
            <w:r>
              <w:rPr>
                <w:rFonts w:eastAsiaTheme="minorEastAsia"/>
                <w:snapToGrid w:val="0"/>
                <w:sz w:val="18"/>
                <w:szCs w:val="18"/>
                <w:lang w:bidi="en-US"/>
              </w:rPr>
              <w:t>020</w:t>
            </w:r>
          </w:p>
        </w:tc>
        <w:tc>
          <w:tcPr>
            <w:tcW w:w="1418" w:type="dxa"/>
          </w:tcPr>
          <w:p w14:paraId="715B6B96" w14:textId="77777777" w:rsidR="00890E0A" w:rsidRPr="00003668"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N</w:t>
            </w:r>
            <w:r>
              <w:rPr>
                <w:rFonts w:eastAsiaTheme="minorEastAsia"/>
                <w:snapToGrid w:val="0"/>
                <w:sz w:val="18"/>
                <w:szCs w:val="18"/>
                <w:lang w:bidi="en-US"/>
              </w:rPr>
              <w:t>o</w:t>
            </w:r>
          </w:p>
        </w:tc>
        <w:tc>
          <w:tcPr>
            <w:tcW w:w="1275" w:type="dxa"/>
          </w:tcPr>
          <w:p w14:paraId="5B3B40BF" w14:textId="77777777" w:rsidR="00890E0A" w:rsidRPr="007028CD"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984-2010</w:t>
            </w:r>
          </w:p>
        </w:tc>
        <w:tc>
          <w:tcPr>
            <w:tcW w:w="1418" w:type="dxa"/>
          </w:tcPr>
          <w:p w14:paraId="0B2FB57C" w14:textId="77777777" w:rsidR="00890E0A" w:rsidRPr="00B53EA3"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8</w:t>
            </w:r>
            <w:r>
              <w:rPr>
                <w:rFonts w:eastAsiaTheme="minorEastAsia"/>
                <w:snapToGrid w:val="0"/>
                <w:sz w:val="18"/>
                <w:szCs w:val="18"/>
                <w:lang w:bidi="en-US"/>
              </w:rPr>
              <w:t>2 counties</w:t>
            </w:r>
          </w:p>
        </w:tc>
        <w:tc>
          <w:tcPr>
            <w:tcW w:w="1559" w:type="dxa"/>
          </w:tcPr>
          <w:p w14:paraId="4051FE35" w14:textId="77777777" w:rsidR="00890E0A" w:rsidRPr="00ED67AB"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994-2010</w:t>
            </w:r>
          </w:p>
        </w:tc>
        <w:tc>
          <w:tcPr>
            <w:tcW w:w="1276" w:type="dxa"/>
          </w:tcPr>
          <w:p w14:paraId="24921EE2" w14:textId="77777777" w:rsidR="00890E0A" w:rsidRPr="00B53EA3" w:rsidRDefault="00890E0A" w:rsidP="00BD2F5C">
            <w:pPr>
              <w:adjustRightInd w:val="0"/>
              <w:snapToGrid w:val="0"/>
              <w:spacing w:before="120" w:after="120" w:line="228" w:lineRule="auto"/>
              <w:jc w:val="center"/>
              <w:rPr>
                <w:rFonts w:eastAsiaTheme="minorEastAsia"/>
                <w:snapToGrid w:val="0"/>
                <w:sz w:val="18"/>
                <w:szCs w:val="18"/>
                <w:lang w:bidi="en-US"/>
              </w:rPr>
            </w:pPr>
            <w:r>
              <w:rPr>
                <w:rFonts w:eastAsiaTheme="minorEastAsia" w:hint="eastAsia"/>
                <w:snapToGrid w:val="0"/>
                <w:sz w:val="18"/>
                <w:szCs w:val="18"/>
                <w:lang w:bidi="en-US"/>
              </w:rPr>
              <w:t>G</w:t>
            </w:r>
            <w:r>
              <w:rPr>
                <w:rFonts w:eastAsiaTheme="minorEastAsia"/>
                <w:snapToGrid w:val="0"/>
                <w:sz w:val="18"/>
                <w:szCs w:val="18"/>
                <w:lang w:bidi="en-US"/>
              </w:rPr>
              <w:t>DP</w:t>
            </w:r>
          </w:p>
        </w:tc>
      </w:tr>
      <w:tr w:rsidR="00E42EC9" w:rsidRPr="00AF3187" w14:paraId="76328546" w14:textId="77777777" w:rsidTr="00E42EC9">
        <w:trPr>
          <w:trHeight w:val="454"/>
        </w:trPr>
        <w:tc>
          <w:tcPr>
            <w:tcW w:w="1986" w:type="dxa"/>
          </w:tcPr>
          <w:p w14:paraId="5EA6CC99" w14:textId="77777777" w:rsidR="00890E0A" w:rsidRPr="00FD1412" w:rsidRDefault="00890E0A" w:rsidP="00BD2F5C">
            <w:pPr>
              <w:adjustRightInd w:val="0"/>
              <w:snapToGrid w:val="0"/>
              <w:spacing w:before="120" w:after="120" w:line="228" w:lineRule="auto"/>
              <w:jc w:val="left"/>
              <w:rPr>
                <w:snapToGrid w:val="0"/>
                <w:sz w:val="18"/>
                <w:szCs w:val="18"/>
                <w:lang w:bidi="en-US"/>
              </w:rPr>
            </w:pPr>
            <w:r>
              <w:rPr>
                <w:rFonts w:hint="eastAsia"/>
                <w:snapToGrid w:val="0"/>
                <w:sz w:val="18"/>
                <w:szCs w:val="18"/>
                <w:lang w:bidi="en-US"/>
              </w:rPr>
              <w:t>B</w:t>
            </w:r>
            <w:r>
              <w:rPr>
                <w:snapToGrid w:val="0"/>
                <w:sz w:val="18"/>
                <w:szCs w:val="18"/>
                <w:lang w:bidi="en-US"/>
              </w:rPr>
              <w:t>o</w:t>
            </w:r>
          </w:p>
        </w:tc>
        <w:tc>
          <w:tcPr>
            <w:tcW w:w="850" w:type="dxa"/>
          </w:tcPr>
          <w:p w14:paraId="4003F661"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020</w:t>
            </w:r>
          </w:p>
        </w:tc>
        <w:tc>
          <w:tcPr>
            <w:tcW w:w="1418" w:type="dxa"/>
          </w:tcPr>
          <w:p w14:paraId="730FB72F"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3CF37F02"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983-2003</w:t>
            </w:r>
          </w:p>
        </w:tc>
        <w:tc>
          <w:tcPr>
            <w:tcW w:w="1418" w:type="dxa"/>
          </w:tcPr>
          <w:p w14:paraId="645C5028"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861 county-level units</w:t>
            </w:r>
          </w:p>
        </w:tc>
        <w:tc>
          <w:tcPr>
            <w:tcW w:w="1559" w:type="dxa"/>
          </w:tcPr>
          <w:p w14:paraId="447C05F8"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983-2003</w:t>
            </w:r>
          </w:p>
        </w:tc>
        <w:tc>
          <w:tcPr>
            <w:tcW w:w="1276" w:type="dxa"/>
          </w:tcPr>
          <w:p w14:paraId="64FDC319"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69C1BC53" w14:textId="77777777" w:rsidTr="00E42EC9">
        <w:trPr>
          <w:trHeight w:val="454"/>
        </w:trPr>
        <w:tc>
          <w:tcPr>
            <w:tcW w:w="1986" w:type="dxa"/>
          </w:tcPr>
          <w:p w14:paraId="0B2FBD8D" w14:textId="77777777" w:rsidR="00890E0A" w:rsidRPr="00AF3187" w:rsidRDefault="00890E0A" w:rsidP="00BD2F5C">
            <w:pPr>
              <w:adjustRightInd w:val="0"/>
              <w:snapToGrid w:val="0"/>
              <w:spacing w:before="120" w:after="120" w:line="228" w:lineRule="auto"/>
              <w:jc w:val="left"/>
              <w:rPr>
                <w:snapToGrid w:val="0"/>
                <w:sz w:val="18"/>
                <w:szCs w:val="18"/>
                <w:lang w:bidi="en-US"/>
              </w:rPr>
            </w:pPr>
            <w:r>
              <w:rPr>
                <w:rFonts w:asciiTheme="majorBidi" w:eastAsiaTheme="minorEastAsia" w:hAnsiTheme="majorBidi" w:cstheme="majorBidi" w:hint="eastAsia"/>
                <w:snapToGrid w:val="0"/>
                <w:sz w:val="18"/>
                <w:szCs w:val="18"/>
                <w:lang w:bidi="en-US"/>
              </w:rPr>
              <w:t>C</w:t>
            </w:r>
            <w:r>
              <w:rPr>
                <w:rFonts w:asciiTheme="majorBidi" w:eastAsiaTheme="minorEastAsia" w:hAnsiTheme="majorBidi" w:cstheme="majorBidi"/>
                <w:snapToGrid w:val="0"/>
                <w:sz w:val="18"/>
                <w:szCs w:val="18"/>
                <w:lang w:bidi="en-US"/>
              </w:rPr>
              <w:t xml:space="preserve">hen,Wang &amp; Wang </w:t>
            </w:r>
          </w:p>
        </w:tc>
        <w:tc>
          <w:tcPr>
            <w:tcW w:w="850" w:type="dxa"/>
          </w:tcPr>
          <w:p w14:paraId="41878C16"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020</w:t>
            </w:r>
          </w:p>
        </w:tc>
        <w:tc>
          <w:tcPr>
            <w:tcW w:w="1418" w:type="dxa"/>
          </w:tcPr>
          <w:p w14:paraId="0815F4DF"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4D5FD06C"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992-2012</w:t>
            </w:r>
          </w:p>
        </w:tc>
        <w:tc>
          <w:tcPr>
            <w:tcW w:w="1418" w:type="dxa"/>
          </w:tcPr>
          <w:p w14:paraId="6FCBAF06"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9</w:t>
            </w:r>
            <w:r>
              <w:rPr>
                <w:snapToGrid w:val="0"/>
                <w:sz w:val="18"/>
                <w:szCs w:val="18"/>
                <w:lang w:bidi="en-US"/>
              </w:rPr>
              <w:t xml:space="preserve"> districts in Hangzhou</w:t>
            </w:r>
          </w:p>
        </w:tc>
        <w:tc>
          <w:tcPr>
            <w:tcW w:w="1559" w:type="dxa"/>
          </w:tcPr>
          <w:p w14:paraId="740679AE"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992-2012</w:t>
            </w:r>
          </w:p>
        </w:tc>
        <w:tc>
          <w:tcPr>
            <w:tcW w:w="1276" w:type="dxa"/>
          </w:tcPr>
          <w:p w14:paraId="3776F5D5"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11B93055" w14:textId="77777777" w:rsidTr="00E42EC9">
        <w:trPr>
          <w:trHeight w:val="454"/>
        </w:trPr>
        <w:tc>
          <w:tcPr>
            <w:tcW w:w="1986" w:type="dxa"/>
          </w:tcPr>
          <w:p w14:paraId="4862B516" w14:textId="77777777" w:rsidR="00890E0A" w:rsidRPr="00AF3187" w:rsidRDefault="00890E0A" w:rsidP="00BD2F5C">
            <w:pPr>
              <w:adjustRightInd w:val="0"/>
              <w:snapToGrid w:val="0"/>
              <w:spacing w:before="120" w:after="120" w:line="228" w:lineRule="auto"/>
              <w:jc w:val="left"/>
              <w:rPr>
                <w:snapToGrid w:val="0"/>
                <w:sz w:val="18"/>
                <w:szCs w:val="18"/>
                <w:lang w:bidi="en-US"/>
              </w:rPr>
            </w:pPr>
            <w:r>
              <w:rPr>
                <w:snapToGrid w:val="0"/>
                <w:sz w:val="18"/>
                <w:szCs w:val="18"/>
                <w:lang w:bidi="en-US"/>
              </w:rPr>
              <w:t xml:space="preserve">Liu, Zeng &amp; </w:t>
            </w:r>
            <w:r w:rsidRPr="000C2158">
              <w:rPr>
                <w:snapToGrid w:val="0"/>
                <w:sz w:val="18"/>
                <w:szCs w:val="18"/>
                <w:lang w:bidi="en-US"/>
              </w:rPr>
              <w:t xml:space="preserve">Zhou </w:t>
            </w:r>
          </w:p>
        </w:tc>
        <w:tc>
          <w:tcPr>
            <w:tcW w:w="850" w:type="dxa"/>
          </w:tcPr>
          <w:p w14:paraId="0DC9ED47"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019</w:t>
            </w:r>
          </w:p>
        </w:tc>
        <w:tc>
          <w:tcPr>
            <w:tcW w:w="1418" w:type="dxa"/>
          </w:tcPr>
          <w:p w14:paraId="16A07FEE"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26589DB6"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992-2008</w:t>
            </w:r>
          </w:p>
        </w:tc>
        <w:tc>
          <w:tcPr>
            <w:tcW w:w="1418" w:type="dxa"/>
          </w:tcPr>
          <w:p w14:paraId="30A71733"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5</w:t>
            </w:r>
            <w:r>
              <w:rPr>
                <w:snapToGrid w:val="0"/>
                <w:sz w:val="18"/>
                <w:szCs w:val="18"/>
                <w:lang w:bidi="en-US"/>
              </w:rPr>
              <w:t>2 districts</w:t>
            </w:r>
          </w:p>
        </w:tc>
        <w:tc>
          <w:tcPr>
            <w:tcW w:w="1559" w:type="dxa"/>
          </w:tcPr>
          <w:p w14:paraId="1531CF54"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992-2008</w:t>
            </w:r>
          </w:p>
        </w:tc>
        <w:tc>
          <w:tcPr>
            <w:tcW w:w="1276" w:type="dxa"/>
          </w:tcPr>
          <w:p w14:paraId="32EB8E27" w14:textId="77777777" w:rsidR="00890E0A" w:rsidRPr="00093B15" w:rsidRDefault="00890E0A" w:rsidP="00BD2F5C">
            <w:pPr>
              <w:adjustRightInd w:val="0"/>
              <w:snapToGrid w:val="0"/>
              <w:spacing w:before="120" w:after="120" w:line="228" w:lineRule="auto"/>
              <w:jc w:val="center"/>
              <w:rPr>
                <w:snapToGrid w:val="0"/>
                <w:sz w:val="18"/>
                <w:szCs w:val="18"/>
                <w:vertAlign w:val="superscript"/>
                <w:lang w:bidi="en-US"/>
              </w:rPr>
            </w:pPr>
            <w:r>
              <w:rPr>
                <w:rFonts w:hint="eastAsia"/>
                <w:snapToGrid w:val="0"/>
                <w:sz w:val="18"/>
                <w:szCs w:val="18"/>
                <w:lang w:bidi="en-US"/>
              </w:rPr>
              <w:t>D</w:t>
            </w:r>
            <w:r>
              <w:rPr>
                <w:snapToGrid w:val="0"/>
                <w:sz w:val="18"/>
                <w:szCs w:val="18"/>
                <w:lang w:bidi="en-US"/>
              </w:rPr>
              <w:t>MSP</w:t>
            </w:r>
            <w:r>
              <w:rPr>
                <w:snapToGrid w:val="0"/>
                <w:sz w:val="18"/>
                <w:szCs w:val="18"/>
                <w:vertAlign w:val="superscript"/>
                <w:lang w:bidi="en-US"/>
              </w:rPr>
              <w:t>a</w:t>
            </w:r>
          </w:p>
        </w:tc>
      </w:tr>
      <w:tr w:rsidR="00E42EC9" w:rsidRPr="00AF3187" w14:paraId="1C5BF571" w14:textId="77777777" w:rsidTr="00E42EC9">
        <w:trPr>
          <w:trHeight w:val="454"/>
        </w:trPr>
        <w:tc>
          <w:tcPr>
            <w:tcW w:w="1986" w:type="dxa"/>
          </w:tcPr>
          <w:p w14:paraId="087FEF45" w14:textId="77777777" w:rsidR="00890E0A" w:rsidRPr="00AF3187" w:rsidRDefault="00890E0A" w:rsidP="00BD2F5C">
            <w:pPr>
              <w:adjustRightInd w:val="0"/>
              <w:snapToGrid w:val="0"/>
              <w:spacing w:before="120" w:after="120" w:line="228" w:lineRule="auto"/>
              <w:jc w:val="left"/>
              <w:rPr>
                <w:snapToGrid w:val="0"/>
                <w:sz w:val="18"/>
                <w:szCs w:val="18"/>
                <w:lang w:bidi="en-US"/>
              </w:rPr>
            </w:pPr>
            <w:r w:rsidRPr="00E04E1A">
              <w:rPr>
                <w:rFonts w:eastAsiaTheme="minorEastAsia"/>
                <w:snapToGrid w:val="0"/>
                <w:sz w:val="18"/>
                <w:szCs w:val="18"/>
                <w:lang w:bidi="en-US"/>
              </w:rPr>
              <w:t>Mukim</w:t>
            </w:r>
            <w:r>
              <w:rPr>
                <w:rFonts w:eastAsiaTheme="minorEastAsia"/>
                <w:snapToGrid w:val="0"/>
                <w:sz w:val="18"/>
                <w:szCs w:val="18"/>
                <w:lang w:bidi="en-US"/>
              </w:rPr>
              <w:t xml:space="preserve"> &amp; </w:t>
            </w:r>
            <w:r w:rsidRPr="00E04E1A">
              <w:rPr>
                <w:rFonts w:eastAsiaTheme="minorEastAsia"/>
                <w:snapToGrid w:val="0"/>
                <w:sz w:val="18"/>
                <w:szCs w:val="18"/>
                <w:lang w:bidi="en-US"/>
              </w:rPr>
              <w:t>Zhu</w:t>
            </w:r>
          </w:p>
        </w:tc>
        <w:tc>
          <w:tcPr>
            <w:tcW w:w="850" w:type="dxa"/>
          </w:tcPr>
          <w:p w14:paraId="2F0ADAFF"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snapToGrid w:val="0"/>
                <w:sz w:val="18"/>
                <w:szCs w:val="18"/>
                <w:lang w:bidi="en-US"/>
              </w:rPr>
              <w:t>2018</w:t>
            </w:r>
          </w:p>
        </w:tc>
        <w:tc>
          <w:tcPr>
            <w:tcW w:w="1418" w:type="dxa"/>
          </w:tcPr>
          <w:p w14:paraId="4E803390"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N</w:t>
            </w:r>
            <w:r>
              <w:rPr>
                <w:rFonts w:eastAsiaTheme="minorEastAsia"/>
                <w:snapToGrid w:val="0"/>
                <w:sz w:val="18"/>
                <w:szCs w:val="18"/>
                <w:lang w:bidi="en-US"/>
              </w:rPr>
              <w:t>o</w:t>
            </w:r>
          </w:p>
        </w:tc>
        <w:tc>
          <w:tcPr>
            <w:tcW w:w="1275" w:type="dxa"/>
          </w:tcPr>
          <w:p w14:paraId="27470DBB" w14:textId="77777777" w:rsidR="00890E0A" w:rsidRPr="001C2730" w:rsidRDefault="00890E0A" w:rsidP="00BD2F5C">
            <w:pPr>
              <w:adjustRightInd w:val="0"/>
              <w:snapToGrid w:val="0"/>
              <w:spacing w:before="120" w:after="120" w:line="228" w:lineRule="auto"/>
              <w:jc w:val="center"/>
              <w:rPr>
                <w:snapToGrid w:val="0"/>
                <w:sz w:val="18"/>
                <w:szCs w:val="18"/>
                <w:lang w:bidi="en-US"/>
              </w:rPr>
            </w:pPr>
            <w:r w:rsidRPr="008626DE">
              <w:rPr>
                <w:rFonts w:eastAsiaTheme="minorEastAsia"/>
                <w:snapToGrid w:val="0"/>
                <w:sz w:val="18"/>
                <w:szCs w:val="18"/>
                <w:lang w:bidi="en-US"/>
              </w:rPr>
              <w:t>1993–2004</w:t>
            </w:r>
          </w:p>
        </w:tc>
        <w:tc>
          <w:tcPr>
            <w:tcW w:w="1418" w:type="dxa"/>
          </w:tcPr>
          <w:p w14:paraId="6BE6806B"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7</w:t>
            </w:r>
            <w:r>
              <w:rPr>
                <w:rFonts w:eastAsiaTheme="minorEastAsia"/>
                <w:snapToGrid w:val="0"/>
                <w:sz w:val="18"/>
                <w:szCs w:val="18"/>
                <w:lang w:bidi="en-US"/>
              </w:rPr>
              <w:t>93 counties</w:t>
            </w:r>
          </w:p>
        </w:tc>
        <w:tc>
          <w:tcPr>
            <w:tcW w:w="1559" w:type="dxa"/>
          </w:tcPr>
          <w:p w14:paraId="04D97FA3"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1</w:t>
            </w:r>
            <w:r>
              <w:rPr>
                <w:rFonts w:eastAsiaTheme="minorEastAsia"/>
                <w:snapToGrid w:val="0"/>
                <w:sz w:val="18"/>
                <w:szCs w:val="18"/>
                <w:lang w:bidi="en-US"/>
              </w:rPr>
              <w:t>998-2004</w:t>
            </w:r>
          </w:p>
        </w:tc>
        <w:tc>
          <w:tcPr>
            <w:tcW w:w="1276" w:type="dxa"/>
          </w:tcPr>
          <w:p w14:paraId="27023FF2"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eastAsiaTheme="minorEastAsia" w:hint="eastAsia"/>
                <w:snapToGrid w:val="0"/>
                <w:sz w:val="18"/>
                <w:szCs w:val="18"/>
                <w:lang w:bidi="en-US"/>
              </w:rPr>
              <w:t>G</w:t>
            </w:r>
            <w:r>
              <w:rPr>
                <w:rFonts w:eastAsiaTheme="minorEastAsia"/>
                <w:snapToGrid w:val="0"/>
                <w:sz w:val="18"/>
                <w:szCs w:val="18"/>
                <w:lang w:bidi="en-US"/>
              </w:rPr>
              <w:t>DP</w:t>
            </w:r>
          </w:p>
        </w:tc>
      </w:tr>
      <w:tr w:rsidR="00E42EC9" w:rsidRPr="00AF3187" w14:paraId="04756939" w14:textId="77777777" w:rsidTr="00E42EC9">
        <w:trPr>
          <w:trHeight w:val="454"/>
        </w:trPr>
        <w:tc>
          <w:tcPr>
            <w:tcW w:w="1986" w:type="dxa"/>
          </w:tcPr>
          <w:p w14:paraId="0EE3B151" w14:textId="77777777" w:rsidR="00890E0A" w:rsidRPr="00AF3187" w:rsidRDefault="00890E0A" w:rsidP="00BD2F5C">
            <w:pPr>
              <w:adjustRightInd w:val="0"/>
              <w:snapToGrid w:val="0"/>
              <w:spacing w:before="120" w:after="120" w:line="228" w:lineRule="auto"/>
              <w:jc w:val="left"/>
              <w:rPr>
                <w:snapToGrid w:val="0"/>
                <w:sz w:val="18"/>
                <w:szCs w:val="18"/>
                <w:lang w:bidi="en-US"/>
              </w:rPr>
            </w:pPr>
            <w:r w:rsidRPr="00C15D7C">
              <w:rPr>
                <w:snapToGrid w:val="0"/>
                <w:sz w:val="18"/>
                <w:szCs w:val="18"/>
                <w:lang w:bidi="en-US"/>
              </w:rPr>
              <w:t>Tang</w:t>
            </w:r>
            <w:r>
              <w:rPr>
                <w:snapToGrid w:val="0"/>
                <w:sz w:val="18"/>
                <w:szCs w:val="18"/>
                <w:lang w:bidi="en-US"/>
              </w:rPr>
              <w:t xml:space="preserve"> &amp;</w:t>
            </w:r>
            <w:r w:rsidRPr="00C15D7C">
              <w:rPr>
                <w:snapToGrid w:val="0"/>
                <w:sz w:val="18"/>
                <w:szCs w:val="18"/>
                <w:lang w:bidi="en-US"/>
              </w:rPr>
              <w:t xml:space="preserve"> Hewings</w:t>
            </w:r>
          </w:p>
        </w:tc>
        <w:tc>
          <w:tcPr>
            <w:tcW w:w="850" w:type="dxa"/>
          </w:tcPr>
          <w:p w14:paraId="50162BEB"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017</w:t>
            </w:r>
          </w:p>
        </w:tc>
        <w:tc>
          <w:tcPr>
            <w:tcW w:w="1418" w:type="dxa"/>
          </w:tcPr>
          <w:p w14:paraId="7D9FB8C0"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737F8A8B"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995-2010</w:t>
            </w:r>
          </w:p>
        </w:tc>
        <w:tc>
          <w:tcPr>
            <w:tcW w:w="1418" w:type="dxa"/>
          </w:tcPr>
          <w:p w14:paraId="7EF2ECCE"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757 counties</w:t>
            </w:r>
          </w:p>
        </w:tc>
        <w:tc>
          <w:tcPr>
            <w:tcW w:w="1559" w:type="dxa"/>
          </w:tcPr>
          <w:p w14:paraId="487393D8" w14:textId="77777777" w:rsidR="00890E0A" w:rsidRPr="001C2730" w:rsidRDefault="00890E0A" w:rsidP="00BD2F5C">
            <w:pPr>
              <w:adjustRightInd w:val="0"/>
              <w:snapToGrid w:val="0"/>
              <w:spacing w:before="120" w:after="120" w:line="228" w:lineRule="auto"/>
              <w:jc w:val="center"/>
              <w:rPr>
                <w:snapToGrid w:val="0"/>
                <w:sz w:val="18"/>
                <w:szCs w:val="18"/>
                <w:lang w:bidi="en-US"/>
              </w:rPr>
            </w:pPr>
            <w:r w:rsidRPr="00CD1F61">
              <w:rPr>
                <w:snapToGrid w:val="0"/>
                <w:sz w:val="18"/>
                <w:szCs w:val="18"/>
                <w:lang w:bidi="en-US"/>
              </w:rPr>
              <w:t>1995–1999 and 2005–2010.</w:t>
            </w:r>
          </w:p>
        </w:tc>
        <w:tc>
          <w:tcPr>
            <w:tcW w:w="1276" w:type="dxa"/>
          </w:tcPr>
          <w:p w14:paraId="14FBACCC"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 xml:space="preserve">DP and </w:t>
            </w:r>
          </w:p>
          <w:p w14:paraId="1620D418" w14:textId="77777777" w:rsidR="00890E0A" w:rsidRPr="00093B15" w:rsidRDefault="00890E0A" w:rsidP="00BD2F5C">
            <w:pPr>
              <w:adjustRightInd w:val="0"/>
              <w:snapToGrid w:val="0"/>
              <w:spacing w:before="120" w:after="120" w:line="228" w:lineRule="auto"/>
              <w:jc w:val="center"/>
              <w:rPr>
                <w:snapToGrid w:val="0"/>
                <w:sz w:val="18"/>
                <w:szCs w:val="18"/>
                <w:vertAlign w:val="superscript"/>
                <w:lang w:bidi="en-US"/>
              </w:rPr>
            </w:pPr>
            <w:r>
              <w:rPr>
                <w:snapToGrid w:val="0"/>
                <w:sz w:val="18"/>
                <w:szCs w:val="18"/>
                <w:lang w:bidi="en-US"/>
              </w:rPr>
              <w:t>DMSP</w:t>
            </w:r>
            <w:r>
              <w:rPr>
                <w:snapToGrid w:val="0"/>
                <w:sz w:val="18"/>
                <w:szCs w:val="18"/>
                <w:vertAlign w:val="superscript"/>
                <w:lang w:bidi="en-US"/>
              </w:rPr>
              <w:t>a</w:t>
            </w:r>
          </w:p>
        </w:tc>
      </w:tr>
      <w:tr w:rsidR="00E42EC9" w:rsidRPr="00AF3187" w14:paraId="70123457" w14:textId="77777777" w:rsidTr="00E42EC9">
        <w:trPr>
          <w:trHeight w:val="454"/>
        </w:trPr>
        <w:tc>
          <w:tcPr>
            <w:tcW w:w="1986" w:type="dxa"/>
          </w:tcPr>
          <w:p w14:paraId="275274A5" w14:textId="77777777" w:rsidR="00890E0A" w:rsidRPr="00F0129B" w:rsidRDefault="00890E0A" w:rsidP="00BD2F5C">
            <w:pPr>
              <w:adjustRightInd w:val="0"/>
              <w:snapToGrid w:val="0"/>
              <w:spacing w:before="120" w:after="120" w:line="228" w:lineRule="auto"/>
              <w:jc w:val="left"/>
              <w:rPr>
                <w:snapToGrid w:val="0"/>
                <w:sz w:val="18"/>
                <w:szCs w:val="18"/>
                <w:lang w:bidi="en-US"/>
              </w:rPr>
            </w:pPr>
            <w:r>
              <w:rPr>
                <w:snapToGrid w:val="0"/>
                <w:sz w:val="18"/>
                <w:szCs w:val="18"/>
                <w:lang w:bidi="en-US"/>
              </w:rPr>
              <w:t>Fan, Li &amp;</w:t>
            </w:r>
            <w:r w:rsidRPr="00F0129B">
              <w:rPr>
                <w:snapToGrid w:val="0"/>
                <w:sz w:val="18"/>
                <w:szCs w:val="18"/>
                <w:lang w:bidi="en-US"/>
              </w:rPr>
              <w:t xml:space="preserve"> Zhang</w:t>
            </w:r>
          </w:p>
        </w:tc>
        <w:tc>
          <w:tcPr>
            <w:tcW w:w="850" w:type="dxa"/>
          </w:tcPr>
          <w:p w14:paraId="2151959E"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012</w:t>
            </w:r>
          </w:p>
        </w:tc>
        <w:tc>
          <w:tcPr>
            <w:tcW w:w="1418" w:type="dxa"/>
          </w:tcPr>
          <w:p w14:paraId="51E5804D"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6C77E2C3"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993-2004</w:t>
            </w:r>
          </w:p>
        </w:tc>
        <w:tc>
          <w:tcPr>
            <w:tcW w:w="1418" w:type="dxa"/>
          </w:tcPr>
          <w:p w14:paraId="4E43360B"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9</w:t>
            </w:r>
            <w:r>
              <w:rPr>
                <w:snapToGrid w:val="0"/>
                <w:sz w:val="18"/>
                <w:szCs w:val="18"/>
                <w:lang w:bidi="en-US"/>
              </w:rPr>
              <w:t>5 counties</w:t>
            </w:r>
          </w:p>
        </w:tc>
        <w:tc>
          <w:tcPr>
            <w:tcW w:w="1559" w:type="dxa"/>
          </w:tcPr>
          <w:p w14:paraId="037D30B9"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993-2004</w:t>
            </w:r>
          </w:p>
        </w:tc>
        <w:tc>
          <w:tcPr>
            <w:tcW w:w="1276" w:type="dxa"/>
          </w:tcPr>
          <w:p w14:paraId="74C2CBD2"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r w:rsidR="00E42EC9" w:rsidRPr="00AF3187" w14:paraId="1C06B43D" w14:textId="77777777" w:rsidTr="00E42EC9">
        <w:trPr>
          <w:trHeight w:val="454"/>
        </w:trPr>
        <w:tc>
          <w:tcPr>
            <w:tcW w:w="1986" w:type="dxa"/>
          </w:tcPr>
          <w:p w14:paraId="056EF3F5" w14:textId="77777777" w:rsidR="00890E0A" w:rsidRPr="00F0129B" w:rsidRDefault="00890E0A" w:rsidP="00BD2F5C">
            <w:pPr>
              <w:adjustRightInd w:val="0"/>
              <w:snapToGrid w:val="0"/>
              <w:spacing w:before="120" w:after="120" w:line="228" w:lineRule="auto"/>
              <w:jc w:val="left"/>
              <w:rPr>
                <w:snapToGrid w:val="0"/>
                <w:sz w:val="18"/>
                <w:szCs w:val="18"/>
                <w:lang w:bidi="en-US"/>
              </w:rPr>
            </w:pPr>
            <w:r>
              <w:rPr>
                <w:rFonts w:hint="eastAsia"/>
                <w:snapToGrid w:val="0"/>
                <w:sz w:val="18"/>
                <w:szCs w:val="18"/>
                <w:lang w:bidi="en-US"/>
              </w:rPr>
              <w:t>L</w:t>
            </w:r>
            <w:r>
              <w:rPr>
                <w:snapToGrid w:val="0"/>
                <w:sz w:val="18"/>
                <w:szCs w:val="18"/>
                <w:lang w:bidi="en-US"/>
              </w:rPr>
              <w:t>i</w:t>
            </w:r>
          </w:p>
        </w:tc>
        <w:tc>
          <w:tcPr>
            <w:tcW w:w="850" w:type="dxa"/>
          </w:tcPr>
          <w:p w14:paraId="0C91A558"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011</w:t>
            </w:r>
          </w:p>
        </w:tc>
        <w:tc>
          <w:tcPr>
            <w:tcW w:w="1418" w:type="dxa"/>
          </w:tcPr>
          <w:p w14:paraId="4A80E24E"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Pr>
          <w:p w14:paraId="4D76B329"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993-1997</w:t>
            </w:r>
          </w:p>
        </w:tc>
        <w:tc>
          <w:tcPr>
            <w:tcW w:w="1418" w:type="dxa"/>
          </w:tcPr>
          <w:p w14:paraId="5DC40A27"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629 counties</w:t>
            </w:r>
          </w:p>
        </w:tc>
        <w:tc>
          <w:tcPr>
            <w:tcW w:w="1559" w:type="dxa"/>
          </w:tcPr>
          <w:p w14:paraId="44C66757" w14:textId="77777777" w:rsidR="00890E0A"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993-1997</w:t>
            </w:r>
          </w:p>
        </w:tc>
        <w:tc>
          <w:tcPr>
            <w:tcW w:w="1276" w:type="dxa"/>
          </w:tcPr>
          <w:p w14:paraId="0A774109" w14:textId="77777777" w:rsidR="00890E0A" w:rsidRPr="00093B15" w:rsidRDefault="00890E0A" w:rsidP="00BD2F5C">
            <w:pPr>
              <w:adjustRightInd w:val="0"/>
              <w:snapToGrid w:val="0"/>
              <w:spacing w:before="120" w:after="120" w:line="228" w:lineRule="auto"/>
              <w:jc w:val="center"/>
              <w:rPr>
                <w:snapToGrid w:val="0"/>
                <w:sz w:val="18"/>
                <w:szCs w:val="18"/>
                <w:vertAlign w:val="superscript"/>
                <w:lang w:bidi="en-US"/>
              </w:rPr>
            </w:pPr>
            <w:r>
              <w:rPr>
                <w:snapToGrid w:val="0"/>
                <w:sz w:val="18"/>
                <w:szCs w:val="18"/>
                <w:lang w:bidi="en-US"/>
              </w:rPr>
              <w:t>GVIAO</w:t>
            </w:r>
            <w:r>
              <w:rPr>
                <w:snapToGrid w:val="0"/>
                <w:sz w:val="18"/>
                <w:szCs w:val="18"/>
                <w:vertAlign w:val="superscript"/>
                <w:lang w:bidi="en-US"/>
              </w:rPr>
              <w:t>b</w:t>
            </w:r>
          </w:p>
        </w:tc>
      </w:tr>
      <w:tr w:rsidR="00E42EC9" w:rsidRPr="00AF3187" w14:paraId="24A9593E" w14:textId="77777777" w:rsidTr="00E42EC9">
        <w:trPr>
          <w:trHeight w:val="454"/>
        </w:trPr>
        <w:tc>
          <w:tcPr>
            <w:tcW w:w="1986" w:type="dxa"/>
            <w:tcBorders>
              <w:bottom w:val="single" w:sz="8" w:space="0" w:color="auto"/>
            </w:tcBorders>
          </w:tcPr>
          <w:p w14:paraId="483D43F4" w14:textId="77777777" w:rsidR="00890E0A" w:rsidRPr="00AF3187" w:rsidRDefault="00890E0A" w:rsidP="00BD2F5C">
            <w:pPr>
              <w:adjustRightInd w:val="0"/>
              <w:snapToGrid w:val="0"/>
              <w:spacing w:before="120" w:after="120" w:line="228" w:lineRule="auto"/>
              <w:jc w:val="left"/>
              <w:rPr>
                <w:snapToGrid w:val="0"/>
                <w:sz w:val="18"/>
                <w:szCs w:val="18"/>
                <w:lang w:bidi="en-US"/>
              </w:rPr>
            </w:pPr>
            <w:r w:rsidRPr="00F0129B">
              <w:rPr>
                <w:snapToGrid w:val="0"/>
                <w:sz w:val="18"/>
                <w:szCs w:val="18"/>
                <w:lang w:bidi="en-US"/>
              </w:rPr>
              <w:t>Fan, Li</w:t>
            </w:r>
            <w:r>
              <w:rPr>
                <w:snapToGrid w:val="0"/>
                <w:sz w:val="18"/>
                <w:szCs w:val="18"/>
                <w:lang w:bidi="en-US"/>
              </w:rPr>
              <w:t xml:space="preserve"> &amp;</w:t>
            </w:r>
            <w:r w:rsidRPr="00F0129B">
              <w:rPr>
                <w:snapToGrid w:val="0"/>
                <w:sz w:val="18"/>
                <w:szCs w:val="18"/>
                <w:lang w:bidi="en-US"/>
              </w:rPr>
              <w:t xml:space="preserve"> Zhang</w:t>
            </w:r>
          </w:p>
        </w:tc>
        <w:tc>
          <w:tcPr>
            <w:tcW w:w="850" w:type="dxa"/>
            <w:tcBorders>
              <w:bottom w:val="single" w:sz="8" w:space="0" w:color="auto"/>
            </w:tcBorders>
          </w:tcPr>
          <w:p w14:paraId="7164BF87"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2</w:t>
            </w:r>
            <w:r>
              <w:rPr>
                <w:snapToGrid w:val="0"/>
                <w:sz w:val="18"/>
                <w:szCs w:val="18"/>
                <w:lang w:bidi="en-US"/>
              </w:rPr>
              <w:t>009</w:t>
            </w:r>
          </w:p>
        </w:tc>
        <w:tc>
          <w:tcPr>
            <w:tcW w:w="1418" w:type="dxa"/>
            <w:tcBorders>
              <w:bottom w:val="single" w:sz="8" w:space="0" w:color="auto"/>
            </w:tcBorders>
          </w:tcPr>
          <w:p w14:paraId="4114A0B8"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N</w:t>
            </w:r>
            <w:r>
              <w:rPr>
                <w:snapToGrid w:val="0"/>
                <w:sz w:val="18"/>
                <w:szCs w:val="18"/>
                <w:lang w:bidi="en-US"/>
              </w:rPr>
              <w:t>o</w:t>
            </w:r>
          </w:p>
        </w:tc>
        <w:tc>
          <w:tcPr>
            <w:tcW w:w="1275" w:type="dxa"/>
            <w:tcBorders>
              <w:bottom w:val="single" w:sz="8" w:space="0" w:color="auto"/>
            </w:tcBorders>
          </w:tcPr>
          <w:p w14:paraId="4F66844A"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snapToGrid w:val="0"/>
                <w:sz w:val="18"/>
                <w:szCs w:val="18"/>
                <w:lang w:bidi="en-US"/>
              </w:rPr>
              <w:t>1990-2000</w:t>
            </w:r>
          </w:p>
        </w:tc>
        <w:tc>
          <w:tcPr>
            <w:tcW w:w="1418" w:type="dxa"/>
            <w:tcBorders>
              <w:bottom w:val="single" w:sz="8" w:space="0" w:color="auto"/>
            </w:tcBorders>
          </w:tcPr>
          <w:p w14:paraId="2AEDF5BB"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537 counties</w:t>
            </w:r>
          </w:p>
        </w:tc>
        <w:tc>
          <w:tcPr>
            <w:tcW w:w="1559" w:type="dxa"/>
            <w:tcBorders>
              <w:bottom w:val="single" w:sz="8" w:space="0" w:color="auto"/>
            </w:tcBorders>
          </w:tcPr>
          <w:p w14:paraId="05F8E187"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1</w:t>
            </w:r>
            <w:r>
              <w:rPr>
                <w:snapToGrid w:val="0"/>
                <w:sz w:val="18"/>
                <w:szCs w:val="18"/>
                <w:lang w:bidi="en-US"/>
              </w:rPr>
              <w:t>994-1997</w:t>
            </w:r>
          </w:p>
        </w:tc>
        <w:tc>
          <w:tcPr>
            <w:tcW w:w="1276" w:type="dxa"/>
            <w:tcBorders>
              <w:bottom w:val="single" w:sz="8" w:space="0" w:color="auto"/>
            </w:tcBorders>
          </w:tcPr>
          <w:p w14:paraId="37F09C4F" w14:textId="77777777" w:rsidR="00890E0A" w:rsidRPr="001C2730" w:rsidRDefault="00890E0A" w:rsidP="00BD2F5C">
            <w:pPr>
              <w:adjustRightInd w:val="0"/>
              <w:snapToGrid w:val="0"/>
              <w:spacing w:before="120" w:after="120" w:line="228" w:lineRule="auto"/>
              <w:jc w:val="center"/>
              <w:rPr>
                <w:snapToGrid w:val="0"/>
                <w:sz w:val="18"/>
                <w:szCs w:val="18"/>
                <w:lang w:bidi="en-US"/>
              </w:rPr>
            </w:pPr>
            <w:r>
              <w:rPr>
                <w:rFonts w:hint="eastAsia"/>
                <w:snapToGrid w:val="0"/>
                <w:sz w:val="18"/>
                <w:szCs w:val="18"/>
                <w:lang w:bidi="en-US"/>
              </w:rPr>
              <w:t>G</w:t>
            </w:r>
            <w:r>
              <w:rPr>
                <w:snapToGrid w:val="0"/>
                <w:sz w:val="18"/>
                <w:szCs w:val="18"/>
                <w:lang w:bidi="en-US"/>
              </w:rPr>
              <w:t>DP</w:t>
            </w:r>
          </w:p>
        </w:tc>
      </w:tr>
    </w:tbl>
    <w:p w14:paraId="4AF8B45E" w14:textId="0DEBEBA0" w:rsidR="00797613" w:rsidRDefault="00890E0A" w:rsidP="00797613">
      <w:pPr>
        <w:adjustRightInd w:val="0"/>
        <w:snapToGrid w:val="0"/>
        <w:spacing w:before="120" w:after="120" w:line="240" w:lineRule="auto"/>
        <w:rPr>
          <w:rFonts w:ascii="Palatino Linotype" w:eastAsia="SimSun" w:hAnsi="Palatino Linotype"/>
          <w:snapToGrid w:val="0"/>
          <w:color w:val="000000"/>
          <w:sz w:val="18"/>
          <w:szCs w:val="18"/>
          <w:lang w:bidi="en-US"/>
        </w:rPr>
      </w:pPr>
      <w:r w:rsidRPr="00093B15">
        <w:rPr>
          <w:rFonts w:ascii="Palatino Linotype" w:eastAsia="SimSun" w:hAnsi="Palatino Linotype"/>
          <w:i/>
          <w:iCs/>
          <w:snapToGrid w:val="0"/>
          <w:color w:val="000000"/>
          <w:sz w:val="18"/>
          <w:szCs w:val="18"/>
          <w:lang w:bidi="en-US"/>
        </w:rPr>
        <w:t>Notes:</w:t>
      </w:r>
      <w:r w:rsidR="00797613">
        <w:rPr>
          <w:rFonts w:ascii="Palatino Linotype" w:eastAsia="SimSun" w:hAnsi="Palatino Linotype"/>
          <w:i/>
          <w:iCs/>
          <w:snapToGrid w:val="0"/>
          <w:color w:val="000000"/>
          <w:sz w:val="18"/>
          <w:szCs w:val="18"/>
          <w:lang w:bidi="en-US"/>
        </w:rPr>
        <w:tab/>
      </w:r>
      <w:r>
        <w:rPr>
          <w:rFonts w:ascii="Palatino Linotype" w:eastAsia="SimSun" w:hAnsi="Palatino Linotype"/>
          <w:snapToGrid w:val="0"/>
          <w:color w:val="000000"/>
          <w:sz w:val="18"/>
          <w:szCs w:val="18"/>
          <w:lang w:bidi="en-US"/>
        </w:rPr>
        <w:t xml:space="preserve"> </w:t>
      </w:r>
      <w:r w:rsidR="00797613">
        <w:rPr>
          <w:rFonts w:ascii="Palatino Linotype" w:eastAsia="SimSun" w:hAnsi="Palatino Linotype"/>
          <w:snapToGrid w:val="0"/>
          <w:color w:val="000000"/>
          <w:sz w:val="18"/>
          <w:szCs w:val="18"/>
          <w:vertAlign w:val="superscript"/>
          <w:lang w:bidi="en-US"/>
        </w:rPr>
        <w:t>a</w:t>
      </w:r>
      <w:r w:rsidR="00797613">
        <w:rPr>
          <w:rFonts w:ascii="Palatino Linotype" w:eastAsia="SimSun" w:hAnsi="Palatino Linotype"/>
          <w:snapToGrid w:val="0"/>
          <w:color w:val="000000"/>
          <w:sz w:val="18"/>
          <w:szCs w:val="18"/>
          <w:lang w:bidi="en-US"/>
        </w:rPr>
        <w:t xml:space="preserve">DMSP is the Defence </w:t>
      </w:r>
      <w:r w:rsidR="00797613" w:rsidRPr="00093B15">
        <w:rPr>
          <w:rFonts w:ascii="Palatino Linotype" w:eastAsia="SimSun" w:hAnsi="Palatino Linotype"/>
          <w:snapToGrid w:val="0"/>
          <w:color w:val="000000"/>
          <w:sz w:val="18"/>
          <w:szCs w:val="18"/>
          <w:lang w:bidi="en-US"/>
        </w:rPr>
        <w:t>Meteorological</w:t>
      </w:r>
      <w:r w:rsidR="00797613">
        <w:rPr>
          <w:rFonts w:ascii="Palatino Linotype" w:eastAsia="SimSun" w:hAnsi="Palatino Linotype"/>
          <w:snapToGrid w:val="0"/>
          <w:color w:val="000000"/>
          <w:sz w:val="18"/>
          <w:szCs w:val="18"/>
          <w:lang w:bidi="en-US"/>
        </w:rPr>
        <w:t xml:space="preserve"> Satellite Program, which provides luminosity data.</w:t>
      </w:r>
    </w:p>
    <w:p w14:paraId="422C4A52" w14:textId="77777777" w:rsidR="00797613" w:rsidRDefault="00797613" w:rsidP="00797613">
      <w:pPr>
        <w:adjustRightInd w:val="0"/>
        <w:snapToGrid w:val="0"/>
        <w:spacing w:before="120" w:after="120" w:line="240" w:lineRule="auto"/>
        <w:ind w:firstLine="720"/>
        <w:rPr>
          <w:rFonts w:ascii="Palatino Linotype" w:eastAsia="SimSun" w:hAnsi="Palatino Linotype"/>
          <w:snapToGrid w:val="0"/>
          <w:color w:val="000000"/>
          <w:sz w:val="18"/>
          <w:szCs w:val="18"/>
          <w:lang w:bidi="en-US"/>
        </w:rPr>
      </w:pPr>
      <w:r>
        <w:rPr>
          <w:rFonts w:ascii="Palatino Linotype" w:eastAsia="SimSun" w:hAnsi="Palatino Linotype"/>
          <w:snapToGrid w:val="0"/>
          <w:color w:val="000000"/>
          <w:sz w:val="18"/>
          <w:szCs w:val="18"/>
          <w:vertAlign w:val="superscript"/>
          <w:lang w:bidi="en-US"/>
        </w:rPr>
        <w:t>b</w:t>
      </w:r>
      <w:r>
        <w:rPr>
          <w:rFonts w:ascii="Palatino Linotype" w:eastAsia="SimSun" w:hAnsi="Palatino Linotype"/>
          <w:snapToGrid w:val="0"/>
          <w:color w:val="000000"/>
          <w:sz w:val="18"/>
          <w:szCs w:val="18"/>
          <w:lang w:bidi="en-US"/>
        </w:rPr>
        <w:t>GVIAO is the Gross Value of Industrial and Agricultural Output.</w:t>
      </w:r>
    </w:p>
    <w:p w14:paraId="0FD17180" w14:textId="382C1344" w:rsidR="00890E0A" w:rsidRDefault="00890E0A" w:rsidP="00BD2F5C">
      <w:pPr>
        <w:adjustRightInd w:val="0"/>
        <w:snapToGrid w:val="0"/>
        <w:spacing w:before="120" w:after="120" w:line="240" w:lineRule="auto"/>
        <w:rPr>
          <w:rFonts w:ascii="Palatino Linotype" w:eastAsia="SimSun" w:hAnsi="Palatino Linotype"/>
          <w:snapToGrid w:val="0"/>
          <w:color w:val="000000"/>
          <w:sz w:val="18"/>
          <w:szCs w:val="18"/>
          <w:lang w:bidi="en-US"/>
        </w:rPr>
      </w:pPr>
    </w:p>
    <w:p w14:paraId="4C48E9AE" w14:textId="760E75D2" w:rsidR="003D389E" w:rsidRPr="002A1D3B" w:rsidRDefault="002A1D3B" w:rsidP="00BD2F5C">
      <w:pPr>
        <w:spacing w:before="120" w:after="120" w:line="360" w:lineRule="auto"/>
        <w:ind w:firstLine="720"/>
        <w:jc w:val="both"/>
        <w:rPr>
          <w:bCs/>
        </w:rPr>
      </w:pPr>
      <w:r w:rsidRPr="002A1D3B">
        <w:rPr>
          <w:bCs/>
          <w:lang w:val="en-AU"/>
        </w:rPr>
        <w:t xml:space="preserve">A key feature of the difference-in-differences approach is that it </w:t>
      </w:r>
      <w:r w:rsidR="0034762A">
        <w:rPr>
          <w:bCs/>
          <w:lang w:val="en-AU"/>
        </w:rPr>
        <w:t xml:space="preserve">typically </w:t>
      </w:r>
      <w:r w:rsidRPr="002A1D3B">
        <w:rPr>
          <w:bCs/>
          <w:lang w:val="en-AU"/>
        </w:rPr>
        <w:t xml:space="preserve">treats spatial units as independent of neighbours. </w:t>
      </w:r>
      <w:r w:rsidR="00A17F4B">
        <w:rPr>
          <w:bCs/>
          <w:lang w:val="en-AU"/>
        </w:rPr>
        <w:t xml:space="preserve">In other words, a </w:t>
      </w:r>
      <w:r w:rsidRPr="002A1D3B">
        <w:rPr>
          <w:bCs/>
          <w:lang w:val="en-AU"/>
        </w:rPr>
        <w:t>stable unit treatment</w:t>
      </w:r>
      <w:r w:rsidR="00DC2BDA">
        <w:rPr>
          <w:bCs/>
          <w:lang w:val="en-AU"/>
        </w:rPr>
        <w:t xml:space="preserve"> value assumption (SUTVA) </w:t>
      </w:r>
      <w:r w:rsidR="00A17F4B">
        <w:rPr>
          <w:bCs/>
          <w:lang w:val="en-AU"/>
        </w:rPr>
        <w:t xml:space="preserve">is </w:t>
      </w:r>
      <w:r w:rsidR="00DC2BDA">
        <w:rPr>
          <w:bCs/>
          <w:lang w:val="en-AU"/>
        </w:rPr>
        <w:t>relie</w:t>
      </w:r>
      <w:r w:rsidR="00A17F4B">
        <w:rPr>
          <w:bCs/>
          <w:lang w:val="en-AU"/>
        </w:rPr>
        <w:t xml:space="preserve">d upon. While alternative difference-in-difference estimators that relax this assumption of </w:t>
      </w:r>
      <w:r w:rsidRPr="002A1D3B">
        <w:rPr>
          <w:bCs/>
          <w:lang w:val="en-AU"/>
        </w:rPr>
        <w:t xml:space="preserve">independence </w:t>
      </w:r>
      <w:r w:rsidR="00A17F4B">
        <w:rPr>
          <w:bCs/>
          <w:lang w:val="en-AU"/>
        </w:rPr>
        <w:t xml:space="preserve">have been developed using spatial econometric models </w:t>
      </w:r>
      <w:r w:rsidRPr="002A1D3B">
        <w:rPr>
          <w:bCs/>
          <w:lang w:val="en-AU"/>
        </w:rPr>
        <w:t>(</w:t>
      </w:r>
      <w:r w:rsidR="00A17F4B">
        <w:rPr>
          <w:bCs/>
          <w:lang w:val="en-AU"/>
        </w:rPr>
        <w:t xml:space="preserve">e.g., </w:t>
      </w:r>
      <w:r w:rsidRPr="002A1D3B">
        <w:rPr>
          <w:bCs/>
          <w:lang w:val="en-AU"/>
        </w:rPr>
        <w:t xml:space="preserve">Delgado and Florax, 2015) </w:t>
      </w:r>
      <w:r w:rsidR="00A17F4B">
        <w:rPr>
          <w:bCs/>
          <w:lang w:val="en-AU"/>
        </w:rPr>
        <w:t xml:space="preserve">these have not been used in the </w:t>
      </w:r>
      <w:r w:rsidR="0034762A">
        <w:rPr>
          <w:bCs/>
          <w:lang w:val="en-AU"/>
        </w:rPr>
        <w:t>studies of upgrading in China. In fact</w:t>
      </w:r>
      <w:r w:rsidR="00A17F4B">
        <w:rPr>
          <w:bCs/>
          <w:lang w:val="en-AU"/>
        </w:rPr>
        <w:t xml:space="preserve">, </w:t>
      </w:r>
      <w:r w:rsidR="00DC2BDA">
        <w:rPr>
          <w:bCs/>
          <w:lang w:val="en-AU"/>
        </w:rPr>
        <w:t>none o</w:t>
      </w:r>
      <w:r w:rsidR="00A17F4B">
        <w:rPr>
          <w:bCs/>
          <w:lang w:val="en-AU"/>
        </w:rPr>
        <w:t>f the</w:t>
      </w:r>
      <w:r w:rsidR="00DC2BDA">
        <w:rPr>
          <w:bCs/>
          <w:lang w:val="en-AU"/>
        </w:rPr>
        <w:t xml:space="preserve"> studies </w:t>
      </w:r>
      <w:r w:rsidR="00A17F4B">
        <w:rPr>
          <w:bCs/>
          <w:lang w:val="en-AU"/>
        </w:rPr>
        <w:t xml:space="preserve">we reviewed </w:t>
      </w:r>
      <w:r w:rsidR="0034762A">
        <w:rPr>
          <w:bCs/>
          <w:lang w:val="en-AU"/>
        </w:rPr>
        <w:t>seem</w:t>
      </w:r>
      <w:r w:rsidR="00DC2BDA">
        <w:rPr>
          <w:bCs/>
          <w:lang w:val="en-AU"/>
        </w:rPr>
        <w:t xml:space="preserve"> to </w:t>
      </w:r>
      <w:r w:rsidR="0034762A">
        <w:rPr>
          <w:bCs/>
          <w:lang w:val="en-AU"/>
        </w:rPr>
        <w:t xml:space="preserve">use </w:t>
      </w:r>
      <w:r w:rsidR="00DC2BDA">
        <w:rPr>
          <w:bCs/>
          <w:lang w:val="en-AU"/>
        </w:rPr>
        <w:t xml:space="preserve">spatial econometric models (as seen from column 3 of Table 2) </w:t>
      </w:r>
      <w:r w:rsidR="0034762A">
        <w:rPr>
          <w:bCs/>
          <w:lang w:val="en-AU"/>
        </w:rPr>
        <w:t xml:space="preserve">although these is some discussion of possible spillovers in a few of the papers. For example, </w:t>
      </w:r>
      <w:r w:rsidR="0034762A">
        <w:rPr>
          <w:rFonts w:eastAsia="Times New Roman"/>
          <w:bCs/>
          <w:iCs/>
          <w:kern w:val="36"/>
          <w:lang w:eastAsia="en-NZ" w:bidi="en-US"/>
        </w:rPr>
        <w:t xml:space="preserve">Tang (2021) and Zeng and You (2002) drop some untreated counties if they are near to the upgraded counties, </w:t>
      </w:r>
      <w:r w:rsidR="00B11B1E">
        <w:rPr>
          <w:rFonts w:eastAsia="Times New Roman"/>
          <w:bCs/>
          <w:iCs/>
          <w:kern w:val="36"/>
          <w:lang w:eastAsia="en-NZ" w:bidi="en-US"/>
        </w:rPr>
        <w:t xml:space="preserve">as sensitivity analyses </w:t>
      </w:r>
      <w:r w:rsidR="0034762A">
        <w:rPr>
          <w:rFonts w:eastAsia="Times New Roman"/>
          <w:bCs/>
          <w:iCs/>
          <w:kern w:val="36"/>
          <w:lang w:eastAsia="en-NZ" w:bidi="en-US"/>
        </w:rPr>
        <w:t xml:space="preserve">in case outcomes for </w:t>
      </w:r>
      <w:r w:rsidR="00B11B1E">
        <w:rPr>
          <w:rFonts w:eastAsia="Times New Roman"/>
          <w:bCs/>
          <w:iCs/>
          <w:kern w:val="36"/>
          <w:lang w:eastAsia="en-NZ" w:bidi="en-US"/>
        </w:rPr>
        <w:t xml:space="preserve">the </w:t>
      </w:r>
      <w:r w:rsidR="0034762A">
        <w:rPr>
          <w:rFonts w:eastAsia="Times New Roman"/>
          <w:bCs/>
          <w:iCs/>
          <w:kern w:val="36"/>
          <w:lang w:eastAsia="en-NZ" w:bidi="en-US"/>
        </w:rPr>
        <w:t xml:space="preserve">nearby counties had been affected by spillovers </w:t>
      </w:r>
      <w:r w:rsidR="00B11B1E">
        <w:rPr>
          <w:rFonts w:eastAsia="Times New Roman"/>
          <w:bCs/>
          <w:iCs/>
          <w:kern w:val="36"/>
          <w:lang w:eastAsia="en-NZ" w:bidi="en-US"/>
        </w:rPr>
        <w:t xml:space="preserve">coming </w:t>
      </w:r>
      <w:r w:rsidR="0034762A">
        <w:rPr>
          <w:rFonts w:eastAsia="Times New Roman"/>
          <w:bCs/>
          <w:iCs/>
          <w:kern w:val="36"/>
          <w:lang w:eastAsia="en-NZ" w:bidi="en-US"/>
        </w:rPr>
        <w:t xml:space="preserve">from the treated units. </w:t>
      </w:r>
      <w:r w:rsidR="00B11B1E">
        <w:rPr>
          <w:rFonts w:eastAsia="Times New Roman"/>
          <w:bCs/>
          <w:iCs/>
          <w:kern w:val="36"/>
          <w:lang w:eastAsia="en-NZ" w:bidi="en-US"/>
        </w:rPr>
        <w:t>Perhaps the closest to using a spatial model is Bo (2020) who</w:t>
      </w:r>
      <w:r w:rsidR="00B3631E">
        <w:rPr>
          <w:rFonts w:eastAsia="Times New Roman"/>
          <w:bCs/>
          <w:iCs/>
          <w:kern w:val="36"/>
          <w:lang w:eastAsia="en-NZ" w:bidi="en-US"/>
        </w:rPr>
        <w:t xml:space="preserve"> includes treatment status of contiguous neighbours; a spatial</w:t>
      </w:r>
      <w:r w:rsidR="00965C95">
        <w:rPr>
          <w:rFonts w:eastAsia="Times New Roman"/>
          <w:bCs/>
          <w:iCs/>
          <w:kern w:val="36"/>
          <w:lang w:eastAsia="en-NZ" w:bidi="en-US"/>
        </w:rPr>
        <w:t xml:space="preserve"> lag of a</w:t>
      </w:r>
      <w:r w:rsidR="00B3631E">
        <w:rPr>
          <w:rFonts w:eastAsia="Times New Roman"/>
          <w:bCs/>
          <w:iCs/>
          <w:kern w:val="36"/>
          <w:lang w:eastAsia="en-NZ" w:bidi="en-US"/>
        </w:rPr>
        <w:t xml:space="preserve"> covariate can generate local but not global spillovers (LeSage and Pace, 2009) so this specification </w:t>
      </w:r>
      <w:r w:rsidR="00965C95">
        <w:rPr>
          <w:rFonts w:eastAsia="Times New Roman"/>
          <w:bCs/>
          <w:iCs/>
          <w:kern w:val="36"/>
          <w:lang w:eastAsia="en-NZ" w:bidi="en-US"/>
        </w:rPr>
        <w:t>restricts the types of spillovers.</w:t>
      </w:r>
      <w:r w:rsidR="00965C95">
        <w:rPr>
          <w:rStyle w:val="FootnoteReference"/>
          <w:rFonts w:eastAsia="Times New Roman"/>
          <w:bCs/>
          <w:iCs/>
          <w:kern w:val="36"/>
          <w:lang w:eastAsia="en-NZ" w:bidi="en-US"/>
        </w:rPr>
        <w:footnoteReference w:id="5"/>
      </w:r>
    </w:p>
    <w:p w14:paraId="17FD1462" w14:textId="77777777" w:rsidR="00C70E26" w:rsidRPr="006E5888" w:rsidRDefault="003D389E" w:rsidP="00446515">
      <w:pPr>
        <w:spacing w:before="240" w:after="240" w:line="360" w:lineRule="auto"/>
        <w:rPr>
          <w:b/>
          <w:sz w:val="26"/>
          <w:szCs w:val="26"/>
          <w:lang w:val="en-US"/>
        </w:rPr>
      </w:pPr>
      <w:r w:rsidRPr="006E5888">
        <w:rPr>
          <w:b/>
          <w:sz w:val="26"/>
          <w:szCs w:val="26"/>
          <w:lang w:val="en-US"/>
        </w:rPr>
        <w:t>III.</w:t>
      </w:r>
      <w:r w:rsidRPr="006E5888">
        <w:rPr>
          <w:b/>
          <w:sz w:val="26"/>
          <w:szCs w:val="26"/>
          <w:lang w:val="en-US"/>
        </w:rPr>
        <w:tab/>
        <w:t xml:space="preserve">Data and Methods </w:t>
      </w:r>
    </w:p>
    <w:p w14:paraId="5584B320" w14:textId="77777777" w:rsidR="00446515" w:rsidRDefault="00857577" w:rsidP="00446515">
      <w:pPr>
        <w:spacing w:before="120" w:after="120" w:line="360" w:lineRule="auto"/>
        <w:jc w:val="both"/>
        <w:rPr>
          <w:rFonts w:eastAsia="Times New Roman"/>
          <w:bCs/>
          <w:iCs/>
          <w:kern w:val="36"/>
          <w:lang w:eastAsia="en-NZ" w:bidi="en-US"/>
        </w:rPr>
      </w:pPr>
      <w:r>
        <w:rPr>
          <w:bCs/>
          <w:lang w:val="en-US"/>
        </w:rPr>
        <w:t xml:space="preserve">Our review of studies evaluating effects of giving selected subnational units in China </w:t>
      </w:r>
      <w:r w:rsidR="00AB7667">
        <w:rPr>
          <w:bCs/>
          <w:lang w:val="en-US"/>
        </w:rPr>
        <w:t xml:space="preserve">city </w:t>
      </w:r>
      <w:r w:rsidR="00956046">
        <w:rPr>
          <w:bCs/>
          <w:lang w:val="en-US"/>
        </w:rPr>
        <w:t>status shows</w:t>
      </w:r>
      <w:r>
        <w:rPr>
          <w:bCs/>
          <w:lang w:val="en-US"/>
        </w:rPr>
        <w:t xml:space="preserve"> that spatial econometric models have not been used, even </w:t>
      </w:r>
      <w:r w:rsidR="00956046">
        <w:rPr>
          <w:bCs/>
          <w:lang w:val="en-US"/>
        </w:rPr>
        <w:t xml:space="preserve">for studies with </w:t>
      </w:r>
      <w:r w:rsidR="00AB7667">
        <w:rPr>
          <w:bCs/>
          <w:lang w:val="en-US"/>
        </w:rPr>
        <w:t>a</w:t>
      </w:r>
      <w:r>
        <w:rPr>
          <w:bCs/>
          <w:lang w:val="en-US"/>
        </w:rPr>
        <w:t xml:space="preserve"> (limited) discussion of spillover effects. In this section</w:t>
      </w:r>
      <w:r w:rsidR="00956046">
        <w:rPr>
          <w:bCs/>
          <w:lang w:val="en-US"/>
        </w:rPr>
        <w:t>,</w:t>
      </w:r>
      <w:r>
        <w:rPr>
          <w:bCs/>
          <w:lang w:val="en-US"/>
        </w:rPr>
        <w:t xml:space="preserve"> the data and estimation framework use</w:t>
      </w:r>
      <w:r w:rsidR="00956046">
        <w:rPr>
          <w:bCs/>
          <w:lang w:val="en-US"/>
        </w:rPr>
        <w:t>d</w:t>
      </w:r>
      <w:r>
        <w:rPr>
          <w:bCs/>
          <w:lang w:val="en-US"/>
        </w:rPr>
        <w:t xml:space="preserve"> her</w:t>
      </w:r>
      <w:r w:rsidR="00956046">
        <w:rPr>
          <w:bCs/>
          <w:lang w:val="en-US"/>
        </w:rPr>
        <w:t>e</w:t>
      </w:r>
      <w:r>
        <w:rPr>
          <w:bCs/>
          <w:lang w:val="en-US"/>
        </w:rPr>
        <w:t xml:space="preserve"> to shed some light on the nature of these spillovers</w:t>
      </w:r>
      <w:r w:rsidR="00956046">
        <w:rPr>
          <w:bCs/>
          <w:lang w:val="en-US"/>
        </w:rPr>
        <w:t xml:space="preserve"> are described</w:t>
      </w:r>
      <w:r>
        <w:rPr>
          <w:bCs/>
          <w:lang w:val="en-US"/>
        </w:rPr>
        <w:t>. In contrast to the prior studies, we are less interested in quasi-</w:t>
      </w:r>
      <w:r w:rsidR="00B11B1E">
        <w:rPr>
          <w:bCs/>
          <w:lang w:val="en-US"/>
        </w:rPr>
        <w:t xml:space="preserve">causal </w:t>
      </w:r>
      <w:r>
        <w:rPr>
          <w:bCs/>
          <w:lang w:val="en-US"/>
        </w:rPr>
        <w:t xml:space="preserve">analyses of </w:t>
      </w:r>
      <w:r w:rsidR="00B11B1E">
        <w:rPr>
          <w:bCs/>
          <w:lang w:val="en-US"/>
        </w:rPr>
        <w:t>particular treatment</w:t>
      </w:r>
      <w:r w:rsidR="00956046">
        <w:rPr>
          <w:bCs/>
          <w:lang w:val="en-US"/>
        </w:rPr>
        <w:t>s</w:t>
      </w:r>
      <w:r>
        <w:rPr>
          <w:bCs/>
          <w:lang w:val="en-US"/>
        </w:rPr>
        <w:t xml:space="preserve"> (such as converting counties to county-level cities)</w:t>
      </w:r>
      <w:r w:rsidR="00956046">
        <w:rPr>
          <w:bCs/>
          <w:lang w:val="en-US"/>
        </w:rPr>
        <w:t>.</w:t>
      </w:r>
      <w:r>
        <w:rPr>
          <w:bCs/>
          <w:lang w:val="en-US"/>
        </w:rPr>
        <w:t xml:space="preserve"> </w:t>
      </w:r>
      <w:r w:rsidR="00956046">
        <w:rPr>
          <w:bCs/>
          <w:lang w:val="en-US"/>
        </w:rPr>
        <w:t>Instead, our interest is</w:t>
      </w:r>
      <w:r>
        <w:rPr>
          <w:bCs/>
          <w:lang w:val="en-US"/>
        </w:rPr>
        <w:t xml:space="preserve"> in using a comprehensive modelling framework </w:t>
      </w:r>
      <w:r w:rsidR="009138F7">
        <w:rPr>
          <w:bCs/>
          <w:lang w:val="en-US"/>
        </w:rPr>
        <w:t xml:space="preserve">to </w:t>
      </w:r>
      <w:r>
        <w:rPr>
          <w:bCs/>
          <w:lang w:val="en-US"/>
        </w:rPr>
        <w:t xml:space="preserve">help to establish where and how spillovers may </w:t>
      </w:r>
      <w:r w:rsidR="00956046">
        <w:rPr>
          <w:bCs/>
          <w:lang w:val="en-US"/>
        </w:rPr>
        <w:t>occur</w:t>
      </w:r>
      <w:r>
        <w:rPr>
          <w:bCs/>
          <w:lang w:val="en-US"/>
        </w:rPr>
        <w:t>.</w:t>
      </w:r>
      <w:r w:rsidR="00055061">
        <w:rPr>
          <w:rStyle w:val="FootnoteReference"/>
          <w:bCs/>
          <w:lang w:val="en-US"/>
        </w:rPr>
        <w:footnoteReference w:id="6"/>
      </w:r>
      <w:r>
        <w:rPr>
          <w:bCs/>
          <w:lang w:val="en-US"/>
        </w:rPr>
        <w:t xml:space="preserve"> In doing so, we adopt the langua</w:t>
      </w:r>
      <w:r w:rsidR="00956046">
        <w:rPr>
          <w:bCs/>
          <w:lang w:val="en-US"/>
        </w:rPr>
        <w:t>ge of spatial econometrics (</w:t>
      </w:r>
      <w:r>
        <w:rPr>
          <w:bCs/>
          <w:lang w:val="en-US"/>
        </w:rPr>
        <w:t xml:space="preserve">especially LeSage and Pace (2009)) in </w:t>
      </w:r>
      <w:r w:rsidR="009138F7">
        <w:rPr>
          <w:bCs/>
          <w:lang w:val="en-US"/>
        </w:rPr>
        <w:t xml:space="preserve">terms of </w:t>
      </w:r>
      <w:r>
        <w:rPr>
          <w:bCs/>
          <w:lang w:val="en-US"/>
        </w:rPr>
        <w:t xml:space="preserve">direct, indirect, and total “impacts” even though some </w:t>
      </w:r>
      <w:r w:rsidR="00956046">
        <w:rPr>
          <w:bCs/>
          <w:lang w:val="en-US"/>
        </w:rPr>
        <w:t xml:space="preserve">branches </w:t>
      </w:r>
      <w:r>
        <w:rPr>
          <w:bCs/>
          <w:lang w:val="en-US"/>
        </w:rPr>
        <w:t>of economics increasingly reserve the term “impacts” for</w:t>
      </w:r>
      <w:r w:rsidR="00AB7667">
        <w:rPr>
          <w:bCs/>
          <w:lang w:val="en-US"/>
        </w:rPr>
        <w:t xml:space="preserve"> </w:t>
      </w:r>
      <w:r w:rsidR="00977D66">
        <w:rPr>
          <w:bCs/>
          <w:lang w:val="en-US"/>
        </w:rPr>
        <w:t>context</w:t>
      </w:r>
      <w:r w:rsidR="00AB7667">
        <w:rPr>
          <w:bCs/>
          <w:lang w:val="en-US"/>
        </w:rPr>
        <w:t xml:space="preserve">s </w:t>
      </w:r>
      <w:r w:rsidR="009138F7">
        <w:rPr>
          <w:bCs/>
          <w:lang w:val="en-US"/>
        </w:rPr>
        <w:t xml:space="preserve">with </w:t>
      </w:r>
      <w:r w:rsidR="00AB7667" w:rsidRPr="00452798">
        <w:rPr>
          <w:rFonts w:eastAsia="Times New Roman"/>
          <w:bCs/>
          <w:iCs/>
          <w:kern w:val="36"/>
          <w:lang w:eastAsia="en-NZ" w:bidi="en-US"/>
        </w:rPr>
        <w:t>explanatory variables subject to either explicit manipulation (as in randomized control trial</w:t>
      </w:r>
      <w:r w:rsidR="00956046">
        <w:rPr>
          <w:rFonts w:eastAsia="Times New Roman"/>
          <w:bCs/>
          <w:iCs/>
          <w:kern w:val="36"/>
          <w:lang w:eastAsia="en-NZ" w:bidi="en-US"/>
        </w:rPr>
        <w:t>s</w:t>
      </w:r>
      <w:r w:rsidR="00AB7667" w:rsidRPr="00452798">
        <w:rPr>
          <w:rFonts w:eastAsia="Times New Roman"/>
          <w:bCs/>
          <w:iCs/>
          <w:kern w:val="36"/>
          <w:lang w:eastAsia="en-NZ" w:bidi="en-US"/>
        </w:rPr>
        <w:t xml:space="preserve">) or </w:t>
      </w:r>
      <w:r w:rsidR="00055061">
        <w:rPr>
          <w:rFonts w:eastAsia="Times New Roman"/>
          <w:bCs/>
          <w:iCs/>
          <w:kern w:val="36"/>
          <w:lang w:eastAsia="en-NZ" w:bidi="en-US"/>
        </w:rPr>
        <w:t xml:space="preserve">that </w:t>
      </w:r>
      <w:r w:rsidR="00AB7667" w:rsidRPr="00452798">
        <w:rPr>
          <w:rFonts w:eastAsia="Times New Roman"/>
          <w:bCs/>
          <w:iCs/>
          <w:kern w:val="36"/>
          <w:lang w:eastAsia="en-NZ" w:bidi="en-US"/>
        </w:rPr>
        <w:t>vary due to some naturally occurring (partial) randomization that allows use of instrumental variables</w:t>
      </w:r>
      <w:r w:rsidR="00AB7667">
        <w:rPr>
          <w:rFonts w:eastAsia="Times New Roman"/>
          <w:bCs/>
          <w:iCs/>
          <w:kern w:val="36"/>
          <w:lang w:eastAsia="en-NZ" w:bidi="en-US"/>
        </w:rPr>
        <w:t xml:space="preserve"> (Gibson et al, 2023).</w:t>
      </w:r>
      <w:r w:rsidR="009138F7">
        <w:rPr>
          <w:rFonts w:eastAsia="Times New Roman"/>
          <w:bCs/>
          <w:iCs/>
          <w:kern w:val="36"/>
          <w:lang w:eastAsia="en-NZ" w:bidi="en-US"/>
        </w:rPr>
        <w:t xml:space="preserve"> </w:t>
      </w:r>
      <w:r w:rsidR="00F14023">
        <w:rPr>
          <w:rFonts w:eastAsia="Times New Roman"/>
          <w:bCs/>
          <w:iCs/>
          <w:kern w:val="36"/>
          <w:lang w:eastAsia="en-NZ" w:bidi="en-US"/>
        </w:rPr>
        <w:t xml:space="preserve">Even if </w:t>
      </w:r>
      <w:r w:rsidR="009138F7">
        <w:rPr>
          <w:rFonts w:eastAsia="Times New Roman"/>
          <w:bCs/>
          <w:iCs/>
          <w:kern w:val="36"/>
          <w:lang w:eastAsia="en-NZ" w:bidi="en-US"/>
        </w:rPr>
        <w:t xml:space="preserve">the patterns </w:t>
      </w:r>
      <w:r w:rsidR="00F14023">
        <w:rPr>
          <w:rFonts w:eastAsia="Times New Roman"/>
          <w:bCs/>
          <w:iCs/>
          <w:kern w:val="36"/>
          <w:lang w:eastAsia="en-NZ" w:bidi="en-US"/>
        </w:rPr>
        <w:t xml:space="preserve">that </w:t>
      </w:r>
      <w:r w:rsidR="009138F7">
        <w:rPr>
          <w:rFonts w:eastAsia="Times New Roman"/>
          <w:bCs/>
          <w:iCs/>
          <w:kern w:val="36"/>
          <w:lang w:eastAsia="en-NZ" w:bidi="en-US"/>
        </w:rPr>
        <w:t xml:space="preserve">we find </w:t>
      </w:r>
      <w:r w:rsidR="00F14023">
        <w:rPr>
          <w:rFonts w:eastAsia="Times New Roman"/>
          <w:bCs/>
          <w:iCs/>
          <w:kern w:val="36"/>
          <w:lang w:eastAsia="en-NZ" w:bidi="en-US"/>
        </w:rPr>
        <w:t xml:space="preserve">are </w:t>
      </w:r>
      <w:r w:rsidR="00055061">
        <w:rPr>
          <w:rFonts w:eastAsia="Times New Roman"/>
          <w:bCs/>
          <w:iCs/>
          <w:kern w:val="36"/>
          <w:lang w:eastAsia="en-NZ" w:bidi="en-US"/>
        </w:rPr>
        <w:t xml:space="preserve">considered as </w:t>
      </w:r>
      <w:r w:rsidR="009138F7">
        <w:rPr>
          <w:rFonts w:eastAsia="Times New Roman"/>
          <w:bCs/>
          <w:iCs/>
          <w:kern w:val="36"/>
          <w:lang w:eastAsia="en-NZ" w:bidi="en-US"/>
        </w:rPr>
        <w:t>correlations</w:t>
      </w:r>
      <w:r w:rsidR="00F14023">
        <w:rPr>
          <w:rFonts w:eastAsia="Times New Roman"/>
          <w:bCs/>
          <w:iCs/>
          <w:kern w:val="36"/>
          <w:lang w:eastAsia="en-NZ" w:bidi="en-US"/>
        </w:rPr>
        <w:t xml:space="preserve"> these should still be present (and </w:t>
      </w:r>
      <w:r w:rsidR="00055061">
        <w:rPr>
          <w:rFonts w:eastAsia="Times New Roman"/>
          <w:bCs/>
          <w:iCs/>
          <w:kern w:val="36"/>
          <w:lang w:eastAsia="en-NZ" w:bidi="en-US"/>
        </w:rPr>
        <w:t xml:space="preserve">so should </w:t>
      </w:r>
      <w:r w:rsidR="00F14023">
        <w:rPr>
          <w:rFonts w:eastAsia="Times New Roman"/>
          <w:bCs/>
          <w:iCs/>
          <w:kern w:val="36"/>
          <w:lang w:eastAsia="en-NZ" w:bidi="en-US"/>
        </w:rPr>
        <w:t xml:space="preserve">be accounted for) in </w:t>
      </w:r>
      <w:r w:rsidR="00055061">
        <w:rPr>
          <w:rFonts w:eastAsia="Times New Roman"/>
          <w:bCs/>
          <w:iCs/>
          <w:kern w:val="36"/>
          <w:lang w:eastAsia="en-NZ" w:bidi="en-US"/>
        </w:rPr>
        <w:t xml:space="preserve">other </w:t>
      </w:r>
      <w:r w:rsidR="00F14023">
        <w:rPr>
          <w:rFonts w:eastAsia="Times New Roman"/>
          <w:bCs/>
          <w:iCs/>
          <w:kern w:val="36"/>
          <w:lang w:eastAsia="en-NZ" w:bidi="en-US"/>
        </w:rPr>
        <w:t>s</w:t>
      </w:r>
      <w:r w:rsidR="00055061">
        <w:rPr>
          <w:rFonts w:eastAsia="Times New Roman"/>
          <w:bCs/>
          <w:iCs/>
          <w:kern w:val="36"/>
          <w:lang w:eastAsia="en-NZ" w:bidi="en-US"/>
        </w:rPr>
        <w:t>tudies</w:t>
      </w:r>
      <w:r w:rsidR="00F14023">
        <w:rPr>
          <w:rFonts w:eastAsia="Times New Roman"/>
          <w:bCs/>
          <w:iCs/>
          <w:kern w:val="36"/>
          <w:lang w:eastAsia="en-NZ" w:bidi="en-US"/>
        </w:rPr>
        <w:t xml:space="preserve"> that use more formal quasi-causal models. In other words, </w:t>
      </w:r>
      <w:r w:rsidR="00F14023">
        <w:rPr>
          <w:rFonts w:eastAsia="Times New Roman"/>
          <w:bCs/>
          <w:iCs/>
          <w:kern w:val="36"/>
          <w:lang w:eastAsia="en-NZ" w:bidi="en-US"/>
        </w:rPr>
        <w:lastRenderedPageBreak/>
        <w:t xml:space="preserve">the results reported below are partly an exercise in allowing the data to speak, to see whether modelling decisions that </w:t>
      </w:r>
      <w:r w:rsidR="00F14023">
        <w:rPr>
          <w:rFonts w:eastAsia="Times New Roman"/>
          <w:bCs/>
          <w:i/>
          <w:kern w:val="36"/>
          <w:lang w:eastAsia="en-NZ" w:bidi="en-US"/>
        </w:rPr>
        <w:t>a priori</w:t>
      </w:r>
      <w:r w:rsidR="00F14023">
        <w:rPr>
          <w:rFonts w:eastAsia="Times New Roman"/>
          <w:bCs/>
          <w:iCs/>
          <w:kern w:val="36"/>
          <w:lang w:eastAsia="en-NZ" w:bidi="en-US"/>
        </w:rPr>
        <w:t xml:space="preserve"> rule out spatial spillovers have a sound basis.</w:t>
      </w:r>
    </w:p>
    <w:p w14:paraId="7912C681" w14:textId="1BBA4F66" w:rsidR="00055061" w:rsidRPr="00055061" w:rsidRDefault="00055061" w:rsidP="00E42EC9">
      <w:pPr>
        <w:spacing w:before="160" w:after="120" w:line="360" w:lineRule="auto"/>
        <w:jc w:val="both"/>
        <w:rPr>
          <w:bCs/>
          <w:i/>
          <w:iCs/>
        </w:rPr>
      </w:pPr>
      <w:r>
        <w:rPr>
          <w:bCs/>
          <w:i/>
          <w:iCs/>
        </w:rPr>
        <w:t>Data Sources</w:t>
      </w:r>
    </w:p>
    <w:p w14:paraId="342711C2" w14:textId="49A59173" w:rsidR="00C52635" w:rsidRPr="00C52635" w:rsidRDefault="00977D66" w:rsidP="00BD2F5C">
      <w:pPr>
        <w:spacing w:before="120" w:after="120" w:line="360" w:lineRule="auto"/>
        <w:jc w:val="both"/>
        <w:rPr>
          <w:bCs/>
        </w:rPr>
      </w:pPr>
      <w:r>
        <w:rPr>
          <w:bCs/>
        </w:rPr>
        <w:t xml:space="preserve">In order to empirically analyse spillovers we use two measures of economic activity – local GDP and local luminosity. China reports GDP for different types of spatial units in a variety of </w:t>
      </w:r>
      <w:r w:rsidR="00C52635" w:rsidRPr="00C52635">
        <w:rPr>
          <w:bCs/>
          <w:lang w:val="en-US"/>
        </w:rPr>
        <w:t>publications from the National Bureau of Statistics (NBS)</w:t>
      </w:r>
      <w:r>
        <w:rPr>
          <w:bCs/>
          <w:lang w:val="en-US"/>
        </w:rPr>
        <w:t>. We rely on three main sets of these</w:t>
      </w:r>
      <w:r w:rsidR="00C52635" w:rsidRPr="00C52635">
        <w:rPr>
          <w:bCs/>
          <w:lang w:val="en-US"/>
        </w:rPr>
        <w:t xml:space="preserve">: </w:t>
      </w:r>
      <w:r>
        <w:rPr>
          <w:bCs/>
          <w:lang w:val="en-US"/>
        </w:rPr>
        <w:t xml:space="preserve">(i) </w:t>
      </w:r>
      <w:r w:rsidR="00C52635" w:rsidRPr="00C52635">
        <w:rPr>
          <w:bCs/>
          <w:lang w:val="en-US"/>
        </w:rPr>
        <w:t>annual editions of the China Statistical Yearbook (county-level) (in Chinese it is </w:t>
      </w:r>
      <w:r w:rsidR="00C52635" w:rsidRPr="00C52635">
        <w:rPr>
          <w:bCs/>
          <w:i/>
          <w:iCs/>
          <w:lang w:val="en-US"/>
        </w:rPr>
        <w:t>Zhongguo Xianyu Tongji Nianjian (Xianshi Juan)</w:t>
      </w:r>
      <w:r w:rsidR="00C52635" w:rsidRPr="00C52635">
        <w:rPr>
          <w:bCs/>
          <w:lang w:val="en-US"/>
        </w:rPr>
        <w:t>), </w:t>
      </w:r>
      <w:r>
        <w:rPr>
          <w:bCs/>
          <w:lang w:val="en-US"/>
        </w:rPr>
        <w:t xml:space="preserve">(ii) </w:t>
      </w:r>
      <w:r w:rsidR="00C52635" w:rsidRPr="00C52635">
        <w:rPr>
          <w:bCs/>
          <w:lang w:val="en-US"/>
        </w:rPr>
        <w:t>annual editions of the China City Statistical Yearbook (known as </w:t>
      </w:r>
      <w:r w:rsidR="00C52635" w:rsidRPr="00C52635">
        <w:rPr>
          <w:bCs/>
          <w:i/>
          <w:iCs/>
          <w:lang w:val="en-US"/>
        </w:rPr>
        <w:t>Zhongguo Chengshi Tongji Nianjian</w:t>
      </w:r>
      <w:r w:rsidR="00C52635" w:rsidRPr="00C52635">
        <w:rPr>
          <w:bCs/>
          <w:lang w:val="en-US"/>
        </w:rPr>
        <w:t xml:space="preserve">), and </w:t>
      </w:r>
      <w:r>
        <w:rPr>
          <w:bCs/>
          <w:lang w:val="en-US"/>
        </w:rPr>
        <w:t xml:space="preserve">(iii) </w:t>
      </w:r>
      <w:r w:rsidR="00C52635" w:rsidRPr="00C52635">
        <w:rPr>
          <w:bCs/>
          <w:lang w:val="en-US"/>
        </w:rPr>
        <w:t>annual</w:t>
      </w:r>
      <w:r>
        <w:rPr>
          <w:bCs/>
          <w:lang w:val="en-US"/>
        </w:rPr>
        <w:t xml:space="preserve"> </w:t>
      </w:r>
      <w:r w:rsidR="00C52635" w:rsidRPr="00C52635">
        <w:rPr>
          <w:bCs/>
          <w:lang w:val="en-US"/>
        </w:rPr>
        <w:t xml:space="preserve"> editions of the Statistical Yearbook for each city or province (for example</w:t>
      </w:r>
      <w:r>
        <w:rPr>
          <w:bCs/>
          <w:lang w:val="en-US"/>
        </w:rPr>
        <w:t>,</w:t>
      </w:r>
      <w:r w:rsidR="00C52635" w:rsidRPr="00C52635">
        <w:rPr>
          <w:bCs/>
          <w:lang w:val="en-US"/>
        </w:rPr>
        <w:t xml:space="preserve"> the Beijing Statistical Yearbook) (NBS, various dates). </w:t>
      </w:r>
      <w:r>
        <w:rPr>
          <w:bCs/>
          <w:lang w:val="en-US"/>
        </w:rPr>
        <w:t xml:space="preserve">These different types of publications are needed because, for example, annual GDP of districts comes out in a different report than the annual GDP of counties. Each </w:t>
      </w:r>
      <w:r w:rsidR="00C52635" w:rsidRPr="00C52635">
        <w:rPr>
          <w:bCs/>
          <w:lang w:val="en-US"/>
        </w:rPr>
        <w:t xml:space="preserve">edition reports on GDP the previous year, so we use the 2001 to 2020 editions to obtain annual GDP data from 2000 to 2019. </w:t>
      </w:r>
      <w:r w:rsidR="00C52635" w:rsidRPr="00C52635">
        <w:rPr>
          <w:bCs/>
        </w:rPr>
        <w:t xml:space="preserve">Overall, we have </w:t>
      </w:r>
      <w:r>
        <w:rPr>
          <w:bCs/>
        </w:rPr>
        <w:t xml:space="preserve">a balanced panel of </w:t>
      </w:r>
      <w:r w:rsidR="00C52635" w:rsidRPr="00C52635">
        <w:rPr>
          <w:bCs/>
        </w:rPr>
        <w:t xml:space="preserve">annual GDP data for each of </w:t>
      </w:r>
      <w:r w:rsidR="00C52635" w:rsidRPr="00C52635">
        <w:rPr>
          <w:bCs/>
          <w:i/>
          <w:iCs/>
        </w:rPr>
        <w:t>n</w:t>
      </w:r>
      <w:r w:rsidR="00C52635" w:rsidRPr="00C52635">
        <w:rPr>
          <w:bCs/>
        </w:rPr>
        <w:t>=2342 units at the 3</w:t>
      </w:r>
      <w:r w:rsidR="00C52635" w:rsidRPr="00C52635">
        <w:rPr>
          <w:bCs/>
          <w:vertAlign w:val="superscript"/>
        </w:rPr>
        <w:t>rd</w:t>
      </w:r>
      <w:r w:rsidR="00C52635" w:rsidRPr="00C52635">
        <w:rPr>
          <w:bCs/>
        </w:rPr>
        <w:t xml:space="preserve"> level of the sub</w:t>
      </w:r>
      <w:r w:rsidR="00C52635" w:rsidRPr="00C52635">
        <w:rPr>
          <w:bCs/>
        </w:rPr>
        <w:noBreakHyphen/>
        <w:t xml:space="preserve">national administrative hierarchy, where these units maintain a consistent spatial definition from 2000 to 2019. </w:t>
      </w:r>
    </w:p>
    <w:p w14:paraId="7755A75A" w14:textId="6619B2FB" w:rsidR="00C52635" w:rsidRDefault="00C52635" w:rsidP="00BD2F5C">
      <w:pPr>
        <w:spacing w:before="120" w:after="120" w:line="360" w:lineRule="auto"/>
        <w:ind w:firstLine="720"/>
        <w:jc w:val="both"/>
        <w:rPr>
          <w:bCs/>
        </w:rPr>
      </w:pPr>
      <w:r w:rsidRPr="00C52635">
        <w:rPr>
          <w:bCs/>
        </w:rPr>
        <w:t xml:space="preserve">The </w:t>
      </w:r>
      <w:r w:rsidR="00977D66">
        <w:rPr>
          <w:bCs/>
        </w:rPr>
        <w:t xml:space="preserve">luminosity </w:t>
      </w:r>
      <w:r w:rsidRPr="00C52635">
        <w:rPr>
          <w:bCs/>
        </w:rPr>
        <w:t xml:space="preserve">data are </w:t>
      </w:r>
      <w:r w:rsidR="00977D66" w:rsidRPr="00C52635">
        <w:rPr>
          <w:bCs/>
        </w:rPr>
        <w:t xml:space="preserve">DMSP </w:t>
      </w:r>
      <w:r w:rsidRPr="00C52635">
        <w:rPr>
          <w:bCs/>
        </w:rPr>
        <w:t>annual composites from satellites F14, F15, F16 and F18 that collectively cover each year from 20</w:t>
      </w:r>
      <w:r>
        <w:rPr>
          <w:bCs/>
        </w:rPr>
        <w:t>00 to 2019</w:t>
      </w:r>
      <w:r w:rsidRPr="00C52635">
        <w:rPr>
          <w:bCs/>
        </w:rPr>
        <w:t>.</w:t>
      </w:r>
      <w:r>
        <w:rPr>
          <w:rStyle w:val="FootnoteReference"/>
          <w:bCs/>
        </w:rPr>
        <w:footnoteReference w:id="7"/>
      </w:r>
      <w:r w:rsidRPr="00C52635">
        <w:rPr>
          <w:bCs/>
        </w:rPr>
        <w:t xml:space="preserve"> The stable lights product </w:t>
      </w:r>
      <w:r w:rsidR="00BE1952">
        <w:rPr>
          <w:bCs/>
        </w:rPr>
        <w:t xml:space="preserve">used here </w:t>
      </w:r>
      <w:r w:rsidRPr="00C52635">
        <w:rPr>
          <w:bCs/>
        </w:rPr>
        <w:t xml:space="preserve">(where ‘stable’ simply means ephemeral lights </w:t>
      </w:r>
      <w:r w:rsidR="00312FF1">
        <w:rPr>
          <w:bCs/>
        </w:rPr>
        <w:t xml:space="preserve">from sources </w:t>
      </w:r>
      <w:r w:rsidRPr="00C52635">
        <w:rPr>
          <w:bCs/>
        </w:rPr>
        <w:t xml:space="preserve">such as from fires are removed) provides 6-bit digital numbers (DN) </w:t>
      </w:r>
      <w:r w:rsidR="00977D66">
        <w:rPr>
          <w:bCs/>
        </w:rPr>
        <w:t xml:space="preserve">that range from 0 to </w:t>
      </w:r>
      <w:r w:rsidRPr="00C52635">
        <w:rPr>
          <w:bCs/>
        </w:rPr>
        <w:t>63</w:t>
      </w:r>
      <w:r w:rsidR="00977D66">
        <w:rPr>
          <w:bCs/>
        </w:rPr>
        <w:t xml:space="preserve"> (with higher values for greater luminosity)</w:t>
      </w:r>
      <w:r w:rsidRPr="00C52635">
        <w:rPr>
          <w:bCs/>
        </w:rPr>
        <w:t xml:space="preserve">. The technical details on the steps used to create these data are in Baugh et al (2010) and </w:t>
      </w:r>
      <w:r>
        <w:rPr>
          <w:bCs/>
        </w:rPr>
        <w:t>Ghosh et al (2021).</w:t>
      </w:r>
      <w:r w:rsidR="00312FF1">
        <w:rPr>
          <w:rStyle w:val="FootnoteReference"/>
          <w:bCs/>
        </w:rPr>
        <w:footnoteReference w:id="8"/>
      </w:r>
      <w:r>
        <w:rPr>
          <w:bCs/>
        </w:rPr>
        <w:t xml:space="preserve"> </w:t>
      </w:r>
      <w:r w:rsidR="00312FF1">
        <w:rPr>
          <w:bCs/>
        </w:rPr>
        <w:t>We use the sum of lights for each third-level spatial unit in each year, following previous research for China that finds that this luminosity indicator is the best proxy for local economic activity (Zhang and Gibson, 2022).</w:t>
      </w:r>
    </w:p>
    <w:p w14:paraId="63B6E16B" w14:textId="77777777" w:rsidR="00446515" w:rsidRDefault="00932F7B" w:rsidP="00446515">
      <w:pPr>
        <w:spacing w:before="120" w:after="120" w:line="360" w:lineRule="auto"/>
        <w:ind w:firstLine="720"/>
        <w:jc w:val="both"/>
      </w:pPr>
      <w:r>
        <w:rPr>
          <w:bCs/>
        </w:rPr>
        <w:t>T</w:t>
      </w:r>
      <w:r w:rsidR="00375564">
        <w:rPr>
          <w:bCs/>
        </w:rPr>
        <w:t xml:space="preserve">o find when </w:t>
      </w:r>
      <w:r w:rsidR="00312FF1">
        <w:rPr>
          <w:bCs/>
        </w:rPr>
        <w:t>counties were convert</w:t>
      </w:r>
      <w:r>
        <w:rPr>
          <w:bCs/>
        </w:rPr>
        <w:t>ed to either county-level city</w:t>
      </w:r>
      <w:r w:rsidR="00312FF1">
        <w:rPr>
          <w:bCs/>
        </w:rPr>
        <w:t xml:space="preserve"> or </w:t>
      </w:r>
      <w:r>
        <w:rPr>
          <w:bCs/>
        </w:rPr>
        <w:t xml:space="preserve">district status </w:t>
      </w:r>
      <w:r w:rsidR="00375564">
        <w:rPr>
          <w:bCs/>
        </w:rPr>
        <w:t xml:space="preserve">we compared administrative settings </w:t>
      </w:r>
      <w:r w:rsidR="004D51DE">
        <w:rPr>
          <w:bCs/>
        </w:rPr>
        <w:t xml:space="preserve">of </w:t>
      </w:r>
      <w:r w:rsidR="00375564">
        <w:rPr>
          <w:bCs/>
        </w:rPr>
        <w:t>all spatial unit</w:t>
      </w:r>
      <w:r w:rsidR="00C86814">
        <w:rPr>
          <w:bCs/>
        </w:rPr>
        <w:t>s</w:t>
      </w:r>
      <w:r w:rsidR="00375564">
        <w:rPr>
          <w:bCs/>
        </w:rPr>
        <w:t xml:space="preserve"> listed in the 2000 population census with the listings for the same places in the 2010 and 2020 population censuses. These comparisons identified counties whose status had changed, and we then went to the specific page for each </w:t>
      </w:r>
      <w:r w:rsidR="00375564">
        <w:rPr>
          <w:bCs/>
        </w:rPr>
        <w:lastRenderedPageBreak/>
        <w:t xml:space="preserve">of those places in the Baidu </w:t>
      </w:r>
      <w:r w:rsidR="00375564" w:rsidRPr="00375564">
        <w:rPr>
          <w:bCs/>
        </w:rPr>
        <w:t>Encyclopaedia</w:t>
      </w:r>
      <w:r w:rsidR="00375564">
        <w:rPr>
          <w:bCs/>
        </w:rPr>
        <w:t xml:space="preserve"> (</w:t>
      </w:r>
      <w:hyperlink r:id="rId14" w:tgtFrame="_blank" w:history="1">
        <w:r w:rsidR="00375564" w:rsidRPr="00375564">
          <w:rPr>
            <w:rStyle w:val="Hyperlink"/>
            <w:rFonts w:asciiTheme="majorBidi" w:hAnsiTheme="majorBidi" w:cstheme="majorBidi"/>
            <w:color w:val="1155CC"/>
            <w:shd w:val="clear" w:color="auto" w:fill="FFFFFF"/>
          </w:rPr>
          <w:t>baike.baidu.com</w:t>
        </w:r>
      </w:hyperlink>
      <w:r w:rsidR="00375564">
        <w:t>). Within the place-specific page the administrative history section gave the precise data of any change in administrative status.</w:t>
      </w:r>
      <w:r w:rsidR="00446515">
        <w:t xml:space="preserve"> </w:t>
      </w:r>
    </w:p>
    <w:p w14:paraId="2271CACC" w14:textId="076FB672" w:rsidR="003D389E" w:rsidRPr="00446515" w:rsidRDefault="00C15819" w:rsidP="00E42EC9">
      <w:pPr>
        <w:spacing w:before="160" w:after="120" w:line="360" w:lineRule="auto"/>
        <w:jc w:val="both"/>
        <w:rPr>
          <w:rFonts w:asciiTheme="majorBidi" w:hAnsiTheme="majorBidi" w:cstheme="majorBidi"/>
          <w:sz w:val="22"/>
          <w:szCs w:val="22"/>
          <w:lang w:val="en-US"/>
        </w:rPr>
      </w:pPr>
      <w:r>
        <w:rPr>
          <w:bCs/>
          <w:i/>
          <w:iCs/>
          <w:lang w:val="en-US"/>
        </w:rPr>
        <w:t>Estimation Framework</w:t>
      </w:r>
    </w:p>
    <w:p w14:paraId="027DAE08" w14:textId="4DE178C4" w:rsidR="00C15819" w:rsidRDefault="00C15819" w:rsidP="00BD2F5C">
      <w:pPr>
        <w:widowControl w:val="0"/>
        <w:spacing w:before="120" w:after="120" w:line="360" w:lineRule="auto"/>
        <w:jc w:val="both"/>
        <w:rPr>
          <w:rFonts w:asciiTheme="majorBidi" w:hAnsiTheme="majorBidi" w:cstheme="majorBidi"/>
          <w:bCs/>
          <w:lang w:val="en-US"/>
        </w:rPr>
      </w:pPr>
      <w:r w:rsidRPr="005C2E59">
        <w:rPr>
          <w:rFonts w:asciiTheme="majorBidi" w:hAnsiTheme="majorBidi" w:cstheme="majorBidi"/>
          <w:bCs/>
          <w:lang w:val="en-US"/>
        </w:rPr>
        <w:t xml:space="preserve">Spatial econometric methods let us </w:t>
      </w:r>
      <w:r>
        <w:rPr>
          <w:rFonts w:asciiTheme="majorBidi" w:hAnsiTheme="majorBidi" w:cstheme="majorBidi"/>
          <w:bCs/>
          <w:lang w:val="en-US"/>
        </w:rPr>
        <w:t xml:space="preserve">examine </w:t>
      </w:r>
      <w:r w:rsidRPr="005C2E59">
        <w:rPr>
          <w:rFonts w:asciiTheme="majorBidi" w:hAnsiTheme="majorBidi" w:cstheme="majorBidi"/>
          <w:bCs/>
          <w:lang w:val="en-US"/>
        </w:rPr>
        <w:t xml:space="preserve">the </w:t>
      </w:r>
      <w:r>
        <w:rPr>
          <w:rFonts w:asciiTheme="majorBidi" w:hAnsiTheme="majorBidi" w:cstheme="majorBidi"/>
          <w:bCs/>
          <w:lang w:val="en-US"/>
        </w:rPr>
        <w:t>nature of possible</w:t>
      </w:r>
      <w:r w:rsidRPr="005C2E59">
        <w:rPr>
          <w:rFonts w:asciiTheme="majorBidi" w:hAnsiTheme="majorBidi" w:cstheme="majorBidi"/>
          <w:bCs/>
          <w:lang w:val="en-US"/>
        </w:rPr>
        <w:t xml:space="preserve"> spillovers, </w:t>
      </w:r>
      <w:r>
        <w:rPr>
          <w:rFonts w:asciiTheme="majorBidi" w:hAnsiTheme="majorBidi" w:cstheme="majorBidi"/>
          <w:bCs/>
          <w:lang w:val="en-US"/>
        </w:rPr>
        <w:t xml:space="preserve">and are used for this purpose in </w:t>
      </w:r>
      <w:r w:rsidR="00A206E0">
        <w:rPr>
          <w:rFonts w:asciiTheme="majorBidi" w:hAnsiTheme="majorBidi" w:cstheme="majorBidi"/>
          <w:bCs/>
          <w:lang w:val="en-US"/>
        </w:rPr>
        <w:t xml:space="preserve">many </w:t>
      </w:r>
      <w:r>
        <w:rPr>
          <w:rFonts w:asciiTheme="majorBidi" w:hAnsiTheme="majorBidi" w:cstheme="majorBidi"/>
          <w:bCs/>
          <w:lang w:val="en-US"/>
        </w:rPr>
        <w:t xml:space="preserve">contexts (Krisztin et al, 2020; Asyahid and Pekerti, 2022). A key aspect of these models </w:t>
      </w:r>
      <w:r w:rsidR="009F57E2">
        <w:rPr>
          <w:rFonts w:asciiTheme="majorBidi" w:hAnsiTheme="majorBidi" w:cstheme="majorBidi"/>
          <w:bCs/>
          <w:lang w:val="en-US"/>
        </w:rPr>
        <w:t xml:space="preserve">aiding the study </w:t>
      </w:r>
      <w:r>
        <w:rPr>
          <w:rFonts w:asciiTheme="majorBidi" w:hAnsiTheme="majorBidi" w:cstheme="majorBidi"/>
          <w:bCs/>
          <w:lang w:val="en-US"/>
        </w:rPr>
        <w:t xml:space="preserve">of spillovers is that </w:t>
      </w:r>
      <w:r w:rsidRPr="005C2E59">
        <w:rPr>
          <w:rFonts w:asciiTheme="majorBidi" w:hAnsiTheme="majorBidi" w:cstheme="majorBidi"/>
          <w:bCs/>
          <w:lang w:val="en-US"/>
        </w:rPr>
        <w:t xml:space="preserve">possible interactions between </w:t>
      </w:r>
      <w:r>
        <w:rPr>
          <w:rFonts w:asciiTheme="majorBidi" w:hAnsiTheme="majorBidi" w:cstheme="majorBidi"/>
          <w:bCs/>
          <w:lang w:val="en-US"/>
        </w:rPr>
        <w:t xml:space="preserve">spatial units are summarized with </w:t>
      </w:r>
      <w:r w:rsidRPr="005C2E59">
        <w:rPr>
          <w:rFonts w:asciiTheme="majorBidi" w:hAnsiTheme="majorBidi" w:cstheme="majorBidi"/>
          <w:bCs/>
          <w:lang w:val="en-US"/>
        </w:rPr>
        <w:t xml:space="preserve">a </w:t>
      </w:r>
      <m:oMath>
        <m:r>
          <w:rPr>
            <w:rFonts w:ascii="Cambria Math" w:hAnsi="Cambria Math" w:cstheme="majorBidi"/>
            <w:lang w:val="en-US"/>
          </w:rPr>
          <m:t>N</m:t>
        </m:r>
        <m:r>
          <m:rPr>
            <m:sty m:val="p"/>
          </m:rPr>
          <w:rPr>
            <w:rFonts w:ascii="Cambria Math" w:hAnsi="Cambria Math" w:cstheme="majorBidi"/>
            <w:lang w:val="en-US"/>
          </w:rPr>
          <m:t>×</m:t>
        </m:r>
        <m:r>
          <w:rPr>
            <w:rFonts w:ascii="Cambria Math" w:hAnsi="Cambria Math" w:cstheme="majorBidi"/>
            <w:lang w:val="en-US"/>
          </w:rPr>
          <m:t>N</m:t>
        </m:r>
        <m:r>
          <m:rPr>
            <m:sty m:val="p"/>
          </m:rPr>
          <w:rPr>
            <w:rFonts w:ascii="Cambria Math" w:hAnsi="Cambria Math" w:cstheme="majorBidi"/>
            <w:lang w:val="en-US"/>
          </w:rPr>
          <m:t xml:space="preserve"> </m:t>
        </m:r>
      </m:oMath>
      <w:r w:rsidRPr="005C2E59">
        <w:rPr>
          <w:rFonts w:asciiTheme="majorBidi" w:hAnsiTheme="majorBidi" w:cstheme="majorBidi"/>
          <w:bCs/>
          <w:lang w:val="en-US"/>
        </w:rPr>
        <w:t xml:space="preserve">spatial weights matrix, </w:t>
      </w:r>
      <w:r w:rsidRPr="00C23239">
        <w:rPr>
          <w:rFonts w:asciiTheme="majorBidi" w:hAnsiTheme="majorBidi" w:cstheme="majorBidi"/>
          <w:bCs/>
          <w:i/>
          <w:iCs/>
          <w:lang w:val="en-US"/>
        </w:rPr>
        <w:t>W</w:t>
      </w:r>
      <w:r w:rsidRPr="005C2E59">
        <w:rPr>
          <w:rFonts w:asciiTheme="majorBidi" w:hAnsiTheme="majorBidi" w:cstheme="majorBidi"/>
          <w:bCs/>
          <w:lang w:val="en-US"/>
        </w:rPr>
        <w:t xml:space="preserve">. </w:t>
      </w:r>
      <w:r>
        <w:rPr>
          <w:rFonts w:asciiTheme="majorBidi" w:hAnsiTheme="majorBidi" w:cstheme="majorBidi"/>
          <w:bCs/>
          <w:lang w:val="en-US"/>
        </w:rPr>
        <w:t xml:space="preserve">In this study we use a row normalized </w:t>
      </w:r>
      <w:r w:rsidRPr="005C2E59">
        <w:rPr>
          <w:rFonts w:asciiTheme="majorBidi" w:hAnsiTheme="majorBidi" w:cstheme="majorBidi"/>
          <w:bCs/>
          <w:lang w:val="en-US"/>
        </w:rPr>
        <w:t xml:space="preserve">contiguity </w:t>
      </w:r>
      <w:r>
        <w:rPr>
          <w:rFonts w:asciiTheme="majorBidi" w:hAnsiTheme="majorBidi" w:cstheme="majorBidi"/>
          <w:bCs/>
          <w:lang w:val="en-US"/>
        </w:rPr>
        <w:t xml:space="preserve">weights </w:t>
      </w:r>
      <w:r w:rsidRPr="005C2E59">
        <w:rPr>
          <w:rFonts w:asciiTheme="majorBidi" w:hAnsiTheme="majorBidi" w:cstheme="majorBidi"/>
          <w:bCs/>
          <w:lang w:val="en-US"/>
        </w:rPr>
        <w:t xml:space="preserve">matrix </w:t>
      </w:r>
      <w:r>
        <w:rPr>
          <w:rFonts w:asciiTheme="majorBidi" w:hAnsiTheme="majorBidi" w:cstheme="majorBidi"/>
          <w:bCs/>
          <w:lang w:val="en-US"/>
        </w:rPr>
        <w:t xml:space="preserve">that </w:t>
      </w:r>
      <w:r w:rsidRPr="005C2E59">
        <w:rPr>
          <w:rFonts w:asciiTheme="majorBidi" w:hAnsiTheme="majorBidi" w:cstheme="majorBidi"/>
          <w:bCs/>
          <w:lang w:val="en-US"/>
        </w:rPr>
        <w:t xml:space="preserve">has values of one for neighbours and zero otherwise, with a diagonal of zeros </w:t>
      </w:r>
      <w:r>
        <w:rPr>
          <w:rFonts w:asciiTheme="majorBidi" w:hAnsiTheme="majorBidi" w:cstheme="majorBidi"/>
          <w:bCs/>
          <w:lang w:val="en-US"/>
        </w:rPr>
        <w:t>because a spatial</w:t>
      </w:r>
      <w:r w:rsidRPr="005C2E59">
        <w:rPr>
          <w:rFonts w:asciiTheme="majorBidi" w:hAnsiTheme="majorBidi" w:cstheme="majorBidi"/>
          <w:bCs/>
          <w:lang w:val="en-US"/>
        </w:rPr>
        <w:t xml:space="preserve"> unit cannot neighbour itself. </w:t>
      </w:r>
      <w:r>
        <w:rPr>
          <w:rFonts w:asciiTheme="majorBidi" w:hAnsiTheme="majorBidi" w:cstheme="majorBidi"/>
          <w:bCs/>
          <w:lang w:val="en-US"/>
        </w:rPr>
        <w:t>At the level of spatial disaggregation that we use, t</w:t>
      </w:r>
      <w:r w:rsidRPr="005C2E59">
        <w:rPr>
          <w:rFonts w:asciiTheme="majorBidi" w:hAnsiTheme="majorBidi" w:cstheme="majorBidi"/>
          <w:bCs/>
          <w:lang w:val="en-US"/>
        </w:rPr>
        <w:t xml:space="preserve">he average </w:t>
      </w:r>
      <w:r>
        <w:rPr>
          <w:rFonts w:asciiTheme="majorBidi" w:hAnsiTheme="majorBidi" w:cstheme="majorBidi"/>
          <w:bCs/>
          <w:lang w:val="en-US"/>
        </w:rPr>
        <w:t xml:space="preserve">spatial unit </w:t>
      </w:r>
      <w:r w:rsidR="009F57E2">
        <w:rPr>
          <w:rFonts w:asciiTheme="majorBidi" w:hAnsiTheme="majorBidi" w:cstheme="majorBidi"/>
          <w:bCs/>
          <w:lang w:val="en-US"/>
        </w:rPr>
        <w:t xml:space="preserve">in China </w:t>
      </w:r>
      <w:r>
        <w:rPr>
          <w:rFonts w:asciiTheme="majorBidi" w:hAnsiTheme="majorBidi" w:cstheme="majorBidi"/>
          <w:bCs/>
          <w:lang w:val="en-US"/>
        </w:rPr>
        <w:t xml:space="preserve">has six </w:t>
      </w:r>
      <w:r w:rsidRPr="005C2E59">
        <w:rPr>
          <w:rFonts w:asciiTheme="majorBidi" w:hAnsiTheme="majorBidi" w:cstheme="majorBidi"/>
          <w:bCs/>
          <w:lang w:val="en-US"/>
        </w:rPr>
        <w:t xml:space="preserve">neighbours. </w:t>
      </w:r>
    </w:p>
    <w:p w14:paraId="2A8A2C0B" w14:textId="77777777" w:rsidR="00C15819" w:rsidRDefault="00C15819" w:rsidP="00BD2F5C">
      <w:pPr>
        <w:widowControl w:val="0"/>
        <w:spacing w:before="120" w:after="120" w:line="360" w:lineRule="auto"/>
        <w:ind w:firstLine="720"/>
        <w:jc w:val="both"/>
        <w:rPr>
          <w:rFonts w:asciiTheme="majorBidi" w:hAnsiTheme="majorBidi" w:cstheme="majorBidi"/>
          <w:bCs/>
          <w:lang w:val="en-US"/>
        </w:rPr>
      </w:pPr>
      <w:r>
        <w:rPr>
          <w:rFonts w:asciiTheme="majorBidi" w:hAnsiTheme="majorBidi" w:cstheme="majorBidi"/>
          <w:bCs/>
          <w:lang w:val="en-US"/>
        </w:rPr>
        <w:t>In what follows, t</w:t>
      </w:r>
      <w:r w:rsidRPr="005C2E59">
        <w:rPr>
          <w:rFonts w:asciiTheme="majorBidi" w:hAnsiTheme="majorBidi" w:cstheme="majorBidi"/>
          <w:bCs/>
          <w:lang w:val="en-US"/>
        </w:rPr>
        <w:t xml:space="preserve">he </w:t>
      </w:r>
      <w:r>
        <w:rPr>
          <w:rFonts w:asciiTheme="majorBidi" w:hAnsiTheme="majorBidi" w:cstheme="majorBidi"/>
          <w:bCs/>
          <w:lang w:val="en-US"/>
        </w:rPr>
        <w:t xml:space="preserve">proxy for economic output in spatial </w:t>
      </w:r>
      <w:r w:rsidRPr="005C2E59">
        <w:rPr>
          <w:rFonts w:asciiTheme="majorBidi" w:hAnsiTheme="majorBidi" w:cstheme="majorBidi"/>
          <w:bCs/>
          <w:lang w:val="en-US"/>
        </w:rPr>
        <w:t xml:space="preserve">area </w:t>
      </w:r>
      <w:r w:rsidRPr="00C23239">
        <w:rPr>
          <w:rFonts w:asciiTheme="majorBidi" w:hAnsiTheme="majorBidi" w:cstheme="majorBidi"/>
          <w:bCs/>
          <w:i/>
          <w:iCs/>
          <w:lang w:val="en-US"/>
        </w:rPr>
        <w:t>i</w:t>
      </w:r>
      <w:r w:rsidRPr="005C2E59">
        <w:rPr>
          <w:rFonts w:asciiTheme="majorBidi" w:hAnsiTheme="majorBidi" w:cstheme="majorBidi"/>
          <w:bCs/>
          <w:lang w:val="en-US"/>
        </w:rPr>
        <w:t xml:space="preserve"> in year </w:t>
      </w:r>
      <w:r w:rsidRPr="00C23239">
        <w:rPr>
          <w:rFonts w:asciiTheme="majorBidi" w:hAnsiTheme="majorBidi" w:cstheme="majorBidi"/>
          <w:bCs/>
          <w:i/>
          <w:iCs/>
          <w:lang w:val="en-US"/>
        </w:rPr>
        <w:t>t</w:t>
      </w:r>
      <w:r w:rsidRPr="005C2E59">
        <w:rPr>
          <w:rFonts w:asciiTheme="majorBidi" w:hAnsiTheme="majorBidi" w:cstheme="majorBidi"/>
          <w:bCs/>
          <w:lang w:val="en-US"/>
        </w:rPr>
        <w:t xml:space="preserve"> is</w:t>
      </w:r>
      <w:r>
        <w:rPr>
          <w:rFonts w:asciiTheme="majorBidi" w:hAnsiTheme="majorBidi" w:cstheme="majorBidi"/>
          <w:bCs/>
          <w:lang w:val="en-US"/>
        </w:rPr>
        <w:t xml:space="preserve"> denoted as</w:t>
      </w:r>
      <w:r w:rsidRPr="005C2E59">
        <w:rPr>
          <w:rFonts w:asciiTheme="majorBidi" w:hAnsiTheme="majorBidi" w:cstheme="majorBidi"/>
          <w:bCs/>
          <w:lang w:val="en-US"/>
        </w:rPr>
        <w:t xml:space="preserve"> </w:t>
      </w:r>
      <m:oMath>
        <m:sSub>
          <m:sSubPr>
            <m:ctrlPr>
              <w:rPr>
                <w:rFonts w:ascii="Cambria Math" w:hAnsi="Cambria Math" w:cstheme="majorBidi"/>
                <w:bCs/>
                <w:lang w:val="en-US"/>
              </w:rPr>
            </m:ctrlPr>
          </m:sSubPr>
          <m:e>
            <m:r>
              <w:rPr>
                <w:rFonts w:ascii="Cambria Math" w:hAnsi="Cambria Math" w:cstheme="majorBidi"/>
                <w:lang w:val="en-US"/>
              </w:rPr>
              <m:t>O</m:t>
            </m:r>
          </m:e>
          <m:sub>
            <m:r>
              <w:rPr>
                <w:rFonts w:ascii="Cambria Math" w:hAnsi="Cambria Math" w:cstheme="majorBidi"/>
                <w:lang w:val="en-US"/>
              </w:rPr>
              <m:t>it</m:t>
            </m:r>
          </m:sub>
        </m:sSub>
      </m:oMath>
      <w:r w:rsidRPr="005C2E59">
        <w:rPr>
          <w:rFonts w:asciiTheme="majorBidi" w:hAnsiTheme="majorBidi" w:cstheme="majorBidi"/>
          <w:bCs/>
          <w:lang w:val="en-US"/>
        </w:rPr>
        <w:t xml:space="preserve">, </w:t>
      </w:r>
      <w:r>
        <w:rPr>
          <w:rFonts w:asciiTheme="majorBidi" w:hAnsiTheme="majorBidi" w:cstheme="majorBidi"/>
          <w:bCs/>
          <w:lang w:val="en-US"/>
        </w:rPr>
        <w:t xml:space="preserve">where the two proxy variables we use are log GDP in our main specification, and the log of the sum of night-time lights in our sensitivity analysis. The indicator for whether a spatial unit has been upgraded is </w:t>
      </w:r>
      <m:oMath>
        <m:sSub>
          <m:sSubPr>
            <m:ctrlPr>
              <w:rPr>
                <w:rFonts w:ascii="Cambria Math" w:hAnsi="Cambria Math" w:cstheme="majorBidi"/>
                <w:bCs/>
                <w:lang w:val="en-US"/>
              </w:rPr>
            </m:ctrlPr>
          </m:sSubPr>
          <m:e>
            <m:r>
              <w:rPr>
                <w:rFonts w:ascii="Cambria Math" w:hAnsi="Cambria Math" w:cstheme="majorBidi"/>
                <w:lang w:val="en-US"/>
              </w:rPr>
              <m:t>D</m:t>
            </m:r>
          </m:e>
          <m:sub>
            <m:r>
              <w:rPr>
                <w:rFonts w:ascii="Cambria Math" w:hAnsi="Cambria Math" w:cstheme="majorBidi"/>
                <w:lang w:val="en-US"/>
              </w:rPr>
              <m:t>it</m:t>
            </m:r>
          </m:sub>
        </m:sSub>
      </m:oMath>
      <w:r w:rsidRPr="005C2E59">
        <w:rPr>
          <w:rFonts w:asciiTheme="majorBidi" w:hAnsiTheme="majorBidi" w:cstheme="majorBidi"/>
          <w:bCs/>
          <w:lang w:val="en-US"/>
        </w:rPr>
        <w:t xml:space="preserve"> the </w:t>
      </w:r>
      <m:oMath>
        <m:sSub>
          <m:sSubPr>
            <m:ctrlPr>
              <w:rPr>
                <w:rFonts w:ascii="Cambria Math" w:hAnsi="Cambria Math" w:cstheme="majorBidi"/>
                <w:bCs/>
                <w:lang w:val="en-US"/>
              </w:rPr>
            </m:ctrlPr>
          </m:sSubPr>
          <m:e>
            <m:r>
              <w:rPr>
                <w:rFonts w:ascii="Cambria Math" w:hAnsi="Cambria Math" w:cstheme="majorBidi"/>
                <w:lang w:val="en-US"/>
              </w:rPr>
              <m:t>μ</m:t>
            </m:r>
          </m:e>
          <m:sub>
            <m:r>
              <w:rPr>
                <w:rFonts w:ascii="Cambria Math" w:hAnsi="Cambria Math" w:cstheme="majorBidi"/>
                <w:lang w:val="en-US"/>
              </w:rPr>
              <m:t>i</m:t>
            </m:r>
          </m:sub>
        </m:sSub>
      </m:oMath>
      <w:r w:rsidRPr="005C2E59">
        <w:rPr>
          <w:rFonts w:asciiTheme="majorBidi" w:hAnsiTheme="majorBidi" w:cstheme="majorBidi"/>
          <w:bCs/>
          <w:lang w:val="en-US"/>
        </w:rPr>
        <w:t xml:space="preserve"> are time-invariant fixed effects for each </w:t>
      </w:r>
      <w:r>
        <w:rPr>
          <w:rFonts w:asciiTheme="majorBidi" w:hAnsiTheme="majorBidi" w:cstheme="majorBidi"/>
          <w:bCs/>
          <w:lang w:val="en-US"/>
        </w:rPr>
        <w:t>spatial unit</w:t>
      </w:r>
      <w:r w:rsidRPr="005C2E59">
        <w:rPr>
          <w:rFonts w:asciiTheme="majorBidi" w:hAnsiTheme="majorBidi" w:cstheme="majorBidi"/>
          <w:bCs/>
          <w:lang w:val="en-US"/>
        </w:rPr>
        <w:t xml:space="preserve">, the </w:t>
      </w:r>
      <m:oMath>
        <m:sSub>
          <m:sSubPr>
            <m:ctrlPr>
              <w:rPr>
                <w:rFonts w:ascii="Cambria Math" w:hAnsi="Cambria Math" w:cstheme="majorBidi"/>
                <w:bCs/>
                <w:lang w:val="en-US"/>
              </w:rPr>
            </m:ctrlPr>
          </m:sSubPr>
          <m:e>
            <m:r>
              <w:rPr>
                <w:rFonts w:ascii="Cambria Math" w:hAnsi="Cambria Math" w:cstheme="majorBidi"/>
                <w:lang w:val="en-US"/>
              </w:rPr>
              <m:t>ϑ</m:t>
            </m:r>
          </m:e>
          <m:sub>
            <m:r>
              <w:rPr>
                <w:rFonts w:ascii="Cambria Math" w:hAnsi="Cambria Math" w:cstheme="majorBidi"/>
                <w:lang w:val="en-US"/>
              </w:rPr>
              <m:t>t</m:t>
            </m:r>
          </m:sub>
        </m:sSub>
      </m:oMath>
      <w:r w:rsidRPr="005C2E59">
        <w:rPr>
          <w:rFonts w:asciiTheme="majorBidi" w:hAnsiTheme="majorBidi" w:cstheme="majorBidi"/>
          <w:bCs/>
          <w:lang w:val="en-US"/>
        </w:rPr>
        <w:t xml:space="preserve"> are year fixed effects, and </w:t>
      </w:r>
      <m:oMath>
        <m:sSub>
          <m:sSubPr>
            <m:ctrlPr>
              <w:rPr>
                <w:rFonts w:ascii="Cambria Math" w:hAnsi="Cambria Math" w:cstheme="majorBidi"/>
                <w:bCs/>
                <w:lang w:val="en-US"/>
              </w:rPr>
            </m:ctrlPr>
          </m:sSubPr>
          <m:e>
            <m:r>
              <w:rPr>
                <w:rFonts w:ascii="Cambria Math" w:hAnsi="Cambria Math" w:cstheme="majorBidi"/>
                <w:lang w:val="en-US"/>
              </w:rPr>
              <m:t>e</m:t>
            </m:r>
          </m:e>
          <m:sub>
            <m:r>
              <w:rPr>
                <w:rFonts w:ascii="Cambria Math" w:hAnsi="Cambria Math" w:cstheme="majorBidi"/>
                <w:lang w:val="en-US"/>
              </w:rPr>
              <m:t>it</m:t>
            </m:r>
          </m:sub>
        </m:sSub>
      </m:oMath>
      <w:r w:rsidRPr="005C2E59">
        <w:rPr>
          <w:rFonts w:asciiTheme="majorBidi" w:hAnsiTheme="majorBidi" w:cstheme="majorBidi"/>
          <w:bCs/>
          <w:lang w:val="en-US"/>
        </w:rPr>
        <w:t xml:space="preserve"> is a random error</w:t>
      </w:r>
      <w:r>
        <w:rPr>
          <w:rFonts w:asciiTheme="majorBidi" w:hAnsiTheme="majorBidi" w:cstheme="majorBidi"/>
          <w:bCs/>
          <w:lang w:val="en-US"/>
        </w:rPr>
        <w:t>. By using t</w:t>
      </w:r>
      <w:r w:rsidRPr="005C2E59">
        <w:rPr>
          <w:rFonts w:asciiTheme="majorBidi" w:hAnsiTheme="majorBidi" w:cstheme="majorBidi"/>
          <w:bCs/>
          <w:lang w:val="en-US"/>
        </w:rPr>
        <w:t xml:space="preserve">he spatial weights matrix </w:t>
      </w:r>
      <w:r>
        <w:rPr>
          <w:rFonts w:asciiTheme="majorBidi" w:hAnsiTheme="majorBidi" w:cstheme="majorBidi"/>
          <w:bCs/>
          <w:lang w:val="en-US"/>
        </w:rPr>
        <w:t>we can allow</w:t>
      </w:r>
      <w:r w:rsidRPr="005C2E59">
        <w:rPr>
          <w:rFonts w:asciiTheme="majorBidi" w:hAnsiTheme="majorBidi" w:cstheme="majorBidi"/>
          <w:bCs/>
          <w:lang w:val="en-US"/>
        </w:rPr>
        <w:t xml:space="preserve"> for spati</w:t>
      </w:r>
      <w:r>
        <w:rPr>
          <w:rFonts w:asciiTheme="majorBidi" w:hAnsiTheme="majorBidi" w:cstheme="majorBidi"/>
          <w:bCs/>
          <w:lang w:val="en-US"/>
        </w:rPr>
        <w:t>al lags, which are averages of</w:t>
      </w:r>
      <w:r w:rsidRPr="005C2E59">
        <w:rPr>
          <w:rFonts w:asciiTheme="majorBidi" w:hAnsiTheme="majorBidi" w:cstheme="majorBidi"/>
          <w:bCs/>
          <w:lang w:val="en-US"/>
        </w:rPr>
        <w:t xml:space="preserve"> </w:t>
      </w:r>
      <w:r>
        <w:rPr>
          <w:rFonts w:asciiTheme="majorBidi" w:hAnsiTheme="majorBidi" w:cstheme="majorBidi"/>
          <w:bCs/>
          <w:lang w:val="en-US"/>
        </w:rPr>
        <w:t xml:space="preserve">these variables over the </w:t>
      </w:r>
      <w:r w:rsidRPr="005C2E59">
        <w:rPr>
          <w:rFonts w:asciiTheme="majorBidi" w:hAnsiTheme="majorBidi" w:cstheme="majorBidi"/>
          <w:bCs/>
          <w:lang w:val="en-US"/>
        </w:rPr>
        <w:t>neighbouring units.</w:t>
      </w:r>
      <w:r>
        <w:rPr>
          <w:rFonts w:asciiTheme="majorBidi" w:hAnsiTheme="majorBidi" w:cstheme="majorBidi"/>
          <w:bCs/>
          <w:lang w:val="en-US"/>
        </w:rPr>
        <w:t xml:space="preserve"> </w:t>
      </w:r>
    </w:p>
    <w:p w14:paraId="11C87240" w14:textId="77777777" w:rsidR="00C15819" w:rsidRPr="005C2E59" w:rsidRDefault="00C15819" w:rsidP="00BD2F5C">
      <w:pPr>
        <w:widowControl w:val="0"/>
        <w:spacing w:before="120" w:after="120" w:line="360" w:lineRule="auto"/>
        <w:ind w:firstLine="720"/>
        <w:jc w:val="both"/>
        <w:rPr>
          <w:rFonts w:asciiTheme="majorBidi" w:hAnsiTheme="majorBidi" w:cstheme="majorBidi"/>
          <w:bCs/>
          <w:lang w:val="en-US"/>
        </w:rPr>
      </w:pPr>
      <w:r>
        <w:rPr>
          <w:rFonts w:asciiTheme="majorBidi" w:hAnsiTheme="majorBidi" w:cstheme="majorBidi"/>
          <w:bCs/>
          <w:lang w:val="en-US"/>
        </w:rPr>
        <w:t xml:space="preserve">Our starting point is a very </w:t>
      </w:r>
      <w:r w:rsidRPr="005C2E59">
        <w:rPr>
          <w:rFonts w:asciiTheme="majorBidi" w:hAnsiTheme="majorBidi" w:cstheme="majorBidi"/>
          <w:bCs/>
          <w:lang w:val="en-US"/>
        </w:rPr>
        <w:t>general model</w:t>
      </w:r>
      <w:r>
        <w:rPr>
          <w:rFonts w:asciiTheme="majorBidi" w:hAnsiTheme="majorBidi" w:cstheme="majorBidi"/>
          <w:bCs/>
          <w:lang w:val="en-US"/>
        </w:rPr>
        <w:t>, which</w:t>
      </w:r>
      <w:r w:rsidRPr="005C2E59">
        <w:rPr>
          <w:rFonts w:asciiTheme="majorBidi" w:hAnsiTheme="majorBidi" w:cstheme="majorBidi"/>
          <w:bCs/>
          <w:lang w:val="en-US"/>
        </w:rPr>
        <w:t xml:space="preserve"> is a spatial autoregressive model with spatial autoregre</w:t>
      </w:r>
      <w:r>
        <w:rPr>
          <w:rFonts w:asciiTheme="majorBidi" w:hAnsiTheme="majorBidi" w:cstheme="majorBidi"/>
          <w:bCs/>
          <w:lang w:val="en-US"/>
        </w:rPr>
        <w:t>ssive errors (SARAR).</w:t>
      </w:r>
      <w:r w:rsidRPr="00C23239">
        <w:rPr>
          <w:rFonts w:asciiTheme="majorBidi" w:hAnsiTheme="majorBidi" w:cstheme="majorBidi"/>
          <w:bCs/>
          <w:vertAlign w:val="superscript"/>
          <w:lang w:val="en-US"/>
        </w:rPr>
        <w:footnoteReference w:id="9"/>
      </w:r>
      <w:r w:rsidRPr="005C2E59">
        <w:rPr>
          <w:rFonts w:asciiTheme="majorBidi" w:hAnsiTheme="majorBidi" w:cstheme="majorBidi"/>
          <w:bCs/>
          <w:lang w:val="en-US"/>
        </w:rPr>
        <w:t xml:space="preserve"> </w:t>
      </w:r>
      <w:r>
        <w:rPr>
          <w:rFonts w:asciiTheme="majorBidi" w:hAnsiTheme="majorBidi" w:cstheme="majorBidi"/>
          <w:bCs/>
          <w:lang w:val="en-US"/>
        </w:rPr>
        <w:t>This model allows for</w:t>
      </w:r>
      <w:r w:rsidRPr="005C2E59">
        <w:rPr>
          <w:rFonts w:asciiTheme="majorBidi" w:hAnsiTheme="majorBidi" w:cstheme="majorBidi"/>
          <w:bCs/>
          <w:lang w:val="en-US"/>
        </w:rPr>
        <w:t xml:space="preserve"> spatially lagged dependent variables, </w:t>
      </w:r>
      <w:r>
        <w:rPr>
          <w:rFonts w:asciiTheme="majorBidi" w:hAnsiTheme="majorBidi" w:cstheme="majorBidi"/>
          <w:bCs/>
          <w:lang w:val="en-US"/>
        </w:rPr>
        <w:t xml:space="preserve">spatially lagged </w:t>
      </w:r>
      <w:r w:rsidRPr="005C2E59">
        <w:rPr>
          <w:rFonts w:asciiTheme="majorBidi" w:hAnsiTheme="majorBidi" w:cstheme="majorBidi"/>
          <w:bCs/>
          <w:lang w:val="en-US"/>
        </w:rPr>
        <w:t xml:space="preserve">independent variables and </w:t>
      </w:r>
      <w:r>
        <w:rPr>
          <w:rFonts w:asciiTheme="majorBidi" w:hAnsiTheme="majorBidi" w:cstheme="majorBidi"/>
          <w:bCs/>
          <w:lang w:val="en-US"/>
        </w:rPr>
        <w:t>spatially lagged errors:</w:t>
      </w:r>
    </w:p>
    <w:p w14:paraId="51D3B9F8" w14:textId="5964C4BC" w:rsidR="00C15819" w:rsidRPr="005C2E59" w:rsidRDefault="00000000" w:rsidP="00BD2F5C">
      <w:pPr>
        <w:widowControl w:val="0"/>
        <w:spacing w:before="120" w:after="120" w:line="360" w:lineRule="auto"/>
        <w:ind w:firstLine="720"/>
        <w:jc w:val="right"/>
        <w:rPr>
          <w:rFonts w:asciiTheme="majorBidi" w:hAnsiTheme="majorBidi" w:cstheme="majorBidi"/>
          <w:bCs/>
          <w:lang w:val="en-US"/>
        </w:rPr>
      </w:pPr>
      <m:oMath>
        <m:sSub>
          <m:sSubPr>
            <m:ctrlPr>
              <w:rPr>
                <w:rFonts w:ascii="Cambria Math" w:hAnsi="Cambria Math" w:cstheme="majorBidi"/>
                <w:bCs/>
                <w:lang w:val="en-US"/>
              </w:rPr>
            </m:ctrlPr>
          </m:sSubPr>
          <m:e>
            <m:r>
              <w:rPr>
                <w:rFonts w:ascii="Cambria Math" w:hAnsi="Cambria Math" w:cstheme="majorBidi"/>
                <w:lang w:val="en-US"/>
              </w:rPr>
              <m:t>O</m:t>
            </m:r>
          </m:e>
          <m:sub>
            <m:r>
              <w:rPr>
                <w:rFonts w:ascii="Cambria Math" w:hAnsi="Cambria Math" w:cstheme="majorBidi"/>
                <w:lang w:val="en-US"/>
              </w:rPr>
              <m:t>it</m:t>
            </m:r>
          </m:sub>
        </m:sSub>
        <m:r>
          <m:rPr>
            <m:sty m:val="p"/>
          </m:rPr>
          <w:rPr>
            <w:rFonts w:ascii="Cambria Math" w:hAnsi="Cambria Math" w:cstheme="majorBidi"/>
            <w:lang w:val="en-US"/>
          </w:rPr>
          <m:t>=</m:t>
        </m:r>
        <m:r>
          <m:rPr>
            <m:sty m:val="p"/>
          </m:rPr>
          <w:rPr>
            <w:rFonts w:ascii="Cambria Math" w:hAnsi="Cambria Math" w:cstheme="majorBidi"/>
            <w:bCs/>
            <w:lang w:val="en-US"/>
          </w:rPr>
          <w:sym w:font="Symbol" w:char="F06C"/>
        </m:r>
        <m:sSub>
          <m:sSubPr>
            <m:ctrlPr>
              <w:rPr>
                <w:rFonts w:ascii="Cambria Math" w:hAnsi="Cambria Math" w:cstheme="majorBidi"/>
                <w:bCs/>
                <w:lang w:val="en-US"/>
              </w:rPr>
            </m:ctrlPr>
          </m:sSubPr>
          <m:e>
            <m:r>
              <w:rPr>
                <w:rFonts w:ascii="Cambria Math" w:hAnsi="Cambria Math" w:cstheme="majorBidi"/>
                <w:lang w:val="en-US"/>
              </w:rPr>
              <m:t>WO</m:t>
            </m:r>
          </m:e>
          <m:sub>
            <m:r>
              <w:rPr>
                <w:rFonts w:ascii="Cambria Math" w:hAnsi="Cambria Math" w:cstheme="majorBidi"/>
                <w:lang w:val="en-US"/>
              </w:rPr>
              <m:t>it</m:t>
            </m:r>
          </m:sub>
        </m:sSub>
        <m:r>
          <m:rPr>
            <m:sty m:val="p"/>
          </m:rPr>
          <w:rPr>
            <w:rFonts w:ascii="Cambria Math" w:hAnsi="Cambria Math" w:cstheme="majorBidi"/>
            <w:lang w:val="en-US"/>
          </w:rPr>
          <m:t>+</m:t>
        </m:r>
        <m:sSub>
          <m:sSubPr>
            <m:ctrlPr>
              <w:rPr>
                <w:rFonts w:ascii="Cambria Math" w:hAnsi="Cambria Math" w:cstheme="majorBidi"/>
                <w:bCs/>
                <w:lang w:val="en-US"/>
              </w:rPr>
            </m:ctrlPr>
          </m:sSubPr>
          <m:e>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1</m:t>
                </m:r>
              </m:sub>
            </m:sSub>
            <m:r>
              <w:rPr>
                <w:rFonts w:ascii="Cambria Math" w:hAnsi="Cambria Math" w:cstheme="majorBidi"/>
                <w:lang w:val="en-US"/>
              </w:rPr>
              <m:t>D</m:t>
            </m:r>
          </m:e>
          <m:sub>
            <m:r>
              <w:rPr>
                <w:rFonts w:ascii="Cambria Math" w:hAnsi="Cambria Math" w:cstheme="majorBidi"/>
                <w:lang w:val="en-US"/>
              </w:rPr>
              <m:t>it</m:t>
            </m:r>
          </m:sub>
        </m:sSub>
        <m:r>
          <m:rPr>
            <m:sty m:val="p"/>
          </m:rPr>
          <w:rPr>
            <w:rFonts w:ascii="Cambria Math" w:hAnsi="Cambria Math" w:cstheme="majorBidi"/>
            <w:lang w:val="en-US"/>
          </w:rPr>
          <m:t>+</m:t>
        </m:r>
        <m:sSub>
          <m:sSubPr>
            <m:ctrlPr>
              <w:rPr>
                <w:rFonts w:ascii="Cambria Math" w:hAnsi="Cambria Math" w:cstheme="majorBidi"/>
                <w:bCs/>
                <w:lang w:val="en-US"/>
              </w:rPr>
            </m:ctrlPr>
          </m:sSubPr>
          <m:e>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sub>
            </m:sSub>
            <m:r>
              <w:rPr>
                <w:rFonts w:ascii="Cambria Math" w:hAnsi="Cambria Math" w:cstheme="majorBidi"/>
                <w:lang w:val="en-US"/>
              </w:rPr>
              <m:t>WD</m:t>
            </m:r>
          </m:e>
          <m:sub>
            <m:r>
              <w:rPr>
                <w:rFonts w:ascii="Cambria Math" w:hAnsi="Cambria Math" w:cstheme="majorBidi"/>
                <w:lang w:val="en-US"/>
              </w:rPr>
              <m:t>it</m:t>
            </m:r>
          </m:sub>
        </m:sSub>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μ</m:t>
            </m:r>
          </m:e>
          <m:sub>
            <m:r>
              <w:rPr>
                <w:rFonts w:ascii="Cambria Math" w:hAnsi="Cambria Math" w:cstheme="majorBidi"/>
                <w:lang w:val="en-US"/>
              </w:rPr>
              <m:t>i</m:t>
            </m:r>
          </m:sub>
        </m:sSub>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ϑ</m:t>
            </m:r>
          </m:e>
          <m:sub>
            <m:r>
              <w:rPr>
                <w:rFonts w:ascii="Cambria Math" w:hAnsi="Cambria Math" w:cstheme="majorBidi"/>
                <w:lang w:val="en-US"/>
              </w:rPr>
              <m:t>t</m:t>
            </m:r>
          </m:sub>
        </m:sSub>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ρWu</m:t>
            </m:r>
          </m:e>
          <m:sub>
            <m:r>
              <w:rPr>
                <w:rFonts w:ascii="Cambria Math" w:hAnsi="Cambria Math" w:cstheme="majorBidi"/>
                <w:lang w:val="en-US"/>
              </w:rPr>
              <m:t>it</m:t>
            </m:r>
          </m:sub>
        </m:sSub>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e</m:t>
            </m:r>
          </m:e>
          <m:sub>
            <m:r>
              <w:rPr>
                <w:rFonts w:ascii="Cambria Math" w:hAnsi="Cambria Math" w:cstheme="majorBidi"/>
                <w:lang w:val="en-US"/>
              </w:rPr>
              <m:t>it</m:t>
            </m:r>
          </m:sub>
        </m:sSub>
      </m:oMath>
      <w:r w:rsidR="00C15819">
        <w:rPr>
          <w:rFonts w:asciiTheme="majorBidi" w:hAnsiTheme="majorBidi" w:cstheme="majorBidi"/>
          <w:bCs/>
          <w:lang w:val="en-US"/>
        </w:rPr>
        <w:tab/>
      </w:r>
      <w:r w:rsidR="004D51DE">
        <w:rPr>
          <w:rFonts w:asciiTheme="majorBidi" w:hAnsiTheme="majorBidi" w:cstheme="majorBidi"/>
          <w:bCs/>
          <w:lang w:val="en-US"/>
        </w:rPr>
        <w:t xml:space="preserve">  </w:t>
      </w:r>
      <w:r w:rsidR="004D51DE">
        <w:rPr>
          <w:rFonts w:asciiTheme="majorBidi" w:hAnsiTheme="majorBidi" w:cstheme="majorBidi"/>
          <w:bCs/>
          <w:lang w:val="en-US"/>
        </w:rPr>
        <w:tab/>
      </w:r>
      <w:r w:rsidR="00C15819">
        <w:rPr>
          <w:rFonts w:asciiTheme="majorBidi" w:hAnsiTheme="majorBidi" w:cstheme="majorBidi"/>
          <w:bCs/>
          <w:lang w:val="en-US"/>
        </w:rPr>
        <w:tab/>
        <w:t>(1</w:t>
      </w:r>
      <w:r w:rsidR="00C15819" w:rsidRPr="005C2E59">
        <w:rPr>
          <w:rFonts w:asciiTheme="majorBidi" w:hAnsiTheme="majorBidi" w:cstheme="majorBidi"/>
          <w:bCs/>
          <w:lang w:val="en-US"/>
        </w:rPr>
        <w:t>)</w:t>
      </w:r>
    </w:p>
    <w:p w14:paraId="42924C31" w14:textId="700DC6DC" w:rsidR="00C15819" w:rsidRPr="005C2E59" w:rsidRDefault="00C15819" w:rsidP="00BD2F5C">
      <w:pPr>
        <w:widowControl w:val="0"/>
        <w:spacing w:before="120" w:after="120" w:line="360" w:lineRule="auto"/>
        <w:jc w:val="both"/>
        <w:rPr>
          <w:rFonts w:asciiTheme="majorBidi" w:hAnsiTheme="majorBidi" w:cstheme="majorBidi"/>
          <w:bCs/>
          <w:lang w:val="en-US"/>
        </w:rPr>
      </w:pPr>
      <w:r>
        <w:rPr>
          <w:rFonts w:asciiTheme="majorBidi" w:hAnsiTheme="majorBidi" w:cstheme="majorBidi"/>
          <w:bCs/>
          <w:lang w:val="en-US"/>
        </w:rPr>
        <w:t>The SARAR</w:t>
      </w:r>
      <w:r w:rsidRPr="005C2E59">
        <w:rPr>
          <w:rFonts w:asciiTheme="majorBidi" w:hAnsiTheme="majorBidi" w:cstheme="majorBidi"/>
          <w:bCs/>
          <w:lang w:val="en-US"/>
        </w:rPr>
        <w:t xml:space="preserve"> model </w:t>
      </w:r>
      <w:r>
        <w:rPr>
          <w:rFonts w:asciiTheme="majorBidi" w:hAnsiTheme="majorBidi" w:cstheme="majorBidi"/>
          <w:bCs/>
          <w:lang w:val="en-US"/>
        </w:rPr>
        <w:t xml:space="preserve">allows for </w:t>
      </w:r>
      <w:r w:rsidRPr="005C2E59">
        <w:rPr>
          <w:rFonts w:asciiTheme="majorBidi" w:hAnsiTheme="majorBidi" w:cstheme="majorBidi"/>
          <w:bCs/>
          <w:lang w:val="en-US"/>
        </w:rPr>
        <w:t>changes in a</w:t>
      </w:r>
      <w:r>
        <w:rPr>
          <w:rFonts w:asciiTheme="majorBidi" w:hAnsiTheme="majorBidi" w:cstheme="majorBidi"/>
          <w:bCs/>
          <w:lang w:val="en-US"/>
        </w:rPr>
        <w:t>n outcome variable in a</w:t>
      </w:r>
      <w:r w:rsidRPr="005C2E59">
        <w:rPr>
          <w:rFonts w:asciiTheme="majorBidi" w:hAnsiTheme="majorBidi" w:cstheme="majorBidi"/>
          <w:bCs/>
          <w:lang w:val="en-US"/>
        </w:rPr>
        <w:t xml:space="preserve"> given area </w:t>
      </w:r>
      <w:r>
        <w:rPr>
          <w:rFonts w:asciiTheme="majorBidi" w:hAnsiTheme="majorBidi" w:cstheme="majorBidi"/>
          <w:bCs/>
          <w:lang w:val="en-US"/>
        </w:rPr>
        <w:t>to have e</w:t>
      </w:r>
      <w:r w:rsidRPr="005C2E59">
        <w:rPr>
          <w:rFonts w:asciiTheme="majorBidi" w:hAnsiTheme="majorBidi" w:cstheme="majorBidi"/>
          <w:bCs/>
          <w:lang w:val="en-US"/>
        </w:rPr>
        <w:t>ffect</w:t>
      </w:r>
      <w:r>
        <w:rPr>
          <w:rFonts w:asciiTheme="majorBidi" w:hAnsiTheme="majorBidi" w:cstheme="majorBidi"/>
          <w:bCs/>
          <w:lang w:val="en-US"/>
        </w:rPr>
        <w:t>s on</w:t>
      </w:r>
      <w:r w:rsidRPr="005C2E59">
        <w:rPr>
          <w:rFonts w:asciiTheme="majorBidi" w:hAnsiTheme="majorBidi" w:cstheme="majorBidi"/>
          <w:bCs/>
          <w:lang w:val="en-US"/>
        </w:rPr>
        <w:t xml:space="preserve"> contemporaneous outcomes in other areas (via the autoregressive spatial lag of the dependent variable, if </w:t>
      </w:r>
      <m:oMath>
        <m:r>
          <m:rPr>
            <m:sty m:val="p"/>
          </m:rPr>
          <w:rPr>
            <w:rFonts w:ascii="Cambria Math" w:hAnsi="Cambria Math" w:cstheme="majorBidi"/>
            <w:bCs/>
            <w:lang w:val="en-US"/>
          </w:rPr>
          <w:sym w:font="Symbol" w:char="F06C"/>
        </m:r>
        <m:r>
          <m:rPr>
            <m:sty m:val="p"/>
          </m:rPr>
          <w:rPr>
            <w:rFonts w:ascii="Cambria Math" w:hAnsi="Cambria Math" w:cstheme="majorBidi"/>
            <w:lang w:val="en-US"/>
          </w:rPr>
          <m:t>≠0</m:t>
        </m:r>
      </m:oMath>
      <w:r w:rsidRPr="005C2E59">
        <w:rPr>
          <w:rFonts w:asciiTheme="majorBidi" w:hAnsiTheme="majorBidi" w:cstheme="majorBidi"/>
          <w:bCs/>
          <w:lang w:val="en-US"/>
        </w:rPr>
        <w:t xml:space="preserve">). It </w:t>
      </w:r>
      <w:r>
        <w:rPr>
          <w:rFonts w:asciiTheme="majorBidi" w:hAnsiTheme="majorBidi" w:cstheme="majorBidi"/>
          <w:bCs/>
          <w:lang w:val="en-US"/>
        </w:rPr>
        <w:t xml:space="preserve">also </w:t>
      </w:r>
      <w:r w:rsidR="00A206E0">
        <w:rPr>
          <w:rFonts w:asciiTheme="majorBidi" w:hAnsiTheme="majorBidi" w:cstheme="majorBidi"/>
          <w:bCs/>
          <w:lang w:val="en-US"/>
        </w:rPr>
        <w:t xml:space="preserve">allows </w:t>
      </w:r>
      <w:r w:rsidRPr="005C2E59">
        <w:rPr>
          <w:rFonts w:asciiTheme="majorBidi" w:hAnsiTheme="majorBidi" w:cstheme="majorBidi"/>
          <w:bCs/>
          <w:lang w:val="en-US"/>
        </w:rPr>
        <w:t xml:space="preserve">changes in independent variables </w:t>
      </w:r>
      <w:r>
        <w:rPr>
          <w:rFonts w:asciiTheme="majorBidi" w:hAnsiTheme="majorBidi" w:cstheme="majorBidi"/>
          <w:bCs/>
          <w:lang w:val="en-US"/>
        </w:rPr>
        <w:t>(such as being</w:t>
      </w:r>
      <w:r w:rsidR="00A206E0">
        <w:rPr>
          <w:rFonts w:asciiTheme="majorBidi" w:hAnsiTheme="majorBidi" w:cstheme="majorBidi"/>
          <w:bCs/>
          <w:lang w:val="en-US"/>
        </w:rPr>
        <w:t xml:space="preserve"> converted from county to city status</w:t>
      </w:r>
      <w:r>
        <w:rPr>
          <w:rFonts w:asciiTheme="majorBidi" w:hAnsiTheme="majorBidi" w:cstheme="majorBidi"/>
          <w:bCs/>
          <w:lang w:val="en-US"/>
        </w:rPr>
        <w:t xml:space="preserve">) </w:t>
      </w:r>
      <w:r w:rsidR="00A206E0">
        <w:rPr>
          <w:rFonts w:asciiTheme="majorBidi" w:hAnsiTheme="majorBidi" w:cstheme="majorBidi"/>
          <w:bCs/>
          <w:lang w:val="en-US"/>
        </w:rPr>
        <w:t xml:space="preserve">to </w:t>
      </w:r>
      <w:r w:rsidRPr="005C2E59">
        <w:rPr>
          <w:rFonts w:asciiTheme="majorBidi" w:hAnsiTheme="majorBidi" w:cstheme="majorBidi"/>
          <w:bCs/>
          <w:lang w:val="en-US"/>
        </w:rPr>
        <w:t xml:space="preserve">affect not only own-area outcomes but also outcomes in neighbouring areas (if </w:t>
      </w:r>
      <m:oMath>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sub>
        </m:sSub>
        <m:r>
          <m:rPr>
            <m:sty m:val="p"/>
          </m:rPr>
          <w:rPr>
            <w:rFonts w:ascii="Cambria Math" w:hAnsi="Cambria Math" w:cstheme="majorBidi"/>
            <w:lang w:val="en-US"/>
          </w:rPr>
          <m:t>≠0)</m:t>
        </m:r>
      </m:oMath>
      <w:r w:rsidRPr="005C2E59">
        <w:rPr>
          <w:rFonts w:asciiTheme="majorBidi" w:hAnsiTheme="majorBidi" w:cstheme="majorBidi"/>
          <w:bCs/>
          <w:lang w:val="en-US"/>
        </w:rPr>
        <w:t xml:space="preserve">. The </w:t>
      </w:r>
      <m:oMath>
        <m:sSub>
          <m:sSubPr>
            <m:ctrlPr>
              <w:rPr>
                <w:rFonts w:ascii="Cambria Math" w:hAnsi="Cambria Math" w:cstheme="majorBidi"/>
                <w:bCs/>
                <w:lang w:val="en-US"/>
              </w:rPr>
            </m:ctrlPr>
          </m:sSubPr>
          <m:e>
            <m:r>
              <w:rPr>
                <w:rFonts w:ascii="Cambria Math" w:hAnsi="Cambria Math" w:cstheme="majorBidi"/>
                <w:lang w:val="en-US"/>
              </w:rPr>
              <m:t>ρWu</m:t>
            </m:r>
          </m:e>
          <m:sub>
            <m:r>
              <w:rPr>
                <w:rFonts w:ascii="Cambria Math" w:hAnsi="Cambria Math" w:cstheme="majorBidi"/>
                <w:lang w:val="en-US"/>
              </w:rPr>
              <m:t>it</m:t>
            </m:r>
          </m:sub>
        </m:sSub>
      </m:oMath>
      <w:r w:rsidRPr="005C2E59">
        <w:rPr>
          <w:rFonts w:asciiTheme="majorBidi" w:hAnsiTheme="majorBidi" w:cstheme="majorBidi"/>
          <w:bCs/>
          <w:lang w:val="en-US"/>
        </w:rPr>
        <w:t xml:space="preserve"> term allows for spatial autocorrelation, where errors for a</w:t>
      </w:r>
      <w:r>
        <w:rPr>
          <w:rFonts w:asciiTheme="majorBidi" w:hAnsiTheme="majorBidi" w:cstheme="majorBidi"/>
          <w:bCs/>
          <w:lang w:val="en-US"/>
        </w:rPr>
        <w:t xml:space="preserve"> given</w:t>
      </w:r>
      <w:r w:rsidRPr="005C2E59">
        <w:rPr>
          <w:rFonts w:asciiTheme="majorBidi" w:hAnsiTheme="majorBidi" w:cstheme="majorBidi"/>
          <w:bCs/>
          <w:lang w:val="en-US"/>
        </w:rPr>
        <w:t xml:space="preserve"> area </w:t>
      </w:r>
      <w:r w:rsidR="00A206E0">
        <w:rPr>
          <w:rFonts w:asciiTheme="majorBidi" w:hAnsiTheme="majorBidi" w:cstheme="majorBidi"/>
          <w:bCs/>
          <w:lang w:val="en-US"/>
        </w:rPr>
        <w:t>correlate</w:t>
      </w:r>
      <w:r w:rsidRPr="005C2E59">
        <w:rPr>
          <w:rFonts w:asciiTheme="majorBidi" w:hAnsiTheme="majorBidi" w:cstheme="majorBidi"/>
          <w:bCs/>
          <w:lang w:val="en-US"/>
        </w:rPr>
        <w:t xml:space="preserve"> (</w:t>
      </w:r>
      <w:r w:rsidRPr="00C23239">
        <w:rPr>
          <w:rFonts w:asciiTheme="majorBidi" w:hAnsiTheme="majorBidi" w:cstheme="majorBidi"/>
          <w:bCs/>
          <w:i/>
          <w:iCs/>
          <w:lang w:val="en-US"/>
        </w:rPr>
        <w:sym w:font="Symbol" w:char="F072"/>
      </w:r>
      <w:r w:rsidRPr="005C2E59">
        <w:rPr>
          <w:rFonts w:asciiTheme="majorBidi" w:hAnsiTheme="majorBidi" w:cstheme="majorBidi"/>
          <w:bCs/>
          <w:lang w:val="en-US"/>
        </w:rPr>
        <w:t xml:space="preserve">) with a weighted average of the errors from surrounding </w:t>
      </w:r>
      <w:r>
        <w:rPr>
          <w:rFonts w:asciiTheme="majorBidi" w:hAnsiTheme="majorBidi" w:cstheme="majorBidi"/>
          <w:bCs/>
          <w:lang w:val="en-US"/>
        </w:rPr>
        <w:t>area</w:t>
      </w:r>
      <w:r w:rsidRPr="005C2E59">
        <w:rPr>
          <w:rFonts w:asciiTheme="majorBidi" w:hAnsiTheme="majorBidi" w:cstheme="majorBidi"/>
          <w:bCs/>
          <w:lang w:val="en-US"/>
        </w:rPr>
        <w:t xml:space="preserve">s. </w:t>
      </w:r>
      <w:r>
        <w:rPr>
          <w:rFonts w:asciiTheme="majorBidi" w:hAnsiTheme="majorBidi" w:cstheme="majorBidi"/>
          <w:bCs/>
          <w:lang w:val="en-US"/>
        </w:rPr>
        <w:t>Equation (1</w:t>
      </w:r>
      <w:r w:rsidRPr="005C2E59">
        <w:rPr>
          <w:rFonts w:asciiTheme="majorBidi" w:hAnsiTheme="majorBidi" w:cstheme="majorBidi"/>
          <w:bCs/>
          <w:lang w:val="en-US"/>
        </w:rPr>
        <w:t xml:space="preserve">) nests a spatial Durbin model if </w:t>
      </w:r>
      <m:oMath>
        <m:r>
          <w:rPr>
            <w:rFonts w:ascii="Cambria Math" w:hAnsi="Cambria Math" w:cstheme="majorBidi"/>
            <w:lang w:val="en-US"/>
          </w:rPr>
          <m:t>ρ</m:t>
        </m:r>
        <m:r>
          <m:rPr>
            <m:sty m:val="p"/>
          </m:rPr>
          <w:rPr>
            <w:rFonts w:ascii="Cambria Math" w:hAnsi="Cambria Math" w:cstheme="majorBidi"/>
            <w:lang w:val="en-US"/>
          </w:rPr>
          <m:t>=0,</m:t>
        </m:r>
      </m:oMath>
      <w:r w:rsidRPr="005C2E59">
        <w:rPr>
          <w:rFonts w:asciiTheme="majorBidi" w:hAnsiTheme="majorBidi" w:cstheme="majorBidi"/>
          <w:bCs/>
          <w:lang w:val="en-US"/>
        </w:rPr>
        <w:t xml:space="preserve"> a spatial auto-regressive model (</w:t>
      </w:r>
      <w:r w:rsidRPr="00C23239">
        <w:rPr>
          <w:rFonts w:asciiTheme="majorBidi" w:hAnsiTheme="majorBidi" w:cstheme="majorBidi"/>
          <w:bCs/>
          <w:i/>
          <w:iCs/>
          <w:lang w:val="en-US"/>
        </w:rPr>
        <w:t>aka</w:t>
      </w:r>
      <w:r w:rsidRPr="005C2E59">
        <w:rPr>
          <w:rFonts w:asciiTheme="majorBidi" w:hAnsiTheme="majorBidi" w:cstheme="majorBidi"/>
          <w:bCs/>
          <w:lang w:val="en-US"/>
        </w:rPr>
        <w:t xml:space="preserve"> spatial lag model) where only the dependent variable is spatially lagged if </w:t>
      </w:r>
      <m:oMath>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sub>
        </m:sSub>
        <m:r>
          <m:rPr>
            <m:sty m:val="p"/>
          </m:rPr>
          <w:rPr>
            <w:rFonts w:ascii="Cambria Math" w:hAnsi="Cambria Math" w:cstheme="majorBidi"/>
            <w:lang w:val="en-US"/>
          </w:rPr>
          <m:t>=</m:t>
        </m:r>
        <m:r>
          <w:rPr>
            <w:rFonts w:ascii="Cambria Math" w:hAnsi="Cambria Math" w:cstheme="majorBidi"/>
            <w:lang w:val="en-US"/>
          </w:rPr>
          <m:t>ρ</m:t>
        </m:r>
        <m:r>
          <m:rPr>
            <m:sty m:val="p"/>
          </m:rPr>
          <w:rPr>
            <w:rFonts w:ascii="Cambria Math" w:hAnsi="Cambria Math" w:cstheme="majorBidi"/>
            <w:lang w:val="en-US"/>
          </w:rPr>
          <m:t>=0</m:t>
        </m:r>
      </m:oMath>
      <w:r w:rsidRPr="005C2E59">
        <w:rPr>
          <w:rFonts w:asciiTheme="majorBidi" w:hAnsiTheme="majorBidi" w:cstheme="majorBidi"/>
          <w:bCs/>
          <w:lang w:val="en-US"/>
        </w:rPr>
        <w:t xml:space="preserve">, a spatial error model where only the errors are spatially lagged (if </w:t>
      </w:r>
      <w:r w:rsidRPr="005C2E59">
        <w:rPr>
          <w:rFonts w:asciiTheme="majorBidi" w:hAnsiTheme="majorBidi" w:cstheme="majorBidi"/>
          <w:bCs/>
          <w:lang w:val="en-US"/>
        </w:rPr>
        <w:sym w:font="Symbol" w:char="F06C"/>
      </w:r>
      <m:oMath>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sub>
        </m:sSub>
        <m:r>
          <m:rPr>
            <m:sty m:val="p"/>
          </m:rPr>
          <w:rPr>
            <w:rFonts w:ascii="Cambria Math" w:hAnsi="Cambria Math" w:cstheme="majorBidi"/>
            <w:lang w:val="en-US"/>
          </w:rPr>
          <m:t>=0)</m:t>
        </m:r>
      </m:oMath>
      <w:r w:rsidRPr="005C2E59">
        <w:rPr>
          <w:rFonts w:asciiTheme="majorBidi" w:hAnsiTheme="majorBidi" w:cstheme="majorBidi"/>
          <w:bCs/>
          <w:lang w:val="en-US"/>
        </w:rPr>
        <w:t xml:space="preserve">, and </w:t>
      </w:r>
      <w:r>
        <w:rPr>
          <w:rFonts w:asciiTheme="majorBidi" w:hAnsiTheme="majorBidi" w:cstheme="majorBidi"/>
          <w:bCs/>
          <w:lang w:val="en-US"/>
        </w:rPr>
        <w:t xml:space="preserve">the most restrictive </w:t>
      </w:r>
      <w:r>
        <w:rPr>
          <w:rFonts w:asciiTheme="majorBidi" w:hAnsiTheme="majorBidi" w:cstheme="majorBidi"/>
          <w:bCs/>
          <w:lang w:val="en-US"/>
        </w:rPr>
        <w:lastRenderedPageBreak/>
        <w:t>of all, which is an aspatial model</w:t>
      </w:r>
      <w:r w:rsidRPr="005C2E59">
        <w:rPr>
          <w:rFonts w:asciiTheme="majorBidi" w:hAnsiTheme="majorBidi" w:cstheme="majorBidi"/>
          <w:bCs/>
          <w:lang w:val="en-US"/>
        </w:rPr>
        <w:t xml:space="preserve"> </w:t>
      </w:r>
      <w:r>
        <w:rPr>
          <w:rFonts w:asciiTheme="majorBidi" w:hAnsiTheme="majorBidi" w:cstheme="majorBidi"/>
          <w:bCs/>
          <w:lang w:val="en-US"/>
        </w:rPr>
        <w:t>with</w:t>
      </w:r>
      <w:r w:rsidRPr="005C2E59">
        <w:rPr>
          <w:rFonts w:asciiTheme="majorBidi" w:hAnsiTheme="majorBidi" w:cstheme="majorBidi"/>
          <w:bCs/>
          <w:lang w:val="en-US"/>
        </w:rPr>
        <w:t xml:space="preserve"> no spatial lags (if </w:t>
      </w:r>
      <m:oMath>
        <m:sSub>
          <m:sSubPr>
            <m:ctrlPr>
              <w:rPr>
                <w:rFonts w:ascii="Cambria Math" w:hAnsi="Cambria Math" w:cstheme="majorBidi"/>
                <w:bCs/>
                <w:lang w:val="en-US"/>
              </w:rPr>
            </m:ctrlPr>
          </m:sSubPr>
          <m:e>
            <m:r>
              <m:rPr>
                <m:sty m:val="p"/>
              </m:rPr>
              <w:rPr>
                <w:rFonts w:ascii="Cambria Math" w:hAnsi="Cambria Math" w:cstheme="majorBidi"/>
                <w:bCs/>
                <w:lang w:val="en-US"/>
              </w:rPr>
              <w:sym w:font="Symbol" w:char="F06C"/>
            </m:r>
            <m:r>
              <m:rPr>
                <m:sty m:val="p"/>
              </m:rPr>
              <w:rPr>
                <w:rFonts w:ascii="Cambria Math" w:hAnsi="Cambria Math" w:cstheme="majorBidi"/>
                <w:lang w:val="en-US"/>
              </w:rPr>
              <m:t>=</m:t>
            </m:r>
            <m:r>
              <w:rPr>
                <w:rFonts w:ascii="Cambria Math" w:hAnsi="Cambria Math" w:cstheme="majorBidi"/>
                <w:lang w:val="en-US"/>
              </w:rPr>
              <m:t>β</m:t>
            </m:r>
          </m:e>
          <m:sub>
            <m:r>
              <m:rPr>
                <m:sty m:val="p"/>
              </m:rPr>
              <w:rPr>
                <w:rFonts w:ascii="Cambria Math" w:hAnsi="Cambria Math" w:cstheme="majorBidi"/>
                <w:lang w:val="en-US"/>
              </w:rPr>
              <m:t>2</m:t>
            </m:r>
          </m:sub>
        </m:sSub>
        <m:r>
          <m:rPr>
            <m:sty m:val="p"/>
          </m:rPr>
          <w:rPr>
            <w:rFonts w:ascii="Cambria Math" w:hAnsi="Cambria Math" w:cstheme="majorBidi"/>
            <w:lang w:val="en-US"/>
          </w:rPr>
          <m:t>=</m:t>
        </m:r>
        <m:r>
          <w:rPr>
            <w:rFonts w:ascii="Cambria Math" w:hAnsi="Cambria Math" w:cstheme="majorBidi"/>
            <w:lang w:val="en-US"/>
          </w:rPr>
          <m:t>ρ</m:t>
        </m:r>
        <m:r>
          <m:rPr>
            <m:sty m:val="p"/>
          </m:rPr>
          <w:rPr>
            <w:rFonts w:ascii="Cambria Math" w:hAnsi="Cambria Math" w:cstheme="majorBidi"/>
            <w:lang w:val="en-US"/>
          </w:rPr>
          <m:t>=0)</m:t>
        </m:r>
      </m:oMath>
      <w:r w:rsidRPr="005C2E59">
        <w:rPr>
          <w:rFonts w:asciiTheme="majorBidi" w:hAnsiTheme="majorBidi" w:cstheme="majorBidi"/>
          <w:bCs/>
          <w:lang w:val="en-US"/>
        </w:rPr>
        <w:t xml:space="preserve">. </w:t>
      </w:r>
      <w:r>
        <w:rPr>
          <w:rFonts w:asciiTheme="majorBidi" w:hAnsiTheme="majorBidi" w:cstheme="majorBidi"/>
          <w:bCs/>
          <w:lang w:val="en-US"/>
        </w:rPr>
        <w:t xml:space="preserve">The aspatial model has been the approach </w:t>
      </w:r>
      <w:r w:rsidR="009F57E2">
        <w:rPr>
          <w:rFonts w:asciiTheme="majorBidi" w:hAnsiTheme="majorBidi" w:cstheme="majorBidi"/>
          <w:bCs/>
          <w:lang w:val="en-US"/>
        </w:rPr>
        <w:t xml:space="preserve">underpinning the </w:t>
      </w:r>
      <w:r>
        <w:rPr>
          <w:rFonts w:asciiTheme="majorBidi" w:hAnsiTheme="majorBidi" w:cstheme="majorBidi"/>
          <w:bCs/>
          <w:lang w:val="en-US"/>
        </w:rPr>
        <w:t>previous studies of county upgrading</w:t>
      </w:r>
      <w:r w:rsidR="009F57E2">
        <w:rPr>
          <w:rFonts w:asciiTheme="majorBidi" w:hAnsiTheme="majorBidi" w:cstheme="majorBidi"/>
          <w:bCs/>
          <w:lang w:val="en-US"/>
        </w:rPr>
        <w:t xml:space="preserve"> (Table 2)</w:t>
      </w:r>
      <w:r>
        <w:rPr>
          <w:rFonts w:asciiTheme="majorBidi" w:hAnsiTheme="majorBidi" w:cstheme="majorBidi"/>
          <w:bCs/>
          <w:lang w:val="en-US"/>
        </w:rPr>
        <w:t>. The encompassing nature of equation (1) allows for a general-to-specific model selection strategy which appears to be more robust than the reverse simple-to-general selection strategy, especially if they are any anomalies in the Data Generating Process</w:t>
      </w:r>
      <w:r w:rsidRPr="00286E07">
        <w:rPr>
          <w:rFonts w:asciiTheme="majorBidi" w:hAnsiTheme="majorBidi" w:cstheme="majorBidi"/>
          <w:bCs/>
          <w:lang w:val="en-US"/>
        </w:rPr>
        <w:t xml:space="preserve"> (</w:t>
      </w:r>
      <w:r w:rsidRPr="00286E07">
        <w:rPr>
          <w:rFonts w:asciiTheme="majorBidi" w:hAnsiTheme="majorBidi" w:cstheme="majorBidi"/>
          <w:shd w:val="clear" w:color="auto" w:fill="FFFFFF"/>
        </w:rPr>
        <w:t>Mur and Angulo, 2009).</w:t>
      </w:r>
    </w:p>
    <w:p w14:paraId="0181B943" w14:textId="0C828D08" w:rsidR="00C15819" w:rsidRPr="005C2E59" w:rsidRDefault="00C15819" w:rsidP="00BD2F5C">
      <w:pPr>
        <w:widowControl w:val="0"/>
        <w:spacing w:before="120" w:after="120" w:line="360" w:lineRule="auto"/>
        <w:ind w:firstLine="720"/>
        <w:jc w:val="both"/>
        <w:rPr>
          <w:rFonts w:asciiTheme="majorBidi" w:hAnsiTheme="majorBidi" w:cstheme="majorBidi"/>
          <w:bCs/>
          <w:lang w:val="en-US"/>
        </w:rPr>
      </w:pPr>
      <w:r w:rsidRPr="005C2E59">
        <w:rPr>
          <w:rFonts w:asciiTheme="majorBidi" w:hAnsiTheme="majorBidi" w:cstheme="majorBidi"/>
          <w:bCs/>
          <w:lang w:val="en-US"/>
        </w:rPr>
        <w:t xml:space="preserve">An important feature of spatial econometric models is that lags of either the outcome variable or </w:t>
      </w:r>
      <w:r w:rsidR="00A206E0">
        <w:rPr>
          <w:rFonts w:asciiTheme="majorBidi" w:hAnsiTheme="majorBidi" w:cstheme="majorBidi"/>
          <w:bCs/>
          <w:lang w:val="en-US"/>
        </w:rPr>
        <w:t xml:space="preserve">of </w:t>
      </w:r>
      <w:r w:rsidRPr="005C2E59">
        <w:rPr>
          <w:rFonts w:asciiTheme="majorBidi" w:hAnsiTheme="majorBidi" w:cstheme="majorBidi"/>
          <w:bCs/>
          <w:lang w:val="en-US"/>
        </w:rPr>
        <w:t>independent variable</w:t>
      </w:r>
      <w:r w:rsidR="00A206E0">
        <w:rPr>
          <w:rFonts w:asciiTheme="majorBidi" w:hAnsiTheme="majorBidi" w:cstheme="majorBidi"/>
          <w:bCs/>
          <w:lang w:val="en-US"/>
        </w:rPr>
        <w:t>s</w:t>
      </w:r>
      <w:r w:rsidRPr="005C2E59">
        <w:rPr>
          <w:rFonts w:asciiTheme="majorBidi" w:hAnsiTheme="majorBidi" w:cstheme="majorBidi"/>
          <w:bCs/>
          <w:lang w:val="en-US"/>
        </w:rPr>
        <w:t xml:space="preserve"> (but not </w:t>
      </w:r>
      <w:r>
        <w:rPr>
          <w:rFonts w:asciiTheme="majorBidi" w:hAnsiTheme="majorBidi" w:cstheme="majorBidi"/>
          <w:bCs/>
          <w:lang w:val="en-US"/>
        </w:rPr>
        <w:t xml:space="preserve">of </w:t>
      </w:r>
      <w:r w:rsidRPr="005C2E59">
        <w:rPr>
          <w:rFonts w:asciiTheme="majorBidi" w:hAnsiTheme="majorBidi" w:cstheme="majorBidi"/>
          <w:bCs/>
          <w:lang w:val="en-US"/>
        </w:rPr>
        <w:t xml:space="preserve">errors) mean that total effects of changes in an independent variable—e.g. </w:t>
      </w:r>
      <w:r>
        <w:rPr>
          <w:rFonts w:asciiTheme="majorBidi" w:hAnsiTheme="majorBidi" w:cstheme="majorBidi"/>
          <w:bCs/>
          <w:lang w:val="en-US"/>
        </w:rPr>
        <w:t xml:space="preserve">whether a county </w:t>
      </w:r>
      <w:r w:rsidR="00A206E0">
        <w:rPr>
          <w:rFonts w:asciiTheme="majorBidi" w:hAnsiTheme="majorBidi" w:cstheme="majorBidi"/>
          <w:bCs/>
          <w:lang w:val="en-US"/>
        </w:rPr>
        <w:t xml:space="preserve">is </w:t>
      </w:r>
      <w:r>
        <w:rPr>
          <w:rFonts w:asciiTheme="majorBidi" w:hAnsiTheme="majorBidi" w:cstheme="majorBidi"/>
          <w:bCs/>
          <w:lang w:val="en-US"/>
        </w:rPr>
        <w:t>upgraded</w:t>
      </w:r>
      <w:r w:rsidRPr="005C2E59">
        <w:rPr>
          <w:rFonts w:asciiTheme="majorBidi" w:hAnsiTheme="majorBidi" w:cstheme="majorBidi"/>
          <w:bCs/>
          <w:lang w:val="en-US"/>
        </w:rPr>
        <w:t xml:space="preserve">—may be quite different to what the regression coefficient </w:t>
      </w:r>
      <w:r>
        <w:rPr>
          <w:rFonts w:asciiTheme="majorBidi" w:hAnsiTheme="majorBidi" w:cstheme="majorBidi"/>
          <w:bCs/>
          <w:lang w:val="en-US"/>
        </w:rPr>
        <w:t xml:space="preserve">on the dummy variable for being upgraded </w:t>
      </w:r>
      <w:r w:rsidRPr="005C2E59">
        <w:rPr>
          <w:rFonts w:asciiTheme="majorBidi" w:hAnsiTheme="majorBidi" w:cstheme="majorBidi"/>
          <w:bCs/>
          <w:lang w:val="en-US"/>
        </w:rPr>
        <w:t xml:space="preserve">shows. Thus, while </w:t>
      </w:r>
      <m:oMath>
        <m:sSub>
          <m:sSubPr>
            <m:ctrlPr>
              <w:rPr>
                <w:rFonts w:ascii="Cambria Math" w:hAnsi="Cambria Math" w:cstheme="majorBidi"/>
                <w:bCs/>
                <w:lang w:val="en-US"/>
              </w:rPr>
            </m:ctrlPr>
          </m:sSubPr>
          <m:e>
            <m:acc>
              <m:accPr>
                <m:ctrlPr>
                  <w:rPr>
                    <w:rFonts w:ascii="Cambria Math" w:hAnsi="Cambria Math" w:cstheme="majorBidi"/>
                    <w:bCs/>
                    <w:lang w:val="en-US"/>
                  </w:rPr>
                </m:ctrlPr>
              </m:accPr>
              <m:e>
                <m:r>
                  <w:rPr>
                    <w:rFonts w:ascii="Cambria Math" w:hAnsi="Cambria Math" w:cstheme="majorBidi"/>
                    <w:lang w:val="en-US"/>
                  </w:rPr>
                  <m:t>β</m:t>
                </m:r>
              </m:e>
            </m:acc>
          </m:e>
          <m:sub>
            <m:r>
              <m:rPr>
                <m:sty m:val="p"/>
              </m:rPr>
              <w:rPr>
                <w:rFonts w:ascii="Cambria Math" w:hAnsi="Cambria Math" w:cstheme="majorBidi"/>
                <w:lang w:val="en-US"/>
              </w:rPr>
              <m:t>1</m:t>
            </m:r>
          </m:sub>
        </m:sSub>
      </m:oMath>
      <w:r w:rsidRPr="005C2E59">
        <w:rPr>
          <w:rFonts w:asciiTheme="majorBidi" w:hAnsiTheme="majorBidi" w:cstheme="majorBidi"/>
          <w:bCs/>
          <w:lang w:val="en-US"/>
        </w:rPr>
        <w:t xml:space="preserve"> is the object of interest in </w:t>
      </w:r>
      <w:r>
        <w:rPr>
          <w:rFonts w:asciiTheme="majorBidi" w:hAnsiTheme="majorBidi" w:cstheme="majorBidi"/>
          <w:bCs/>
          <w:lang w:val="en-US"/>
        </w:rPr>
        <w:t xml:space="preserve">the typical model without spatial lags, in the </w:t>
      </w:r>
      <w:r w:rsidRPr="005C2E59">
        <w:rPr>
          <w:rFonts w:asciiTheme="majorBidi" w:hAnsiTheme="majorBidi" w:cstheme="majorBidi"/>
          <w:bCs/>
          <w:lang w:val="en-US"/>
        </w:rPr>
        <w:t xml:space="preserve">spatial models </w:t>
      </w:r>
      <w:r>
        <w:rPr>
          <w:rFonts w:asciiTheme="majorBidi" w:hAnsiTheme="majorBidi" w:cstheme="majorBidi"/>
          <w:bCs/>
          <w:lang w:val="en-US"/>
        </w:rPr>
        <w:t xml:space="preserve">when either the spatial lags of outcomes or the spatial lags of independent variables are non-zero then </w:t>
      </w:r>
      <m:oMath>
        <m:sSub>
          <m:sSubPr>
            <m:ctrlPr>
              <w:rPr>
                <w:rFonts w:ascii="Cambria Math" w:hAnsi="Cambria Math" w:cstheme="majorBidi"/>
                <w:bCs/>
                <w:lang w:val="en-US"/>
              </w:rPr>
            </m:ctrlPr>
          </m:sSubPr>
          <m:e>
            <m:acc>
              <m:accPr>
                <m:ctrlPr>
                  <w:rPr>
                    <w:rFonts w:ascii="Cambria Math" w:hAnsi="Cambria Math" w:cstheme="majorBidi"/>
                    <w:bCs/>
                    <w:lang w:val="en-US"/>
                  </w:rPr>
                </m:ctrlPr>
              </m:accPr>
              <m:e>
                <m:r>
                  <w:rPr>
                    <w:rFonts w:ascii="Cambria Math" w:hAnsi="Cambria Math" w:cstheme="majorBidi"/>
                    <w:lang w:val="en-US"/>
                  </w:rPr>
                  <m:t>β</m:t>
                </m:r>
              </m:e>
            </m:acc>
          </m:e>
          <m:sub>
            <m:r>
              <m:rPr>
                <m:sty m:val="p"/>
              </m:rPr>
              <w:rPr>
                <w:rFonts w:ascii="Cambria Math" w:hAnsi="Cambria Math" w:cstheme="majorBidi"/>
                <w:lang w:val="en-US"/>
              </w:rPr>
              <m:t>1</m:t>
            </m:r>
          </m:sub>
        </m:sSub>
      </m:oMath>
      <w:r w:rsidRPr="005C2E59">
        <w:rPr>
          <w:rFonts w:asciiTheme="majorBidi" w:hAnsiTheme="majorBidi" w:cstheme="majorBidi"/>
          <w:bCs/>
          <w:lang w:val="en-US"/>
        </w:rPr>
        <w:t xml:space="preserve"> does not capture the total effect of </w:t>
      </w:r>
      <w:r>
        <w:rPr>
          <w:rFonts w:asciiTheme="majorBidi" w:hAnsiTheme="majorBidi" w:cstheme="majorBidi"/>
          <w:bCs/>
          <w:lang w:val="en-US"/>
        </w:rPr>
        <w:t xml:space="preserve">a </w:t>
      </w:r>
      <w:r w:rsidRPr="005C2E59">
        <w:rPr>
          <w:rFonts w:asciiTheme="majorBidi" w:hAnsiTheme="majorBidi" w:cstheme="majorBidi"/>
          <w:bCs/>
          <w:lang w:val="en-US"/>
        </w:rPr>
        <w:t xml:space="preserve">change in </w:t>
      </w:r>
      <w:r>
        <w:rPr>
          <w:rFonts w:asciiTheme="majorBidi" w:hAnsiTheme="majorBidi" w:cstheme="majorBidi"/>
          <w:bCs/>
          <w:lang w:val="en-US"/>
        </w:rPr>
        <w:t>the administrative status of a county</w:t>
      </w:r>
      <w:r w:rsidRPr="005C2E59">
        <w:rPr>
          <w:rFonts w:asciiTheme="majorBidi" w:hAnsiTheme="majorBidi" w:cstheme="majorBidi"/>
          <w:bCs/>
          <w:lang w:val="en-US"/>
        </w:rPr>
        <w:t>. A useful decomposition</w:t>
      </w:r>
      <w:r>
        <w:rPr>
          <w:rFonts w:asciiTheme="majorBidi" w:hAnsiTheme="majorBidi" w:cstheme="majorBidi"/>
          <w:bCs/>
          <w:lang w:val="en-US"/>
        </w:rPr>
        <w:t xml:space="preserve"> of the more complex spatial relationships that occur relies on rewriting equation (1</w:t>
      </w:r>
      <w:r w:rsidRPr="005C2E59">
        <w:rPr>
          <w:rFonts w:asciiTheme="majorBidi" w:hAnsiTheme="majorBidi" w:cstheme="majorBidi"/>
          <w:bCs/>
          <w:lang w:val="en-US"/>
        </w:rPr>
        <w:t>) in matrix notation (for simplicity, subscripts are dropped and fixed effects and error terms combine</w:t>
      </w:r>
      <w:r>
        <w:rPr>
          <w:rFonts w:asciiTheme="majorBidi" w:hAnsiTheme="majorBidi" w:cstheme="majorBidi"/>
          <w:bCs/>
          <w:lang w:val="en-US"/>
        </w:rPr>
        <w:t>d</w:t>
      </w:r>
      <w:r w:rsidRPr="005C2E59">
        <w:rPr>
          <w:rFonts w:asciiTheme="majorBidi" w:hAnsiTheme="majorBidi" w:cstheme="majorBidi"/>
          <w:bCs/>
          <w:lang w:val="en-US"/>
        </w:rPr>
        <w:t xml:space="preserve"> in </w:t>
      </w:r>
      <w:r w:rsidRPr="00C23239">
        <w:rPr>
          <w:rFonts w:asciiTheme="majorBidi" w:hAnsiTheme="majorBidi" w:cstheme="majorBidi"/>
          <w:bCs/>
          <w:i/>
          <w:iCs/>
          <w:lang w:val="en-US"/>
        </w:rPr>
        <w:t>v</w:t>
      </w:r>
      <w:r w:rsidRPr="005C2E59">
        <w:rPr>
          <w:rFonts w:asciiTheme="majorBidi" w:hAnsiTheme="majorBidi" w:cstheme="majorBidi"/>
          <w:bCs/>
          <w:lang w:val="en-US"/>
        </w:rPr>
        <w:t xml:space="preserve"> because the errors do not affect this decomposition) as:</w:t>
      </w:r>
    </w:p>
    <w:p w14:paraId="68AD016D" w14:textId="77777777" w:rsidR="00C15819" w:rsidRPr="005C2E59" w:rsidRDefault="00C15819" w:rsidP="00BD2F5C">
      <w:pPr>
        <w:widowControl w:val="0"/>
        <w:spacing w:before="120" w:after="120" w:line="360" w:lineRule="auto"/>
        <w:ind w:firstLine="720"/>
        <w:jc w:val="right"/>
        <w:rPr>
          <w:rFonts w:asciiTheme="majorBidi" w:hAnsiTheme="majorBidi" w:cstheme="majorBidi"/>
          <w:bCs/>
          <w:lang w:val="en-US"/>
        </w:rPr>
      </w:pPr>
      <m:oMath>
        <m:r>
          <w:rPr>
            <w:rFonts w:ascii="Cambria Math" w:hAnsi="Cambria Math" w:cstheme="majorBidi"/>
            <w:lang w:val="en-US"/>
          </w:rPr>
          <m:t>O</m:t>
        </m:r>
        <m:r>
          <m:rPr>
            <m:sty m:val="p"/>
          </m:rPr>
          <w:rPr>
            <w:rFonts w:ascii="Cambria Math" w:hAnsi="Cambria Math" w:cstheme="majorBidi"/>
            <w:lang w:val="en-US"/>
          </w:rPr>
          <m:t>=</m:t>
        </m:r>
        <m:sSup>
          <m:sSupPr>
            <m:ctrlPr>
              <w:rPr>
                <w:rFonts w:ascii="Cambria Math" w:hAnsi="Cambria Math" w:cstheme="majorBidi"/>
                <w:bCs/>
                <w:lang w:val="en-US"/>
              </w:rPr>
            </m:ctrlPr>
          </m:sSupPr>
          <m:e>
            <m:d>
              <m:dPr>
                <m:ctrlPr>
                  <w:rPr>
                    <w:rFonts w:ascii="Cambria Math" w:hAnsi="Cambria Math" w:cstheme="majorBidi"/>
                    <w:bCs/>
                    <w:lang w:val="en-US"/>
                  </w:rPr>
                </m:ctrlPr>
              </m:dPr>
              <m:e>
                <m:r>
                  <w:rPr>
                    <w:rFonts w:ascii="Cambria Math" w:hAnsi="Cambria Math" w:cstheme="majorBidi"/>
                    <w:lang w:val="en-US"/>
                  </w:rPr>
                  <m:t>I</m:t>
                </m:r>
                <m:r>
                  <m:rPr>
                    <m:sty m:val="p"/>
                  </m:rPr>
                  <w:rPr>
                    <w:rFonts w:ascii="Cambria Math" w:hAnsi="Cambria Math" w:cstheme="majorBidi"/>
                    <w:lang w:val="en-US"/>
                  </w:rPr>
                  <m:t>-</m:t>
                </m:r>
                <m:r>
                  <m:rPr>
                    <m:sty m:val="p"/>
                  </m:rPr>
                  <w:rPr>
                    <w:rFonts w:ascii="Cambria Math" w:hAnsi="Cambria Math" w:cstheme="majorBidi"/>
                    <w:bCs/>
                    <w:lang w:val="en-US"/>
                  </w:rPr>
                  <w:sym w:font="Symbol" w:char="F06C"/>
                </m:r>
                <m:r>
                  <w:rPr>
                    <w:rFonts w:ascii="Cambria Math" w:hAnsi="Cambria Math" w:cstheme="majorBidi"/>
                    <w:lang w:val="en-US"/>
                  </w:rPr>
                  <m:t>W</m:t>
                </m:r>
              </m:e>
            </m:d>
          </m:e>
          <m:sup>
            <m:r>
              <m:rPr>
                <m:sty m:val="p"/>
              </m:rPr>
              <w:rPr>
                <w:rFonts w:ascii="Cambria Math" w:hAnsi="Cambria Math" w:cstheme="majorBidi"/>
                <w:lang w:val="en-US"/>
              </w:rPr>
              <m:t>-1</m:t>
            </m:r>
          </m:sup>
        </m:sSup>
        <m:d>
          <m:dPr>
            <m:ctrlPr>
              <w:rPr>
                <w:rFonts w:ascii="Cambria Math" w:hAnsi="Cambria Math" w:cstheme="majorBidi"/>
                <w:bCs/>
                <w:lang w:val="en-US"/>
              </w:rPr>
            </m:ctrlPr>
          </m:dPr>
          <m:e>
            <m:r>
              <w:rPr>
                <w:rFonts w:ascii="Cambria Math" w:hAnsi="Cambria Math" w:cstheme="majorBidi"/>
                <w:lang w:val="en-US"/>
              </w:rPr>
              <m:t>D</m:t>
            </m:r>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1</m:t>
                </m:r>
              </m:sub>
            </m:sSub>
            <m:r>
              <m:rPr>
                <m:sty m:val="p"/>
              </m:rPr>
              <w:rPr>
                <w:rFonts w:ascii="Cambria Math" w:hAnsi="Cambria Math" w:cstheme="majorBidi"/>
                <w:lang w:val="en-US"/>
              </w:rPr>
              <m:t>+</m:t>
            </m:r>
            <m:r>
              <w:rPr>
                <w:rFonts w:ascii="Cambria Math" w:hAnsi="Cambria Math" w:cstheme="majorBidi"/>
                <w:lang w:val="en-US"/>
              </w:rPr>
              <m:t>WD</m:t>
            </m:r>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sub>
            </m:sSub>
          </m:e>
        </m:d>
        <m:r>
          <m:rPr>
            <m:sty m:val="p"/>
          </m:rPr>
          <w:rPr>
            <w:rFonts w:ascii="Cambria Math" w:hAnsi="Cambria Math" w:cstheme="majorBidi"/>
            <w:lang w:val="en-US"/>
          </w:rPr>
          <m:t>+</m:t>
        </m:r>
        <m:sSup>
          <m:sSupPr>
            <m:ctrlPr>
              <w:rPr>
                <w:rFonts w:ascii="Cambria Math" w:hAnsi="Cambria Math" w:cstheme="majorBidi"/>
                <w:bCs/>
                <w:lang w:val="en-US"/>
              </w:rPr>
            </m:ctrlPr>
          </m:sSupPr>
          <m:e>
            <m:d>
              <m:dPr>
                <m:ctrlPr>
                  <w:rPr>
                    <w:rFonts w:ascii="Cambria Math" w:hAnsi="Cambria Math" w:cstheme="majorBidi"/>
                    <w:bCs/>
                    <w:lang w:val="en-US"/>
                  </w:rPr>
                </m:ctrlPr>
              </m:dPr>
              <m:e>
                <m:r>
                  <w:rPr>
                    <w:rFonts w:ascii="Cambria Math" w:hAnsi="Cambria Math" w:cstheme="majorBidi"/>
                    <w:lang w:val="en-US"/>
                  </w:rPr>
                  <m:t>I</m:t>
                </m:r>
                <m:r>
                  <m:rPr>
                    <m:sty m:val="p"/>
                  </m:rPr>
                  <w:rPr>
                    <w:rFonts w:ascii="Cambria Math" w:hAnsi="Cambria Math" w:cstheme="majorBidi"/>
                    <w:lang w:val="en-US"/>
                  </w:rPr>
                  <m:t>-</m:t>
                </m:r>
                <m:r>
                  <m:rPr>
                    <m:sty m:val="p"/>
                  </m:rPr>
                  <w:rPr>
                    <w:rFonts w:ascii="Cambria Math" w:hAnsi="Cambria Math" w:cstheme="majorBidi"/>
                    <w:bCs/>
                    <w:lang w:val="en-US"/>
                  </w:rPr>
                  <w:sym w:font="Symbol" w:char="F06C"/>
                </m:r>
                <m:r>
                  <w:rPr>
                    <w:rFonts w:ascii="Cambria Math" w:hAnsi="Cambria Math" w:cstheme="majorBidi"/>
                    <w:lang w:val="en-US"/>
                  </w:rPr>
                  <m:t>W</m:t>
                </m:r>
              </m:e>
            </m:d>
          </m:e>
          <m:sup>
            <m:r>
              <m:rPr>
                <m:sty m:val="p"/>
              </m:rPr>
              <w:rPr>
                <w:rFonts w:ascii="Cambria Math" w:hAnsi="Cambria Math" w:cstheme="majorBidi"/>
                <w:lang w:val="en-US"/>
              </w:rPr>
              <m:t>-1</m:t>
            </m:r>
          </m:sup>
        </m:sSup>
        <m:r>
          <w:rPr>
            <w:rFonts w:ascii="Cambria Math" w:hAnsi="Cambria Math" w:cstheme="majorBidi"/>
            <w:lang w:val="en-US"/>
          </w:rPr>
          <m:t>v</m:t>
        </m:r>
        <m:r>
          <m:rPr>
            <m:sty m:val="p"/>
          </m:rPr>
          <w:rPr>
            <w:rFonts w:ascii="Cambria Math" w:hAnsi="Cambria Math" w:cstheme="majorBidi"/>
            <w:lang w:val="en-US"/>
          </w:rPr>
          <m:t xml:space="preserve">        </m:t>
        </m:r>
      </m:oMath>
      <w:r w:rsidRPr="005C2E59">
        <w:rPr>
          <w:rFonts w:asciiTheme="majorBidi" w:hAnsiTheme="majorBidi" w:cstheme="majorBidi"/>
          <w:bCs/>
          <w:lang w:val="en-US"/>
        </w:rPr>
        <w:tab/>
        <w:t xml:space="preserve"> </w:t>
      </w:r>
      <w:r w:rsidRPr="005C2E59">
        <w:rPr>
          <w:rFonts w:asciiTheme="majorBidi" w:hAnsiTheme="majorBidi" w:cstheme="majorBidi"/>
          <w:bCs/>
          <w:lang w:val="en-US"/>
        </w:rPr>
        <w:tab/>
      </w:r>
      <w:r>
        <w:rPr>
          <w:rFonts w:asciiTheme="majorBidi" w:hAnsiTheme="majorBidi" w:cstheme="majorBidi"/>
          <w:bCs/>
          <w:lang w:val="en-US"/>
        </w:rPr>
        <w:t>(2</w:t>
      </w:r>
      <w:r w:rsidRPr="005C2E59">
        <w:rPr>
          <w:rFonts w:asciiTheme="majorBidi" w:hAnsiTheme="majorBidi" w:cstheme="majorBidi"/>
          <w:bCs/>
          <w:lang w:val="en-US"/>
        </w:rPr>
        <w:t>)</w:t>
      </w:r>
    </w:p>
    <w:p w14:paraId="501C9461" w14:textId="77777777" w:rsidR="00C15819" w:rsidRPr="005C2E59" w:rsidRDefault="00C15819" w:rsidP="00BD2F5C">
      <w:pPr>
        <w:widowControl w:val="0"/>
        <w:spacing w:before="120" w:after="120" w:line="360" w:lineRule="auto"/>
        <w:jc w:val="both"/>
        <w:rPr>
          <w:rFonts w:asciiTheme="majorBidi" w:hAnsiTheme="majorBidi" w:cstheme="majorBidi"/>
          <w:bCs/>
          <w:lang w:val="en-US"/>
        </w:rPr>
      </w:pPr>
      <w:r w:rsidRPr="005C2E59">
        <w:rPr>
          <w:rFonts w:asciiTheme="majorBidi" w:hAnsiTheme="majorBidi" w:cstheme="majorBidi"/>
          <w:bCs/>
          <w:lang w:val="en-US"/>
        </w:rPr>
        <w:t xml:space="preserve">Following Elhorst (2012), the </w:t>
      </w:r>
      <m:oMath>
        <m:r>
          <w:rPr>
            <w:rFonts w:ascii="Cambria Math" w:hAnsi="Cambria Math" w:cstheme="majorBidi"/>
            <w:lang w:val="en-US"/>
          </w:rPr>
          <m:t>N</m:t>
        </m:r>
        <m:r>
          <m:rPr>
            <m:sty m:val="p"/>
          </m:rPr>
          <w:rPr>
            <w:rFonts w:ascii="Cambria Math" w:hAnsi="Cambria Math" w:cstheme="majorBidi"/>
            <w:lang w:val="en-US"/>
          </w:rPr>
          <m:t>×</m:t>
        </m:r>
        <m:r>
          <w:rPr>
            <w:rFonts w:ascii="Cambria Math" w:hAnsi="Cambria Math" w:cstheme="majorBidi"/>
            <w:lang w:val="en-US"/>
          </w:rPr>
          <m:t>N</m:t>
        </m:r>
        <m:r>
          <m:rPr>
            <m:sty m:val="p"/>
          </m:rPr>
          <w:rPr>
            <w:rFonts w:ascii="Cambria Math" w:hAnsi="Cambria Math" w:cstheme="majorBidi"/>
            <w:lang w:val="en-US"/>
          </w:rPr>
          <m:t xml:space="preserve"> </m:t>
        </m:r>
      </m:oMath>
      <w:r w:rsidRPr="005C2E59">
        <w:rPr>
          <w:rFonts w:asciiTheme="majorBidi" w:hAnsiTheme="majorBidi" w:cstheme="majorBidi"/>
          <w:bCs/>
          <w:lang w:val="en-US"/>
        </w:rPr>
        <w:t xml:space="preserve">matrix of partial derivatives can be written (noting that diagonal elements of </w:t>
      </w:r>
      <w:r w:rsidRPr="00C23239">
        <w:rPr>
          <w:rFonts w:asciiTheme="majorBidi" w:hAnsiTheme="majorBidi" w:cstheme="majorBidi"/>
          <w:bCs/>
          <w:i/>
          <w:iCs/>
          <w:lang w:val="en-US"/>
        </w:rPr>
        <w:t>W</w:t>
      </w:r>
      <w:r w:rsidRPr="005C2E59">
        <w:rPr>
          <w:rFonts w:asciiTheme="majorBidi" w:hAnsiTheme="majorBidi" w:cstheme="majorBidi"/>
          <w:bCs/>
          <w:lang w:val="en-US"/>
        </w:rPr>
        <w:t xml:space="preserve"> are zero) as: </w:t>
      </w:r>
    </w:p>
    <w:p w14:paraId="7375341D" w14:textId="77777777" w:rsidR="00C15819" w:rsidRPr="005C2E59" w:rsidRDefault="00000000" w:rsidP="00BD2F5C">
      <w:pPr>
        <w:widowControl w:val="0"/>
        <w:spacing w:before="120" w:after="120" w:line="360" w:lineRule="auto"/>
        <w:ind w:firstLine="720"/>
        <w:jc w:val="both"/>
        <w:rPr>
          <w:rFonts w:asciiTheme="majorBidi" w:hAnsiTheme="majorBidi" w:cstheme="majorBidi"/>
          <w:bCs/>
          <w:lang w:val="en-US"/>
        </w:rPr>
      </w:pPr>
      <m:oMathPara>
        <m:oMathParaPr>
          <m:jc m:val="right"/>
        </m:oMathParaPr>
        <m:oMath>
          <m:f>
            <m:fPr>
              <m:ctrlPr>
                <w:rPr>
                  <w:rFonts w:ascii="Cambria Math" w:hAnsi="Cambria Math" w:cstheme="majorBidi"/>
                  <w:bCs/>
                  <w:lang w:val="en-US"/>
                </w:rPr>
              </m:ctrlPr>
            </m:fPr>
            <m:num>
              <m:r>
                <w:rPr>
                  <w:rFonts w:ascii="Cambria Math" w:hAnsi="Cambria Math" w:cstheme="majorBidi"/>
                  <w:lang w:val="en-US"/>
                </w:rPr>
                <m:t>∂O</m:t>
              </m:r>
            </m:num>
            <m:den>
              <m:sSub>
                <m:sSubPr>
                  <m:ctrlPr>
                    <w:rPr>
                      <w:rFonts w:ascii="Cambria Math" w:hAnsi="Cambria Math" w:cstheme="majorBidi"/>
                      <w:bCs/>
                      <w:lang w:val="en-US"/>
                    </w:rPr>
                  </m:ctrlPr>
                </m:sSubPr>
                <m:e>
                  <m:r>
                    <w:rPr>
                      <w:rFonts w:ascii="Cambria Math" w:hAnsi="Cambria Math" w:cstheme="majorBidi"/>
                      <w:lang w:val="en-US"/>
                    </w:rPr>
                    <m:t>∂D</m:t>
                  </m:r>
                </m:e>
                <m:sub>
                  <m:r>
                    <w:rPr>
                      <w:rFonts w:ascii="Cambria Math" w:hAnsi="Cambria Math" w:cstheme="majorBidi"/>
                      <w:lang w:val="en-US"/>
                    </w:rPr>
                    <m:t>k</m:t>
                  </m:r>
                </m:sub>
              </m:sSub>
            </m:den>
          </m:f>
          <m:r>
            <m:rPr>
              <m:sty m:val="p"/>
            </m:rPr>
            <w:rPr>
              <w:rFonts w:ascii="Cambria Math" w:hAnsi="Cambria Math" w:cstheme="majorBidi"/>
              <w:lang w:val="en-US"/>
            </w:rPr>
            <m:t>=</m:t>
          </m:r>
          <m:sSup>
            <m:sSupPr>
              <m:ctrlPr>
                <w:rPr>
                  <w:rFonts w:ascii="Cambria Math" w:hAnsi="Cambria Math" w:cstheme="majorBidi"/>
                  <w:bCs/>
                  <w:lang w:val="en-US"/>
                </w:rPr>
              </m:ctrlPr>
            </m:sSupPr>
            <m:e>
              <m:d>
                <m:dPr>
                  <m:ctrlPr>
                    <w:rPr>
                      <w:rFonts w:ascii="Cambria Math" w:hAnsi="Cambria Math" w:cstheme="majorBidi"/>
                      <w:bCs/>
                      <w:lang w:val="en-US"/>
                    </w:rPr>
                  </m:ctrlPr>
                </m:dPr>
                <m:e>
                  <m:r>
                    <w:rPr>
                      <w:rFonts w:ascii="Cambria Math" w:hAnsi="Cambria Math" w:cstheme="majorBidi"/>
                      <w:lang w:val="en-US"/>
                    </w:rPr>
                    <m:t>I</m:t>
                  </m:r>
                  <m:r>
                    <m:rPr>
                      <m:sty m:val="p"/>
                    </m:rPr>
                    <w:rPr>
                      <w:rFonts w:ascii="Cambria Math" w:hAnsi="Cambria Math" w:cstheme="majorBidi"/>
                      <w:lang w:val="en-US"/>
                    </w:rPr>
                    <m:t>-</m:t>
                  </m:r>
                  <m:r>
                    <m:rPr>
                      <m:sty m:val="p"/>
                    </m:rPr>
                    <w:rPr>
                      <w:rFonts w:ascii="Cambria Math" w:hAnsi="Cambria Math" w:cstheme="majorBidi"/>
                      <w:bCs/>
                      <w:lang w:val="en-US"/>
                    </w:rPr>
                    <w:sym w:font="Symbol" w:char="F06C"/>
                  </m:r>
                  <m:r>
                    <w:rPr>
                      <w:rFonts w:ascii="Cambria Math" w:hAnsi="Cambria Math" w:cstheme="majorBidi"/>
                      <w:lang w:val="en-US"/>
                    </w:rPr>
                    <m:t>W</m:t>
                  </m:r>
                </m:e>
              </m:d>
            </m:e>
            <m:sup>
              <m:r>
                <m:rPr>
                  <m:sty m:val="p"/>
                </m:rPr>
                <w:rPr>
                  <w:rFonts w:ascii="Cambria Math" w:hAnsi="Cambria Math" w:cstheme="majorBidi"/>
                  <w:lang w:val="en-US"/>
                </w:rPr>
                <m:t>-1</m:t>
              </m:r>
            </m:sup>
          </m:sSup>
          <m:d>
            <m:dPr>
              <m:ctrlPr>
                <w:rPr>
                  <w:rFonts w:ascii="Cambria Math" w:hAnsi="Cambria Math" w:cstheme="majorBidi"/>
                  <w:bCs/>
                  <w:lang w:val="en-US"/>
                </w:rPr>
              </m:ctrlPr>
            </m:dPr>
            <m:e>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1</m:t>
                  </m:r>
                  <m:r>
                    <w:rPr>
                      <w:rFonts w:ascii="Cambria Math" w:hAnsi="Cambria Math" w:cstheme="majorBidi"/>
                      <w:lang w:val="en-US"/>
                    </w:rPr>
                    <m:t>k</m:t>
                  </m:r>
                </m:sub>
              </m:sSub>
              <m:sSub>
                <m:sSubPr>
                  <m:ctrlPr>
                    <w:rPr>
                      <w:rFonts w:ascii="Cambria Math" w:hAnsi="Cambria Math" w:cstheme="majorBidi"/>
                      <w:bCs/>
                      <w:lang w:val="en-US"/>
                    </w:rPr>
                  </m:ctrlPr>
                </m:sSubPr>
                <m:e>
                  <m:r>
                    <w:rPr>
                      <w:rFonts w:ascii="Cambria Math" w:hAnsi="Cambria Math" w:cstheme="majorBidi"/>
                      <w:lang w:val="en-US"/>
                    </w:rPr>
                    <m:t>I</m:t>
                  </m:r>
                </m:e>
                <m:sub>
                  <m:r>
                    <w:rPr>
                      <w:rFonts w:ascii="Cambria Math" w:hAnsi="Cambria Math" w:cstheme="majorBidi"/>
                      <w:lang w:val="en-US"/>
                    </w:rPr>
                    <m:t>N</m:t>
                  </m:r>
                </m:sub>
              </m:sSub>
              <m:r>
                <m:rPr>
                  <m:sty m:val="p"/>
                </m:rPr>
                <w:rPr>
                  <w:rFonts w:ascii="Cambria Math" w:hAnsi="Cambria Math" w:cstheme="majorBidi"/>
                  <w:lang w:val="en-US"/>
                </w:rPr>
                <m:t>+</m:t>
              </m:r>
              <m:sSub>
                <m:sSubPr>
                  <m:ctrlPr>
                    <w:rPr>
                      <w:rFonts w:ascii="Cambria Math" w:hAnsi="Cambria Math" w:cstheme="majorBidi"/>
                      <w:bCs/>
                      <w:lang w:val="en-US"/>
                    </w:rPr>
                  </m:ctrlPr>
                </m:sSubPr>
                <m:e>
                  <m:r>
                    <w:rPr>
                      <w:rFonts w:ascii="Cambria Math" w:hAnsi="Cambria Math" w:cstheme="majorBidi"/>
                      <w:lang w:val="en-US"/>
                    </w:rPr>
                    <m:t>β</m:t>
                  </m:r>
                </m:e>
                <m:sub>
                  <m:r>
                    <m:rPr>
                      <m:sty m:val="p"/>
                    </m:rPr>
                    <w:rPr>
                      <w:rFonts w:ascii="Cambria Math" w:hAnsi="Cambria Math" w:cstheme="majorBidi"/>
                      <w:lang w:val="en-US"/>
                    </w:rPr>
                    <m:t>2</m:t>
                  </m:r>
                  <m:r>
                    <w:rPr>
                      <w:rFonts w:ascii="Cambria Math" w:hAnsi="Cambria Math" w:cstheme="majorBidi"/>
                      <w:lang w:val="en-US"/>
                    </w:rPr>
                    <m:t>k</m:t>
                  </m:r>
                </m:sub>
              </m:sSub>
              <m:r>
                <w:rPr>
                  <w:rFonts w:ascii="Cambria Math" w:hAnsi="Cambria Math" w:cstheme="majorBidi"/>
                  <w:lang w:val="en-US"/>
                </w:rPr>
                <m:t>W</m:t>
              </m:r>
            </m:e>
          </m:d>
          <m:r>
            <m:rPr>
              <m:sty m:val="p"/>
            </m:rPr>
            <w:rPr>
              <w:rFonts w:ascii="Cambria Math" w:hAnsi="Cambria Math" w:cstheme="majorBidi"/>
              <w:lang w:val="en-US"/>
            </w:rPr>
            <m:t xml:space="preserve">                                              (3)</m:t>
          </m:r>
        </m:oMath>
      </m:oMathPara>
    </w:p>
    <w:p w14:paraId="725D256F" w14:textId="77777777" w:rsidR="00C15819" w:rsidRDefault="00C15819" w:rsidP="00BD2F5C">
      <w:pPr>
        <w:widowControl w:val="0"/>
        <w:spacing w:before="120" w:after="120" w:line="360" w:lineRule="auto"/>
        <w:jc w:val="both"/>
        <w:rPr>
          <w:rFonts w:asciiTheme="majorBidi" w:hAnsiTheme="majorBidi" w:cstheme="majorBidi"/>
          <w:bCs/>
          <w:lang w:val="en-US"/>
        </w:rPr>
      </w:pPr>
      <w:r w:rsidRPr="005C2E59">
        <w:rPr>
          <w:rFonts w:asciiTheme="majorBidi" w:hAnsiTheme="majorBidi" w:cstheme="majorBidi"/>
          <w:bCs/>
          <w:lang w:val="en-US"/>
        </w:rPr>
        <w:t xml:space="preserve">where </w:t>
      </w:r>
      <w:r>
        <w:rPr>
          <w:rFonts w:asciiTheme="majorBidi" w:hAnsiTheme="majorBidi" w:cstheme="majorBidi"/>
          <w:bCs/>
          <w:i/>
          <w:iCs/>
          <w:lang w:val="en-US"/>
        </w:rPr>
        <w:t>D</w:t>
      </w:r>
      <w:r w:rsidRPr="007F268F">
        <w:rPr>
          <w:rFonts w:asciiTheme="majorBidi" w:hAnsiTheme="majorBidi" w:cstheme="majorBidi"/>
          <w:bCs/>
          <w:i/>
          <w:iCs/>
          <w:vertAlign w:val="subscript"/>
          <w:lang w:val="en-US"/>
        </w:rPr>
        <w:t>k</w:t>
      </w:r>
      <w:r w:rsidRPr="005C2E59">
        <w:rPr>
          <w:rFonts w:asciiTheme="majorBidi" w:hAnsiTheme="majorBidi" w:cstheme="majorBidi"/>
          <w:bCs/>
          <w:lang w:val="en-US"/>
        </w:rPr>
        <w:t xml:space="preserve"> is the </w:t>
      </w:r>
      <w:r>
        <w:rPr>
          <w:rFonts w:asciiTheme="majorBidi" w:hAnsiTheme="majorBidi" w:cstheme="majorBidi"/>
          <w:bCs/>
          <w:lang w:val="en-US"/>
        </w:rPr>
        <w:t xml:space="preserve">upgrade status </w:t>
      </w:r>
      <w:r w:rsidRPr="005C2E59">
        <w:rPr>
          <w:rFonts w:asciiTheme="majorBidi" w:hAnsiTheme="majorBidi" w:cstheme="majorBidi"/>
          <w:bCs/>
          <w:lang w:val="en-US"/>
        </w:rPr>
        <w:t xml:space="preserve">in </w:t>
      </w:r>
      <w:r>
        <w:rPr>
          <w:rFonts w:asciiTheme="majorBidi" w:hAnsiTheme="majorBidi" w:cstheme="majorBidi"/>
          <w:bCs/>
          <w:lang w:val="en-US"/>
        </w:rPr>
        <w:t xml:space="preserve">spatial </w:t>
      </w:r>
      <w:r w:rsidRPr="005C2E59">
        <w:rPr>
          <w:rFonts w:asciiTheme="majorBidi" w:hAnsiTheme="majorBidi" w:cstheme="majorBidi"/>
          <w:bCs/>
          <w:lang w:val="en-US"/>
        </w:rPr>
        <w:t xml:space="preserve">unit </w:t>
      </w:r>
      <w:r w:rsidRPr="007F268F">
        <w:rPr>
          <w:rFonts w:asciiTheme="majorBidi" w:hAnsiTheme="majorBidi" w:cstheme="majorBidi"/>
          <w:bCs/>
          <w:i/>
          <w:iCs/>
          <w:lang w:val="en-US"/>
        </w:rPr>
        <w:t>k</w:t>
      </w:r>
      <w:r w:rsidRPr="005C2E59">
        <w:rPr>
          <w:rFonts w:asciiTheme="majorBidi" w:hAnsiTheme="majorBidi" w:cstheme="majorBidi"/>
          <w:bCs/>
          <w:lang w:val="en-US"/>
        </w:rPr>
        <w:t xml:space="preserve">. The total marginal effect </w:t>
      </w:r>
      <w:r>
        <w:rPr>
          <w:rFonts w:asciiTheme="majorBidi" w:hAnsiTheme="majorBidi" w:cstheme="majorBidi"/>
          <w:bCs/>
          <w:lang w:val="en-US"/>
        </w:rPr>
        <w:t xml:space="preserve">on output that is associated with a county being upgraded has two components, a </w:t>
      </w:r>
      <w:r w:rsidRPr="005C2E59">
        <w:rPr>
          <w:rFonts w:asciiTheme="majorBidi" w:hAnsiTheme="majorBidi" w:cstheme="majorBidi"/>
          <w:bCs/>
          <w:lang w:val="en-US"/>
        </w:rPr>
        <w:t xml:space="preserve">direct </w:t>
      </w:r>
      <w:r>
        <w:rPr>
          <w:rFonts w:asciiTheme="majorBidi" w:hAnsiTheme="majorBidi" w:cstheme="majorBidi"/>
          <w:bCs/>
          <w:lang w:val="en-US"/>
        </w:rPr>
        <w:t xml:space="preserve">one and an </w:t>
      </w:r>
      <w:r w:rsidRPr="005C2E59">
        <w:rPr>
          <w:rFonts w:asciiTheme="majorBidi" w:hAnsiTheme="majorBidi" w:cstheme="majorBidi"/>
          <w:bCs/>
          <w:lang w:val="en-US"/>
        </w:rPr>
        <w:t xml:space="preserve">indirect </w:t>
      </w:r>
      <w:r>
        <w:rPr>
          <w:rFonts w:asciiTheme="majorBidi" w:hAnsiTheme="majorBidi" w:cstheme="majorBidi"/>
          <w:bCs/>
          <w:lang w:val="en-US"/>
        </w:rPr>
        <w:t xml:space="preserve">one, </w:t>
      </w:r>
      <w:r w:rsidRPr="005C2E59">
        <w:rPr>
          <w:rFonts w:asciiTheme="majorBidi" w:hAnsiTheme="majorBidi" w:cstheme="majorBidi"/>
          <w:bCs/>
          <w:lang w:val="en-US"/>
        </w:rPr>
        <w:t xml:space="preserve">that </w:t>
      </w:r>
      <w:r>
        <w:rPr>
          <w:rFonts w:asciiTheme="majorBidi" w:hAnsiTheme="majorBidi" w:cstheme="majorBidi"/>
          <w:bCs/>
          <w:lang w:val="en-US"/>
        </w:rPr>
        <w:t xml:space="preserve">may both </w:t>
      </w:r>
      <w:r w:rsidRPr="005C2E59">
        <w:rPr>
          <w:rFonts w:asciiTheme="majorBidi" w:hAnsiTheme="majorBidi" w:cstheme="majorBidi"/>
          <w:bCs/>
          <w:lang w:val="en-US"/>
        </w:rPr>
        <w:t>vary over space. The estimator that we use follows LeSage and Pace (2009) in reporting a single direct effect, that averages the diago</w:t>
      </w:r>
      <w:r>
        <w:rPr>
          <w:rFonts w:asciiTheme="majorBidi" w:hAnsiTheme="majorBidi" w:cstheme="majorBidi"/>
          <w:bCs/>
          <w:lang w:val="en-US"/>
        </w:rPr>
        <w:t>nal elements of the matrix in (3</w:t>
      </w:r>
      <w:r w:rsidRPr="005C2E59">
        <w:rPr>
          <w:rFonts w:asciiTheme="majorBidi" w:hAnsiTheme="majorBidi" w:cstheme="majorBidi"/>
          <w:bCs/>
          <w:lang w:val="en-US"/>
        </w:rPr>
        <w:t xml:space="preserve">) and a single indirect effect that averages the row sums of the non-diagonal elements of that matrix. Indirect effects arise not just from adjacent area units, if </w:t>
      </w:r>
      <m:oMath>
        <m:sSub>
          <m:sSubPr>
            <m:ctrlPr>
              <w:rPr>
                <w:rFonts w:ascii="Cambria Math" w:hAnsiTheme="majorBidi" w:cstheme="majorBidi"/>
                <w:bCs/>
                <w:i/>
                <w:lang w:val="en-US"/>
              </w:rPr>
            </m:ctrlPr>
          </m:sSubPr>
          <m:e>
            <m:r>
              <w:rPr>
                <w:rFonts w:ascii="Cambria Math" w:hAnsiTheme="majorBidi" w:cstheme="majorBidi"/>
                <w:lang w:val="en-US"/>
              </w:rPr>
              <m:t>β</m:t>
            </m:r>
          </m:e>
          <m:sub>
            <m:r>
              <w:rPr>
                <w:rFonts w:ascii="Cambria Math" w:hAnsiTheme="majorBidi" w:cstheme="majorBidi"/>
                <w:lang w:val="en-US"/>
              </w:rPr>
              <m:t>2k</m:t>
            </m:r>
          </m:sub>
        </m:sSub>
        <m:r>
          <w:rPr>
            <w:rFonts w:ascii="Cambria Math" w:hAnsiTheme="majorBidi" w:cstheme="majorBidi"/>
            <w:lang w:val="en-US"/>
          </w:rPr>
          <m:t>≠</m:t>
        </m:r>
        <m:r>
          <w:rPr>
            <w:rFonts w:ascii="Cambria Math" w:hAnsiTheme="majorBidi" w:cstheme="majorBidi"/>
            <w:lang w:val="en-US"/>
          </w:rPr>
          <m:t>0,</m:t>
        </m:r>
      </m:oMath>
      <w:r w:rsidRPr="005C2E59">
        <w:rPr>
          <w:rFonts w:asciiTheme="majorBidi" w:hAnsiTheme="majorBidi" w:cstheme="majorBidi"/>
          <w:bCs/>
          <w:lang w:val="en-US"/>
        </w:rPr>
        <w:t xml:space="preserve"> but also from (potentially) all areas through the spatial autoregressive effect if </w:t>
      </w:r>
      <m:oMath>
        <m:r>
          <m:rPr>
            <m:sty m:val="p"/>
          </m:rPr>
          <w:rPr>
            <w:rFonts w:ascii="Cambria Math" w:hAnsi="Cambria Math" w:cstheme="majorBidi"/>
            <w:bCs/>
            <w:lang w:val="en-US"/>
          </w:rPr>
          <w:sym w:font="Symbol" w:char="F06C"/>
        </m:r>
        <m:r>
          <m:rPr>
            <m:sty m:val="p"/>
          </m:rPr>
          <w:rPr>
            <w:rFonts w:ascii="Cambria Math" w:hAnsi="Cambria Math" w:cstheme="majorBidi"/>
            <w:lang w:val="en-US"/>
          </w:rPr>
          <m:t>≠0</m:t>
        </m:r>
      </m:oMath>
      <w:r w:rsidRPr="005C2E59">
        <w:rPr>
          <w:rFonts w:asciiTheme="majorBidi" w:hAnsiTheme="majorBidi" w:cstheme="majorBidi"/>
          <w:bCs/>
          <w:lang w:val="en-US"/>
        </w:rPr>
        <w:t xml:space="preserve">. Thus, there can be both local and global spillovers and when these are accounted for, averages from the matrix of derivatives </w:t>
      </w:r>
      <m:oMath>
        <m:f>
          <m:fPr>
            <m:type m:val="lin"/>
            <m:ctrlPr>
              <w:rPr>
                <w:rFonts w:ascii="Cambria Math" w:hAnsi="Cambria Math" w:cstheme="majorBidi"/>
                <w:bCs/>
                <w:lang w:val="en-US"/>
              </w:rPr>
            </m:ctrlPr>
          </m:fPr>
          <m:num>
            <m:r>
              <w:rPr>
                <w:rFonts w:ascii="Cambria Math" w:hAnsi="Cambria Math" w:cstheme="majorBidi"/>
                <w:lang w:val="en-US"/>
              </w:rPr>
              <m:t>∂O</m:t>
            </m:r>
          </m:num>
          <m:den>
            <m:sSub>
              <m:sSubPr>
                <m:ctrlPr>
                  <w:rPr>
                    <w:rFonts w:ascii="Cambria Math" w:hAnsi="Cambria Math" w:cstheme="majorBidi"/>
                    <w:bCs/>
                    <w:lang w:val="en-US"/>
                  </w:rPr>
                </m:ctrlPr>
              </m:sSubPr>
              <m:e>
                <m:r>
                  <w:rPr>
                    <w:rFonts w:ascii="Cambria Math" w:hAnsi="Cambria Math" w:cstheme="majorBidi"/>
                    <w:lang w:val="en-US"/>
                  </w:rPr>
                  <m:t>∂D</m:t>
                </m:r>
              </m:e>
              <m:sub>
                <m:r>
                  <w:rPr>
                    <w:rFonts w:ascii="Cambria Math" w:hAnsi="Cambria Math" w:cstheme="majorBidi"/>
                    <w:lang w:val="en-US"/>
                  </w:rPr>
                  <m:t>k</m:t>
                </m:r>
              </m:sub>
            </m:sSub>
          </m:den>
        </m:f>
      </m:oMath>
      <w:r w:rsidRPr="005C2E59">
        <w:rPr>
          <w:rFonts w:asciiTheme="majorBidi" w:hAnsiTheme="majorBidi" w:cstheme="majorBidi"/>
          <w:bCs/>
          <w:lang w:val="en-US"/>
        </w:rPr>
        <w:t xml:space="preserve"> may be quite different to the </w:t>
      </w:r>
      <w:r>
        <w:rPr>
          <w:rFonts w:asciiTheme="majorBidi" w:hAnsiTheme="majorBidi" w:cstheme="majorBidi"/>
          <w:bCs/>
          <w:lang w:val="en-US"/>
        </w:rPr>
        <w:t xml:space="preserve">estimated </w:t>
      </w:r>
      <w:r w:rsidRPr="005C2E59">
        <w:rPr>
          <w:rFonts w:asciiTheme="majorBidi" w:hAnsiTheme="majorBidi" w:cstheme="majorBidi"/>
          <w:bCs/>
          <w:lang w:val="en-US"/>
        </w:rPr>
        <w:t xml:space="preserve">direct impact effect, </w:t>
      </w:r>
      <m:oMath>
        <m:sSub>
          <m:sSubPr>
            <m:ctrlPr>
              <w:rPr>
                <w:rFonts w:ascii="Cambria Math" w:hAnsi="Cambria Math" w:cstheme="majorBidi"/>
                <w:bCs/>
                <w:lang w:val="en-US"/>
              </w:rPr>
            </m:ctrlPr>
          </m:sSubPr>
          <m:e>
            <m:acc>
              <m:accPr>
                <m:ctrlPr>
                  <w:rPr>
                    <w:rFonts w:ascii="Cambria Math" w:hAnsi="Cambria Math" w:cstheme="majorBidi"/>
                    <w:bCs/>
                    <w:lang w:val="en-US"/>
                  </w:rPr>
                </m:ctrlPr>
              </m:accPr>
              <m:e>
                <m:r>
                  <w:rPr>
                    <w:rFonts w:ascii="Cambria Math" w:hAnsi="Cambria Math" w:cstheme="majorBidi"/>
                    <w:lang w:val="en-US"/>
                  </w:rPr>
                  <m:t>β</m:t>
                </m:r>
              </m:e>
            </m:acc>
          </m:e>
          <m:sub>
            <m:r>
              <m:rPr>
                <m:sty m:val="p"/>
              </m:rPr>
              <w:rPr>
                <w:rFonts w:ascii="Cambria Math" w:hAnsi="Cambria Math" w:cstheme="majorBidi"/>
                <w:lang w:val="en-US"/>
              </w:rPr>
              <m:t>1</m:t>
            </m:r>
          </m:sub>
        </m:sSub>
      </m:oMath>
      <w:r w:rsidRPr="005C2E59">
        <w:rPr>
          <w:rFonts w:asciiTheme="majorBidi" w:hAnsiTheme="majorBidi" w:cstheme="majorBidi"/>
          <w:bCs/>
          <w:lang w:val="en-US"/>
        </w:rPr>
        <w:t>.</w:t>
      </w:r>
    </w:p>
    <w:p w14:paraId="0159225A" w14:textId="77777777" w:rsidR="00B90382" w:rsidRPr="006E5888" w:rsidRDefault="00B90382" w:rsidP="00E42EC9">
      <w:pPr>
        <w:spacing w:before="120" w:after="120" w:line="360" w:lineRule="auto"/>
        <w:rPr>
          <w:b/>
          <w:sz w:val="26"/>
          <w:szCs w:val="26"/>
          <w:lang w:val="en-US"/>
        </w:rPr>
      </w:pPr>
      <w:r w:rsidRPr="006E5888">
        <w:rPr>
          <w:b/>
          <w:sz w:val="26"/>
          <w:szCs w:val="26"/>
          <w:lang w:val="en-US"/>
        </w:rPr>
        <w:t>IV.</w:t>
      </w:r>
      <w:r w:rsidRPr="006E5888">
        <w:rPr>
          <w:b/>
          <w:sz w:val="26"/>
          <w:szCs w:val="26"/>
          <w:lang w:val="en-US"/>
        </w:rPr>
        <w:tab/>
      </w:r>
      <w:r w:rsidR="003D389E" w:rsidRPr="006E5888">
        <w:rPr>
          <w:b/>
          <w:sz w:val="26"/>
          <w:szCs w:val="26"/>
          <w:lang w:val="en-US"/>
        </w:rPr>
        <w:t>Results</w:t>
      </w:r>
      <w:r w:rsidRPr="006E5888">
        <w:rPr>
          <w:bCs/>
          <w:iCs/>
          <w:sz w:val="26"/>
          <w:szCs w:val="26"/>
          <w:lang w:val="en-AU"/>
        </w:rPr>
        <w:tab/>
      </w:r>
    </w:p>
    <w:p w14:paraId="2C5478E1" w14:textId="50D8C863" w:rsidR="00890E0A" w:rsidRDefault="009F57E2" w:rsidP="00E42EC9">
      <w:pPr>
        <w:widowControl w:val="0"/>
        <w:spacing w:before="80" w:after="80" w:line="360" w:lineRule="auto"/>
        <w:jc w:val="both"/>
        <w:rPr>
          <w:rFonts w:asciiTheme="majorBidi" w:hAnsiTheme="majorBidi" w:cstheme="majorBidi"/>
        </w:rPr>
      </w:pPr>
      <w:r>
        <w:rPr>
          <w:rFonts w:asciiTheme="majorBidi" w:hAnsiTheme="majorBidi" w:cstheme="majorBidi"/>
        </w:rPr>
        <w:t xml:space="preserve">The results of estimating equation (1) and then imposing various restrictions on the parameters </w:t>
      </w:r>
      <w:r>
        <w:rPr>
          <w:rFonts w:asciiTheme="majorBidi" w:hAnsiTheme="majorBidi" w:cstheme="majorBidi"/>
        </w:rPr>
        <w:lastRenderedPageBreak/>
        <w:t xml:space="preserve">and estimating the nested models are given in Table 3 (for GDP) and Table 4 (for luminosity). The nesting restrictions are rejected in all cases, so that the SARAR models appear to be the most data-acceptable models for both GDP and luminosity. The discussion therefore concentrates mostly on the results in column (1) for the SARAR model, and </w:t>
      </w:r>
      <w:r w:rsidR="00B249C1">
        <w:rPr>
          <w:rFonts w:asciiTheme="majorBidi" w:hAnsiTheme="majorBidi" w:cstheme="majorBidi"/>
        </w:rPr>
        <w:t xml:space="preserve">then by way of contrast </w:t>
      </w:r>
      <w:r>
        <w:rPr>
          <w:rFonts w:asciiTheme="majorBidi" w:hAnsiTheme="majorBidi" w:cstheme="majorBidi"/>
        </w:rPr>
        <w:t xml:space="preserve">on column (5) for the standard two-way fixed effects panel </w:t>
      </w:r>
      <w:r w:rsidR="003C5D13">
        <w:rPr>
          <w:rFonts w:asciiTheme="majorBidi" w:hAnsiTheme="majorBidi" w:cstheme="majorBidi"/>
        </w:rPr>
        <w:t xml:space="preserve">data </w:t>
      </w:r>
      <w:r>
        <w:rPr>
          <w:rFonts w:asciiTheme="majorBidi" w:hAnsiTheme="majorBidi" w:cstheme="majorBidi"/>
        </w:rPr>
        <w:t>model that does not allow for any spatial lags</w:t>
      </w:r>
      <w:r w:rsidR="0033497F">
        <w:rPr>
          <w:rFonts w:asciiTheme="majorBidi" w:hAnsiTheme="majorBidi" w:cstheme="majorBidi"/>
        </w:rPr>
        <w:t>. The column (5) models are similar to the models used in the literature to date (such as some of those studies summarized in Table 2).</w:t>
      </w:r>
    </w:p>
    <w:p w14:paraId="744E0A35" w14:textId="70F606C8" w:rsidR="00C765CB" w:rsidRDefault="0033497F" w:rsidP="00E42EC9">
      <w:pPr>
        <w:widowControl w:val="0"/>
        <w:spacing w:before="80" w:after="80" w:line="360" w:lineRule="auto"/>
        <w:jc w:val="both"/>
        <w:rPr>
          <w:rFonts w:asciiTheme="majorBidi" w:hAnsiTheme="majorBidi" w:cstheme="majorBidi"/>
        </w:rPr>
      </w:pPr>
      <w:r>
        <w:rPr>
          <w:rFonts w:asciiTheme="majorBidi" w:hAnsiTheme="majorBidi" w:cstheme="majorBidi"/>
        </w:rPr>
        <w:tab/>
        <w:t>The lack of data acceptability for any of the nesting restrictions indicates that for the spatial units and period we study, the interactions are occurring through the spatial lags of the outcomes, the lags of the treatmen</w:t>
      </w:r>
      <w:r w:rsidR="00C765CB">
        <w:rPr>
          <w:rFonts w:asciiTheme="majorBidi" w:hAnsiTheme="majorBidi" w:cstheme="majorBidi"/>
        </w:rPr>
        <w:t>t, and the lags of the errors. There are two consequences of this pattern. First, partial approaches that only allow for local spillovers, such as including the treatment status of nearby spatial units (e.g., as in Bo, 2020)</w:t>
      </w:r>
      <w:r>
        <w:rPr>
          <w:rFonts w:asciiTheme="majorBidi" w:hAnsiTheme="majorBidi" w:cstheme="majorBidi"/>
        </w:rPr>
        <w:t xml:space="preserve">, </w:t>
      </w:r>
      <w:r w:rsidR="00C765CB">
        <w:rPr>
          <w:rFonts w:asciiTheme="majorBidi" w:hAnsiTheme="majorBidi" w:cstheme="majorBidi"/>
        </w:rPr>
        <w:t xml:space="preserve">may not reveal the full pattern of spillovers. Second, </w:t>
      </w:r>
      <w:r>
        <w:rPr>
          <w:rFonts w:asciiTheme="majorBidi" w:hAnsiTheme="majorBidi" w:cstheme="majorBidi"/>
        </w:rPr>
        <w:t xml:space="preserve">the regression coefficients </w:t>
      </w:r>
      <w:r w:rsidR="00C765CB">
        <w:rPr>
          <w:rFonts w:asciiTheme="majorBidi" w:hAnsiTheme="majorBidi" w:cstheme="majorBidi"/>
        </w:rPr>
        <w:t xml:space="preserve">by themselves </w:t>
      </w:r>
      <w:r>
        <w:rPr>
          <w:rFonts w:asciiTheme="majorBidi" w:hAnsiTheme="majorBidi" w:cstheme="majorBidi"/>
        </w:rPr>
        <w:t xml:space="preserve">do not tell the full story and </w:t>
      </w:r>
      <w:r w:rsidR="00C765CB">
        <w:rPr>
          <w:rFonts w:asciiTheme="majorBidi" w:hAnsiTheme="majorBidi" w:cstheme="majorBidi"/>
        </w:rPr>
        <w:t xml:space="preserve">the </w:t>
      </w:r>
      <w:r>
        <w:rPr>
          <w:rFonts w:asciiTheme="majorBidi" w:hAnsiTheme="majorBidi" w:cstheme="majorBidi"/>
        </w:rPr>
        <w:t xml:space="preserve">matrices of marginal effects based on equation (3) need to be taken into consideration. </w:t>
      </w:r>
    </w:p>
    <w:p w14:paraId="3A8D101B" w14:textId="1E933696" w:rsidR="003C5884" w:rsidRDefault="0033497F" w:rsidP="00E42EC9">
      <w:pPr>
        <w:widowControl w:val="0"/>
        <w:spacing w:before="80" w:after="80" w:line="360" w:lineRule="auto"/>
        <w:ind w:firstLine="720"/>
        <w:jc w:val="both"/>
        <w:rPr>
          <w:rFonts w:asciiTheme="majorBidi" w:hAnsiTheme="majorBidi" w:cstheme="majorBidi"/>
        </w:rPr>
      </w:pPr>
      <w:r>
        <w:rPr>
          <w:rFonts w:asciiTheme="majorBidi" w:hAnsiTheme="majorBidi" w:cstheme="majorBidi"/>
        </w:rPr>
        <w:t xml:space="preserve">The </w:t>
      </w:r>
      <w:r w:rsidR="00C765CB">
        <w:rPr>
          <w:rFonts w:asciiTheme="majorBidi" w:hAnsiTheme="majorBidi" w:cstheme="majorBidi"/>
        </w:rPr>
        <w:t xml:space="preserve">results of the marginal effects calculations are reported in the “average impacts” rows of Tables 3 and 4, using the decomposition due to LeSage and Pace (2009). These results indicate that the </w:t>
      </w:r>
      <w:r>
        <w:rPr>
          <w:rFonts w:asciiTheme="majorBidi" w:hAnsiTheme="majorBidi" w:cstheme="majorBidi"/>
        </w:rPr>
        <w:t xml:space="preserve">positive direct relationship between a county being upgraded and economic activity is amplified by positive indirect effects. For example, </w:t>
      </w:r>
      <w:r w:rsidR="00C765CB">
        <w:rPr>
          <w:rFonts w:asciiTheme="majorBidi" w:hAnsiTheme="majorBidi" w:cstheme="majorBidi"/>
        </w:rPr>
        <w:t xml:space="preserve">from column (1) of Table 3 it is apparent that </w:t>
      </w:r>
      <w:r>
        <w:rPr>
          <w:rFonts w:asciiTheme="majorBidi" w:hAnsiTheme="majorBidi" w:cstheme="majorBidi"/>
        </w:rPr>
        <w:t>the upgrading is associated with GDP being 13% higher, comprised of seven percent as the direct effect and six percent</w:t>
      </w:r>
      <w:r w:rsidR="00C765CB">
        <w:rPr>
          <w:rFonts w:asciiTheme="majorBidi" w:hAnsiTheme="majorBidi" w:cstheme="majorBidi"/>
        </w:rPr>
        <w:t xml:space="preserve"> as the indirect effect (thus</w:t>
      </w:r>
      <w:r>
        <w:rPr>
          <w:rFonts w:asciiTheme="majorBidi" w:hAnsiTheme="majorBidi" w:cstheme="majorBidi"/>
        </w:rPr>
        <w:t>, the s</w:t>
      </w:r>
      <w:r w:rsidR="003C5884">
        <w:rPr>
          <w:rFonts w:asciiTheme="majorBidi" w:hAnsiTheme="majorBidi" w:cstheme="majorBidi"/>
        </w:rPr>
        <w:t>pillovers and feedback effects provide a component that is almost as large as the direct effect).</w:t>
      </w:r>
    </w:p>
    <w:p w14:paraId="57772181" w14:textId="77777777" w:rsidR="00A76408" w:rsidRDefault="003C5884" w:rsidP="00E42EC9">
      <w:pPr>
        <w:widowControl w:val="0"/>
        <w:spacing w:before="80" w:after="80" w:line="360" w:lineRule="auto"/>
        <w:jc w:val="both"/>
        <w:rPr>
          <w:rFonts w:asciiTheme="majorBidi" w:hAnsiTheme="majorBidi" w:cstheme="majorBidi"/>
        </w:rPr>
        <w:sectPr w:rsidR="00A76408" w:rsidSect="00443735">
          <w:footerReference w:type="default" r:id="rId15"/>
          <w:footerReference w:type="first" r:id="rId16"/>
          <w:pgSz w:w="11906" w:h="16838"/>
          <w:pgMar w:top="1440" w:right="1440" w:bottom="1440" w:left="1440" w:header="709" w:footer="709" w:gutter="0"/>
          <w:pgNumType w:start="0"/>
          <w:cols w:space="708"/>
          <w:titlePg/>
          <w:docGrid w:linePitch="360"/>
        </w:sectPr>
      </w:pPr>
      <w:r>
        <w:rPr>
          <w:rFonts w:asciiTheme="majorBidi" w:hAnsiTheme="majorBidi" w:cstheme="majorBidi"/>
        </w:rPr>
        <w:tab/>
        <w:t xml:space="preserve">When luminosity is used as the proxy for local economic activity, </w:t>
      </w:r>
      <w:r w:rsidR="00FE1575">
        <w:rPr>
          <w:rFonts w:asciiTheme="majorBidi" w:hAnsiTheme="majorBidi" w:cstheme="majorBidi"/>
        </w:rPr>
        <w:t xml:space="preserve">as a sensitivity analysis </w:t>
      </w:r>
      <w:r>
        <w:rPr>
          <w:rFonts w:asciiTheme="majorBidi" w:hAnsiTheme="majorBidi" w:cstheme="majorBidi"/>
        </w:rPr>
        <w:t xml:space="preserve">in case of mistrust in China’s GDP figures, upgrading is associated with 18% higher activity (10 percent direct and eight percent indirect). One caveat to this result is that DMSP data </w:t>
      </w:r>
      <w:r w:rsidR="003C5D13">
        <w:rPr>
          <w:rFonts w:asciiTheme="majorBidi" w:hAnsiTheme="majorBidi" w:cstheme="majorBidi"/>
        </w:rPr>
        <w:t xml:space="preserve">on night-time lights </w:t>
      </w:r>
      <w:r>
        <w:rPr>
          <w:rFonts w:asciiTheme="majorBidi" w:hAnsiTheme="majorBidi" w:cstheme="majorBidi"/>
        </w:rPr>
        <w:t xml:space="preserve">are subject to blurring, </w:t>
      </w:r>
      <w:r w:rsidR="002369EB">
        <w:rPr>
          <w:rFonts w:asciiTheme="majorBidi" w:hAnsiTheme="majorBidi" w:cstheme="majorBidi"/>
        </w:rPr>
        <w:t xml:space="preserve">and </w:t>
      </w:r>
      <w:r w:rsidR="00FE1575">
        <w:rPr>
          <w:rFonts w:asciiTheme="majorBidi" w:hAnsiTheme="majorBidi" w:cstheme="majorBidi"/>
        </w:rPr>
        <w:t xml:space="preserve">so </w:t>
      </w:r>
      <w:r w:rsidR="002369EB">
        <w:rPr>
          <w:rFonts w:asciiTheme="majorBidi" w:hAnsiTheme="majorBidi" w:cstheme="majorBidi"/>
        </w:rPr>
        <w:t>tend</w:t>
      </w:r>
      <w:r>
        <w:rPr>
          <w:rFonts w:asciiTheme="majorBidi" w:hAnsiTheme="majorBidi" w:cstheme="majorBidi"/>
        </w:rPr>
        <w:t xml:space="preserve"> to overstate </w:t>
      </w:r>
      <w:r w:rsidR="002369EB">
        <w:rPr>
          <w:rFonts w:asciiTheme="majorBidi" w:hAnsiTheme="majorBidi" w:cstheme="majorBidi"/>
        </w:rPr>
        <w:t>similarity for</w:t>
      </w:r>
      <w:r>
        <w:rPr>
          <w:rFonts w:asciiTheme="majorBidi" w:hAnsiTheme="majorBidi" w:cstheme="majorBidi"/>
        </w:rPr>
        <w:t xml:space="preserve"> nearby areas (Zhang et al, 2023)</w:t>
      </w:r>
      <w:r w:rsidR="003C5D13">
        <w:rPr>
          <w:rFonts w:asciiTheme="majorBidi" w:hAnsiTheme="majorBidi" w:cstheme="majorBidi"/>
        </w:rPr>
        <w:t>.</w:t>
      </w:r>
      <w:r w:rsidR="003C5D13">
        <w:rPr>
          <w:rStyle w:val="FootnoteReference"/>
          <w:rFonts w:asciiTheme="majorBidi" w:hAnsiTheme="majorBidi" w:cstheme="majorBidi"/>
        </w:rPr>
        <w:footnoteReference w:id="10"/>
      </w:r>
      <w:r w:rsidR="003C5D13">
        <w:rPr>
          <w:rFonts w:asciiTheme="majorBidi" w:hAnsiTheme="majorBidi" w:cstheme="majorBidi"/>
        </w:rPr>
        <w:t xml:space="preserve"> To provide some evidence on this issue</w:t>
      </w:r>
      <w:r w:rsidR="00B249C1">
        <w:rPr>
          <w:rFonts w:asciiTheme="majorBidi" w:hAnsiTheme="majorBidi" w:cstheme="majorBidi"/>
        </w:rPr>
        <w:t>,</w:t>
      </w:r>
      <w:r w:rsidR="003C5D13">
        <w:rPr>
          <w:rFonts w:asciiTheme="majorBidi" w:hAnsiTheme="majorBidi" w:cstheme="majorBidi"/>
        </w:rPr>
        <w:t xml:space="preserve"> </w:t>
      </w:r>
      <w:r w:rsidR="002D298C">
        <w:rPr>
          <w:rFonts w:asciiTheme="majorBidi" w:hAnsiTheme="majorBidi" w:cstheme="majorBidi"/>
        </w:rPr>
        <w:t xml:space="preserve">Figure 4 has </w:t>
      </w:r>
      <w:r w:rsidR="003C5D13">
        <w:rPr>
          <w:rFonts w:asciiTheme="majorBidi" w:hAnsiTheme="majorBidi" w:cstheme="majorBidi"/>
        </w:rPr>
        <w:t xml:space="preserve">time-series of Moran’s </w:t>
      </w:r>
      <w:r w:rsidR="003C5D13">
        <w:rPr>
          <w:rFonts w:asciiTheme="majorBidi" w:hAnsiTheme="majorBidi" w:cstheme="majorBidi"/>
          <w:i/>
          <w:iCs/>
        </w:rPr>
        <w:t xml:space="preserve">I </w:t>
      </w:r>
      <w:r w:rsidR="003C5D13">
        <w:rPr>
          <w:rFonts w:asciiTheme="majorBidi" w:hAnsiTheme="majorBidi" w:cstheme="majorBidi"/>
        </w:rPr>
        <w:t>statistic</w:t>
      </w:r>
      <w:r w:rsidR="00B249C1">
        <w:rPr>
          <w:rFonts w:asciiTheme="majorBidi" w:hAnsiTheme="majorBidi" w:cstheme="majorBidi"/>
        </w:rPr>
        <w:t>s</w:t>
      </w:r>
      <w:r w:rsidR="002D298C">
        <w:rPr>
          <w:rFonts w:asciiTheme="majorBidi" w:hAnsiTheme="majorBidi" w:cstheme="majorBidi"/>
        </w:rPr>
        <w:t xml:space="preserve"> from </w:t>
      </w:r>
      <w:r w:rsidR="003C5D13">
        <w:rPr>
          <w:rFonts w:asciiTheme="majorBidi" w:hAnsiTheme="majorBidi" w:cstheme="majorBidi"/>
        </w:rPr>
        <w:t xml:space="preserve">all </w:t>
      </w:r>
      <w:r w:rsidR="003C5D13" w:rsidRPr="003C5D13">
        <w:rPr>
          <w:rFonts w:asciiTheme="majorBidi" w:hAnsiTheme="majorBidi" w:cstheme="majorBidi"/>
          <w:i/>
          <w:iCs/>
        </w:rPr>
        <w:t>n</w:t>
      </w:r>
      <w:r w:rsidR="003C5D13">
        <w:rPr>
          <w:rFonts w:asciiTheme="majorBidi" w:hAnsiTheme="majorBidi" w:cstheme="majorBidi"/>
        </w:rPr>
        <w:t>=2342 county-level spatial units</w:t>
      </w:r>
      <w:r w:rsidR="002D298C">
        <w:rPr>
          <w:rFonts w:asciiTheme="majorBidi" w:hAnsiTheme="majorBidi" w:cstheme="majorBidi"/>
        </w:rPr>
        <w:t xml:space="preserve"> each year</w:t>
      </w:r>
      <w:r w:rsidR="003C5D13">
        <w:rPr>
          <w:rFonts w:asciiTheme="majorBidi" w:hAnsiTheme="majorBidi" w:cstheme="majorBidi"/>
        </w:rPr>
        <w:t xml:space="preserve">. The </w:t>
      </w:r>
      <w:r w:rsidR="003C5D13">
        <w:rPr>
          <w:rFonts w:asciiTheme="majorBidi" w:hAnsiTheme="majorBidi" w:cstheme="majorBidi"/>
          <w:i/>
          <w:iCs/>
        </w:rPr>
        <w:t>I</w:t>
      </w:r>
      <w:r w:rsidR="003C5D13">
        <w:rPr>
          <w:rFonts w:asciiTheme="majorBidi" w:hAnsiTheme="majorBidi" w:cstheme="majorBidi"/>
        </w:rPr>
        <w:t xml:space="preserve"> statistic is </w:t>
      </w:r>
      <w:r w:rsidR="002D298C">
        <w:rPr>
          <w:rFonts w:asciiTheme="majorBidi" w:hAnsiTheme="majorBidi" w:cstheme="majorBidi"/>
        </w:rPr>
        <w:t xml:space="preserve">a popular </w:t>
      </w:r>
      <w:r w:rsidR="003C5D13">
        <w:rPr>
          <w:rFonts w:asciiTheme="majorBidi" w:hAnsiTheme="majorBidi" w:cstheme="majorBidi"/>
        </w:rPr>
        <w:t xml:space="preserve">measure </w:t>
      </w:r>
      <w:r w:rsidR="002D298C">
        <w:rPr>
          <w:rFonts w:asciiTheme="majorBidi" w:hAnsiTheme="majorBidi" w:cstheme="majorBidi"/>
        </w:rPr>
        <w:t xml:space="preserve">of </w:t>
      </w:r>
      <w:r w:rsidR="003C5D13">
        <w:rPr>
          <w:rFonts w:asciiTheme="majorBidi" w:hAnsiTheme="majorBidi" w:cstheme="majorBidi"/>
        </w:rPr>
        <w:t xml:space="preserve">spatial autocorrelation, </w:t>
      </w:r>
      <w:r w:rsidR="002369EB">
        <w:rPr>
          <w:rFonts w:asciiTheme="majorBidi" w:hAnsiTheme="majorBidi" w:cstheme="majorBidi"/>
        </w:rPr>
        <w:t>ranging</w:t>
      </w:r>
      <w:r w:rsidR="003C5D13">
        <w:rPr>
          <w:rFonts w:asciiTheme="majorBidi" w:hAnsiTheme="majorBidi" w:cstheme="majorBidi"/>
        </w:rPr>
        <w:t xml:space="preserve"> from -1 to +1 (</w:t>
      </w:r>
      <w:r w:rsidR="002369EB">
        <w:rPr>
          <w:rFonts w:asciiTheme="majorBidi" w:hAnsiTheme="majorBidi" w:cstheme="majorBidi"/>
        </w:rPr>
        <w:t xml:space="preserve">higher values </w:t>
      </w:r>
      <w:r w:rsidR="003C5D13">
        <w:rPr>
          <w:rFonts w:asciiTheme="majorBidi" w:hAnsiTheme="majorBidi" w:cstheme="majorBidi"/>
        </w:rPr>
        <w:t xml:space="preserve">show </w:t>
      </w:r>
      <w:r w:rsidR="00B249C1">
        <w:rPr>
          <w:rFonts w:asciiTheme="majorBidi" w:hAnsiTheme="majorBidi" w:cstheme="majorBidi"/>
        </w:rPr>
        <w:t xml:space="preserve">greater </w:t>
      </w:r>
      <w:r w:rsidR="003C5D13">
        <w:rPr>
          <w:rFonts w:asciiTheme="majorBidi" w:hAnsiTheme="majorBidi" w:cstheme="majorBidi"/>
        </w:rPr>
        <w:t xml:space="preserve">similarity). </w:t>
      </w:r>
      <w:r w:rsidR="002D298C">
        <w:rPr>
          <w:rFonts w:asciiTheme="majorBidi" w:hAnsiTheme="majorBidi" w:cstheme="majorBidi"/>
        </w:rPr>
        <w:t>T</w:t>
      </w:r>
      <w:r w:rsidR="002369EB">
        <w:rPr>
          <w:rFonts w:asciiTheme="majorBidi" w:hAnsiTheme="majorBidi" w:cstheme="majorBidi"/>
        </w:rPr>
        <w:t xml:space="preserve">he Moran’s </w:t>
      </w:r>
      <w:r w:rsidR="002369EB" w:rsidRPr="002369EB">
        <w:rPr>
          <w:rFonts w:asciiTheme="majorBidi" w:hAnsiTheme="majorBidi" w:cstheme="majorBidi"/>
          <w:i/>
          <w:iCs/>
        </w:rPr>
        <w:t>I</w:t>
      </w:r>
      <w:r w:rsidR="002369EB">
        <w:rPr>
          <w:rFonts w:asciiTheme="majorBidi" w:hAnsiTheme="majorBidi" w:cstheme="majorBidi"/>
        </w:rPr>
        <w:t xml:space="preserve"> for </w:t>
      </w:r>
      <w:r w:rsidR="00B249C1">
        <w:rPr>
          <w:rFonts w:asciiTheme="majorBidi" w:hAnsiTheme="majorBidi" w:cstheme="majorBidi"/>
        </w:rPr>
        <w:t xml:space="preserve">the </w:t>
      </w:r>
      <w:r w:rsidR="002369EB">
        <w:rPr>
          <w:rFonts w:asciiTheme="majorBidi" w:hAnsiTheme="majorBidi" w:cstheme="majorBidi"/>
        </w:rPr>
        <w:t xml:space="preserve">GDP of </w:t>
      </w:r>
      <w:r w:rsidR="00FE1575">
        <w:rPr>
          <w:rFonts w:asciiTheme="majorBidi" w:hAnsiTheme="majorBidi" w:cstheme="majorBidi"/>
        </w:rPr>
        <w:t xml:space="preserve">the </w:t>
      </w:r>
      <w:r w:rsidR="002369EB">
        <w:rPr>
          <w:rFonts w:asciiTheme="majorBidi" w:hAnsiTheme="majorBidi" w:cstheme="majorBidi"/>
        </w:rPr>
        <w:t xml:space="preserve">third-level spatial units is around 0.15 </w:t>
      </w:r>
      <w:r w:rsidR="002D298C">
        <w:rPr>
          <w:rFonts w:asciiTheme="majorBidi" w:hAnsiTheme="majorBidi" w:cstheme="majorBidi"/>
        </w:rPr>
        <w:t xml:space="preserve">but </w:t>
      </w:r>
      <w:r w:rsidR="002369EB">
        <w:rPr>
          <w:rFonts w:asciiTheme="majorBidi" w:hAnsiTheme="majorBidi" w:cstheme="majorBidi"/>
        </w:rPr>
        <w:t>it is far higher, at around 0.4, for DMSP night-time lights.</w:t>
      </w:r>
      <w:r w:rsidR="002D298C">
        <w:rPr>
          <w:rStyle w:val="FootnoteReference"/>
          <w:rFonts w:asciiTheme="majorBidi" w:hAnsiTheme="majorBidi" w:cstheme="majorBidi"/>
        </w:rPr>
        <w:footnoteReference w:id="11"/>
      </w:r>
      <w:r w:rsidR="002369EB">
        <w:rPr>
          <w:rFonts w:asciiTheme="majorBidi" w:hAnsiTheme="majorBidi" w:cstheme="majorBidi"/>
        </w:rPr>
        <w:t xml:space="preserve"> </w:t>
      </w:r>
    </w:p>
    <w:p w14:paraId="46F221C6" w14:textId="77777777" w:rsidR="00A76408" w:rsidRDefault="00A76408" w:rsidP="00A76408">
      <w:pPr>
        <w:spacing w:after="0" w:line="240" w:lineRule="auto"/>
        <w:rPr>
          <w:bCs/>
          <w:sz w:val="4"/>
          <w:szCs w:val="4"/>
        </w:rPr>
      </w:pPr>
    </w:p>
    <w:p w14:paraId="52067E6C" w14:textId="77777777" w:rsidR="00A76408" w:rsidRDefault="00A76408" w:rsidP="00A76408">
      <w:pPr>
        <w:spacing w:after="40" w:line="240" w:lineRule="auto"/>
        <w:ind w:left="-567"/>
        <w:jc w:val="center"/>
        <w:rPr>
          <w:rFonts w:asciiTheme="majorBidi" w:hAnsiTheme="majorBidi" w:cstheme="majorBidi"/>
        </w:rPr>
      </w:pPr>
      <w:r>
        <w:rPr>
          <w:rFonts w:asciiTheme="majorBidi" w:hAnsiTheme="majorBidi" w:cstheme="majorBidi"/>
        </w:rPr>
        <w:t>Table 3: Relationships between county upgrading and the change in economic output (log GDP) in China: 2000 to 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7"/>
        <w:gridCol w:w="2162"/>
        <w:gridCol w:w="2163"/>
        <w:gridCol w:w="2162"/>
        <w:gridCol w:w="2163"/>
        <w:gridCol w:w="2163"/>
      </w:tblGrid>
      <w:tr w:rsidR="00A76408" w:rsidRPr="001E17C6" w14:paraId="0B5F256F" w14:textId="77777777" w:rsidTr="00C45C74">
        <w:trPr>
          <w:trHeight w:val="227"/>
        </w:trPr>
        <w:tc>
          <w:tcPr>
            <w:tcW w:w="2147" w:type="dxa"/>
            <w:tcBorders>
              <w:top w:val="single" w:sz="4" w:space="0" w:color="auto"/>
            </w:tcBorders>
          </w:tcPr>
          <w:p w14:paraId="5E2CD8BD" w14:textId="77777777" w:rsidR="00A76408" w:rsidRPr="00E13FA8" w:rsidRDefault="00A76408" w:rsidP="00C45C74">
            <w:pPr>
              <w:rPr>
                <w:rFonts w:asciiTheme="majorBidi" w:hAnsiTheme="majorBidi" w:cstheme="majorBidi"/>
              </w:rPr>
            </w:pPr>
          </w:p>
        </w:tc>
        <w:tc>
          <w:tcPr>
            <w:tcW w:w="2162" w:type="dxa"/>
            <w:tcBorders>
              <w:top w:val="single" w:sz="4" w:space="0" w:color="auto"/>
            </w:tcBorders>
          </w:tcPr>
          <w:p w14:paraId="7983ACE3" w14:textId="77777777" w:rsidR="00A76408" w:rsidRPr="001D00F1" w:rsidRDefault="00A76408" w:rsidP="00C45C74">
            <w:pPr>
              <w:spacing w:before="40"/>
              <w:jc w:val="center"/>
              <w:rPr>
                <w:rFonts w:asciiTheme="majorBidi" w:hAnsiTheme="majorBidi" w:cstheme="majorBidi"/>
                <w:sz w:val="22"/>
                <w:szCs w:val="22"/>
              </w:rPr>
            </w:pPr>
            <w:r w:rsidRPr="001D00F1">
              <w:rPr>
                <w:rFonts w:asciiTheme="majorBidi" w:hAnsiTheme="majorBidi" w:cstheme="majorBidi"/>
                <w:sz w:val="22"/>
                <w:szCs w:val="22"/>
              </w:rPr>
              <w:t>(1)</w:t>
            </w:r>
          </w:p>
        </w:tc>
        <w:tc>
          <w:tcPr>
            <w:tcW w:w="2163" w:type="dxa"/>
            <w:tcBorders>
              <w:top w:val="single" w:sz="4" w:space="0" w:color="auto"/>
            </w:tcBorders>
          </w:tcPr>
          <w:p w14:paraId="4B8C85B0" w14:textId="77777777" w:rsidR="00A76408" w:rsidRPr="001D00F1" w:rsidRDefault="00A76408" w:rsidP="00C45C74">
            <w:pPr>
              <w:spacing w:before="40"/>
              <w:jc w:val="center"/>
              <w:rPr>
                <w:rFonts w:asciiTheme="majorBidi" w:hAnsiTheme="majorBidi" w:cstheme="majorBidi"/>
                <w:sz w:val="22"/>
                <w:szCs w:val="22"/>
              </w:rPr>
            </w:pPr>
            <w:r w:rsidRPr="001D00F1">
              <w:rPr>
                <w:rFonts w:asciiTheme="majorBidi" w:hAnsiTheme="majorBidi" w:cstheme="majorBidi"/>
                <w:sz w:val="22"/>
                <w:szCs w:val="22"/>
              </w:rPr>
              <w:t>(2)</w:t>
            </w:r>
          </w:p>
        </w:tc>
        <w:tc>
          <w:tcPr>
            <w:tcW w:w="2162" w:type="dxa"/>
            <w:tcBorders>
              <w:top w:val="single" w:sz="4" w:space="0" w:color="auto"/>
            </w:tcBorders>
          </w:tcPr>
          <w:p w14:paraId="68F18947" w14:textId="77777777" w:rsidR="00A76408" w:rsidRPr="001D00F1" w:rsidRDefault="00A76408" w:rsidP="00C45C74">
            <w:pPr>
              <w:spacing w:before="40"/>
              <w:jc w:val="center"/>
              <w:rPr>
                <w:rFonts w:asciiTheme="majorBidi" w:hAnsiTheme="majorBidi" w:cstheme="majorBidi"/>
                <w:sz w:val="22"/>
                <w:szCs w:val="22"/>
              </w:rPr>
            </w:pPr>
            <w:r w:rsidRPr="001D00F1">
              <w:rPr>
                <w:rFonts w:asciiTheme="majorBidi" w:hAnsiTheme="majorBidi" w:cstheme="majorBidi"/>
                <w:sz w:val="22"/>
                <w:szCs w:val="22"/>
              </w:rPr>
              <w:t>(3)</w:t>
            </w:r>
          </w:p>
        </w:tc>
        <w:tc>
          <w:tcPr>
            <w:tcW w:w="2163" w:type="dxa"/>
            <w:tcBorders>
              <w:top w:val="single" w:sz="4" w:space="0" w:color="auto"/>
            </w:tcBorders>
          </w:tcPr>
          <w:p w14:paraId="152C488E" w14:textId="77777777" w:rsidR="00A76408" w:rsidRPr="001D00F1" w:rsidRDefault="00A76408" w:rsidP="00C45C74">
            <w:pPr>
              <w:spacing w:before="40"/>
              <w:jc w:val="center"/>
              <w:rPr>
                <w:rFonts w:asciiTheme="majorBidi" w:hAnsiTheme="majorBidi" w:cstheme="majorBidi"/>
                <w:sz w:val="22"/>
                <w:szCs w:val="22"/>
              </w:rPr>
            </w:pPr>
            <w:r w:rsidRPr="001D00F1">
              <w:rPr>
                <w:rFonts w:asciiTheme="majorBidi" w:hAnsiTheme="majorBidi" w:cstheme="majorBidi"/>
                <w:sz w:val="22"/>
                <w:szCs w:val="22"/>
              </w:rPr>
              <w:t>(4)</w:t>
            </w:r>
          </w:p>
        </w:tc>
        <w:tc>
          <w:tcPr>
            <w:tcW w:w="2163" w:type="dxa"/>
            <w:tcBorders>
              <w:top w:val="single" w:sz="4" w:space="0" w:color="auto"/>
            </w:tcBorders>
          </w:tcPr>
          <w:p w14:paraId="5EE8284E" w14:textId="77777777" w:rsidR="00A76408" w:rsidRPr="001D00F1" w:rsidRDefault="00A76408" w:rsidP="00C45C74">
            <w:pPr>
              <w:spacing w:before="40"/>
              <w:jc w:val="center"/>
              <w:rPr>
                <w:rFonts w:asciiTheme="majorBidi" w:hAnsiTheme="majorBidi" w:cstheme="majorBidi"/>
                <w:sz w:val="22"/>
                <w:szCs w:val="22"/>
              </w:rPr>
            </w:pPr>
            <w:r w:rsidRPr="001D00F1">
              <w:rPr>
                <w:rFonts w:asciiTheme="majorBidi" w:hAnsiTheme="majorBidi" w:cstheme="majorBidi"/>
                <w:sz w:val="22"/>
                <w:szCs w:val="22"/>
              </w:rPr>
              <w:t>(5)</w:t>
            </w:r>
          </w:p>
        </w:tc>
      </w:tr>
      <w:tr w:rsidR="00A76408" w14:paraId="45952756" w14:textId="77777777" w:rsidTr="00C45C74">
        <w:tc>
          <w:tcPr>
            <w:tcW w:w="2147" w:type="dxa"/>
            <w:tcBorders>
              <w:bottom w:val="single" w:sz="4" w:space="0" w:color="auto"/>
            </w:tcBorders>
          </w:tcPr>
          <w:p w14:paraId="5C2BD8C8" w14:textId="77777777" w:rsidR="00A76408" w:rsidRPr="007B34F8" w:rsidRDefault="00A76408" w:rsidP="00C45C74">
            <w:pPr>
              <w:rPr>
                <w:rFonts w:asciiTheme="majorBidi" w:hAnsiTheme="majorBidi" w:cstheme="majorBidi"/>
              </w:rPr>
            </w:pPr>
          </w:p>
        </w:tc>
        <w:tc>
          <w:tcPr>
            <w:tcW w:w="2162" w:type="dxa"/>
            <w:tcBorders>
              <w:bottom w:val="single" w:sz="4" w:space="0" w:color="auto"/>
            </w:tcBorders>
          </w:tcPr>
          <w:p w14:paraId="1928591C"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Spatial lag of errors, covariate and outcome</w:t>
            </w:r>
          </w:p>
        </w:tc>
        <w:tc>
          <w:tcPr>
            <w:tcW w:w="2163" w:type="dxa"/>
            <w:tcBorders>
              <w:bottom w:val="single" w:sz="4" w:space="0" w:color="auto"/>
            </w:tcBorders>
          </w:tcPr>
          <w:p w14:paraId="3BEF4297"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Spatial lag of the covariate and outcome</w:t>
            </w:r>
          </w:p>
        </w:tc>
        <w:tc>
          <w:tcPr>
            <w:tcW w:w="2162" w:type="dxa"/>
            <w:tcBorders>
              <w:bottom w:val="single" w:sz="4" w:space="0" w:color="auto"/>
            </w:tcBorders>
            <w:vAlign w:val="bottom"/>
          </w:tcPr>
          <w:p w14:paraId="64DA7644"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Spatial lag of the outcome</w:t>
            </w:r>
          </w:p>
        </w:tc>
        <w:tc>
          <w:tcPr>
            <w:tcW w:w="2163" w:type="dxa"/>
            <w:tcBorders>
              <w:bottom w:val="single" w:sz="4" w:space="0" w:color="auto"/>
            </w:tcBorders>
            <w:vAlign w:val="bottom"/>
          </w:tcPr>
          <w:p w14:paraId="2BF7FF9F"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Spatial lag of the errors</w:t>
            </w:r>
          </w:p>
        </w:tc>
        <w:tc>
          <w:tcPr>
            <w:tcW w:w="2163" w:type="dxa"/>
            <w:tcBorders>
              <w:bottom w:val="single" w:sz="4" w:space="0" w:color="auto"/>
            </w:tcBorders>
            <w:vAlign w:val="bottom"/>
          </w:tcPr>
          <w:p w14:paraId="64164655"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Standard panel model analysis</w:t>
            </w:r>
          </w:p>
        </w:tc>
      </w:tr>
      <w:tr w:rsidR="00A76408" w14:paraId="55E86AF9" w14:textId="77777777" w:rsidTr="00C45C74">
        <w:tc>
          <w:tcPr>
            <w:tcW w:w="2147" w:type="dxa"/>
            <w:tcBorders>
              <w:top w:val="single" w:sz="4" w:space="0" w:color="auto"/>
            </w:tcBorders>
          </w:tcPr>
          <w:p w14:paraId="0612DCC5" w14:textId="77777777" w:rsidR="00A76408" w:rsidRPr="001D00F1" w:rsidRDefault="00A76408" w:rsidP="00C45C74">
            <w:pPr>
              <w:spacing w:before="40"/>
              <w:rPr>
                <w:rFonts w:asciiTheme="majorBidi" w:hAnsiTheme="majorBidi" w:cstheme="majorBidi"/>
                <w:sz w:val="22"/>
                <w:szCs w:val="22"/>
              </w:rPr>
            </w:pPr>
            <w:r w:rsidRPr="001D00F1">
              <w:rPr>
                <w:rFonts w:asciiTheme="majorBidi" w:hAnsiTheme="majorBidi" w:cstheme="majorBidi"/>
                <w:sz w:val="22"/>
                <w:szCs w:val="22"/>
              </w:rPr>
              <w:t>County is upgraded</w:t>
            </w:r>
          </w:p>
        </w:tc>
        <w:tc>
          <w:tcPr>
            <w:tcW w:w="2162" w:type="dxa"/>
            <w:tcBorders>
              <w:top w:val="single" w:sz="4" w:space="0" w:color="auto"/>
            </w:tcBorders>
          </w:tcPr>
          <w:p w14:paraId="1CAC32D5" w14:textId="77777777" w:rsidR="00A76408" w:rsidRPr="001D00F1" w:rsidRDefault="00A76408" w:rsidP="00C45C74">
            <w:pPr>
              <w:tabs>
                <w:tab w:val="decimal" w:pos="964"/>
              </w:tabs>
              <w:spacing w:before="40"/>
              <w:rPr>
                <w:rFonts w:asciiTheme="majorBidi" w:hAnsiTheme="majorBidi" w:cstheme="majorBidi"/>
                <w:sz w:val="22"/>
                <w:szCs w:val="22"/>
              </w:rPr>
            </w:pPr>
            <w:r w:rsidRPr="001D00F1">
              <w:rPr>
                <w:rFonts w:asciiTheme="majorBidi" w:hAnsiTheme="majorBidi" w:cstheme="majorBidi"/>
                <w:sz w:val="22"/>
                <w:szCs w:val="22"/>
              </w:rPr>
              <w:t>0.076***</w:t>
            </w:r>
          </w:p>
        </w:tc>
        <w:tc>
          <w:tcPr>
            <w:tcW w:w="2163" w:type="dxa"/>
            <w:tcBorders>
              <w:top w:val="single" w:sz="4" w:space="0" w:color="auto"/>
            </w:tcBorders>
          </w:tcPr>
          <w:p w14:paraId="1526D0E0" w14:textId="77777777" w:rsidR="00A76408" w:rsidRPr="001D00F1" w:rsidRDefault="00A76408" w:rsidP="00C45C74">
            <w:pPr>
              <w:tabs>
                <w:tab w:val="decimal" w:pos="964"/>
              </w:tabs>
              <w:spacing w:before="40"/>
              <w:rPr>
                <w:rFonts w:asciiTheme="majorBidi" w:hAnsiTheme="majorBidi" w:cstheme="majorBidi"/>
                <w:sz w:val="22"/>
                <w:szCs w:val="22"/>
              </w:rPr>
            </w:pPr>
            <w:r w:rsidRPr="001D00F1">
              <w:rPr>
                <w:rFonts w:asciiTheme="majorBidi" w:hAnsiTheme="majorBidi" w:cstheme="majorBidi"/>
                <w:sz w:val="22"/>
                <w:szCs w:val="22"/>
              </w:rPr>
              <w:t>0.053***</w:t>
            </w:r>
          </w:p>
        </w:tc>
        <w:tc>
          <w:tcPr>
            <w:tcW w:w="2162" w:type="dxa"/>
            <w:tcBorders>
              <w:top w:val="single" w:sz="4" w:space="0" w:color="auto"/>
            </w:tcBorders>
          </w:tcPr>
          <w:p w14:paraId="0D27DD65" w14:textId="77777777" w:rsidR="00A76408" w:rsidRPr="001D00F1" w:rsidRDefault="00A76408" w:rsidP="00C45C74">
            <w:pPr>
              <w:tabs>
                <w:tab w:val="decimal" w:pos="964"/>
              </w:tabs>
              <w:spacing w:before="40"/>
              <w:rPr>
                <w:rFonts w:asciiTheme="majorBidi" w:hAnsiTheme="majorBidi" w:cstheme="majorBidi"/>
                <w:sz w:val="22"/>
                <w:szCs w:val="22"/>
              </w:rPr>
            </w:pPr>
            <w:r w:rsidRPr="001D00F1">
              <w:rPr>
                <w:rFonts w:asciiTheme="majorBidi" w:hAnsiTheme="majorBidi" w:cstheme="majorBidi"/>
                <w:sz w:val="22"/>
                <w:szCs w:val="22"/>
              </w:rPr>
              <w:t>0.052***</w:t>
            </w:r>
          </w:p>
        </w:tc>
        <w:tc>
          <w:tcPr>
            <w:tcW w:w="2163" w:type="dxa"/>
            <w:tcBorders>
              <w:top w:val="single" w:sz="4" w:space="0" w:color="auto"/>
            </w:tcBorders>
          </w:tcPr>
          <w:p w14:paraId="4D653220" w14:textId="77777777" w:rsidR="00A76408" w:rsidRPr="001D00F1" w:rsidRDefault="00A76408" w:rsidP="00C45C74">
            <w:pPr>
              <w:tabs>
                <w:tab w:val="decimal" w:pos="964"/>
              </w:tabs>
              <w:spacing w:before="40"/>
              <w:rPr>
                <w:rFonts w:asciiTheme="majorBidi" w:hAnsiTheme="majorBidi" w:cstheme="majorBidi"/>
                <w:sz w:val="22"/>
                <w:szCs w:val="22"/>
              </w:rPr>
            </w:pPr>
            <w:r w:rsidRPr="001D00F1">
              <w:rPr>
                <w:rFonts w:asciiTheme="majorBidi" w:hAnsiTheme="majorBidi" w:cstheme="majorBidi"/>
                <w:sz w:val="22"/>
                <w:szCs w:val="22"/>
              </w:rPr>
              <w:t>0.053***</w:t>
            </w:r>
          </w:p>
        </w:tc>
        <w:tc>
          <w:tcPr>
            <w:tcW w:w="2163" w:type="dxa"/>
            <w:tcBorders>
              <w:top w:val="single" w:sz="4" w:space="0" w:color="auto"/>
            </w:tcBorders>
          </w:tcPr>
          <w:p w14:paraId="3E40C593" w14:textId="77777777" w:rsidR="00A76408" w:rsidRPr="001D00F1" w:rsidRDefault="00A76408" w:rsidP="00C45C74">
            <w:pPr>
              <w:tabs>
                <w:tab w:val="decimal" w:pos="964"/>
              </w:tabs>
              <w:spacing w:before="40"/>
              <w:rPr>
                <w:rFonts w:asciiTheme="majorBidi" w:hAnsiTheme="majorBidi" w:cstheme="majorBidi"/>
                <w:sz w:val="22"/>
                <w:szCs w:val="22"/>
              </w:rPr>
            </w:pPr>
            <w:r w:rsidRPr="001D00F1">
              <w:rPr>
                <w:rFonts w:asciiTheme="majorBidi" w:hAnsiTheme="majorBidi" w:cstheme="majorBidi"/>
                <w:sz w:val="22"/>
                <w:szCs w:val="22"/>
              </w:rPr>
              <w:t>0.056***</w:t>
            </w:r>
          </w:p>
        </w:tc>
      </w:tr>
      <w:tr w:rsidR="00A76408" w14:paraId="19E1DC9B" w14:textId="77777777" w:rsidTr="00C45C74">
        <w:tc>
          <w:tcPr>
            <w:tcW w:w="2147" w:type="dxa"/>
          </w:tcPr>
          <w:p w14:paraId="505CB2BD" w14:textId="77777777" w:rsidR="00A76408" w:rsidRPr="001D00F1" w:rsidRDefault="00A76408" w:rsidP="00C45C74">
            <w:pPr>
              <w:rPr>
                <w:rFonts w:asciiTheme="majorBidi" w:hAnsiTheme="majorBidi" w:cstheme="majorBidi"/>
                <w:sz w:val="22"/>
                <w:szCs w:val="22"/>
              </w:rPr>
            </w:pPr>
          </w:p>
        </w:tc>
        <w:tc>
          <w:tcPr>
            <w:tcW w:w="2162" w:type="dxa"/>
          </w:tcPr>
          <w:p w14:paraId="0F41E62A"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(0.008)</w:t>
            </w:r>
          </w:p>
        </w:tc>
        <w:tc>
          <w:tcPr>
            <w:tcW w:w="2163" w:type="dxa"/>
          </w:tcPr>
          <w:p w14:paraId="6E278324"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(0.007)</w:t>
            </w:r>
          </w:p>
        </w:tc>
        <w:tc>
          <w:tcPr>
            <w:tcW w:w="2162" w:type="dxa"/>
          </w:tcPr>
          <w:p w14:paraId="7CDEEA85"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(0.007)</w:t>
            </w:r>
          </w:p>
        </w:tc>
        <w:tc>
          <w:tcPr>
            <w:tcW w:w="2163" w:type="dxa"/>
          </w:tcPr>
          <w:p w14:paraId="0ED7E6A2"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(0.007)</w:t>
            </w:r>
          </w:p>
        </w:tc>
        <w:tc>
          <w:tcPr>
            <w:tcW w:w="2163" w:type="dxa"/>
          </w:tcPr>
          <w:p w14:paraId="0BB78123"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(0.008)</w:t>
            </w:r>
          </w:p>
        </w:tc>
      </w:tr>
      <w:tr w:rsidR="00A76408" w14:paraId="15DC34AA" w14:textId="77777777" w:rsidTr="00C45C74">
        <w:tc>
          <w:tcPr>
            <w:tcW w:w="2147" w:type="dxa"/>
          </w:tcPr>
          <w:p w14:paraId="08D8E554"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Average impacts:</w:t>
            </w:r>
          </w:p>
        </w:tc>
        <w:tc>
          <w:tcPr>
            <w:tcW w:w="2162" w:type="dxa"/>
          </w:tcPr>
          <w:p w14:paraId="03E271C7" w14:textId="77777777" w:rsidR="00A76408" w:rsidRPr="001D00F1" w:rsidRDefault="00A76408" w:rsidP="00C45C74">
            <w:pPr>
              <w:tabs>
                <w:tab w:val="decimal" w:pos="964"/>
              </w:tabs>
              <w:rPr>
                <w:rFonts w:asciiTheme="majorBidi" w:hAnsiTheme="majorBidi" w:cstheme="majorBidi"/>
                <w:sz w:val="22"/>
                <w:szCs w:val="22"/>
              </w:rPr>
            </w:pPr>
          </w:p>
        </w:tc>
        <w:tc>
          <w:tcPr>
            <w:tcW w:w="2163" w:type="dxa"/>
          </w:tcPr>
          <w:p w14:paraId="2133A3DB" w14:textId="77777777" w:rsidR="00A76408" w:rsidRPr="001D00F1" w:rsidRDefault="00A76408" w:rsidP="00C45C74">
            <w:pPr>
              <w:tabs>
                <w:tab w:val="decimal" w:pos="964"/>
              </w:tabs>
              <w:rPr>
                <w:rFonts w:asciiTheme="majorBidi" w:hAnsiTheme="majorBidi" w:cstheme="majorBidi"/>
                <w:sz w:val="22"/>
                <w:szCs w:val="22"/>
              </w:rPr>
            </w:pPr>
          </w:p>
        </w:tc>
        <w:tc>
          <w:tcPr>
            <w:tcW w:w="2162" w:type="dxa"/>
          </w:tcPr>
          <w:p w14:paraId="5521C3C0" w14:textId="77777777" w:rsidR="00A76408" w:rsidRPr="001D00F1" w:rsidRDefault="00A76408" w:rsidP="00C45C74">
            <w:pPr>
              <w:tabs>
                <w:tab w:val="decimal" w:pos="964"/>
              </w:tabs>
              <w:rPr>
                <w:rFonts w:asciiTheme="majorBidi" w:hAnsiTheme="majorBidi" w:cstheme="majorBidi"/>
                <w:sz w:val="22"/>
                <w:szCs w:val="22"/>
              </w:rPr>
            </w:pPr>
          </w:p>
        </w:tc>
        <w:tc>
          <w:tcPr>
            <w:tcW w:w="2163" w:type="dxa"/>
          </w:tcPr>
          <w:p w14:paraId="0B5F89A0" w14:textId="77777777" w:rsidR="00A76408" w:rsidRPr="001D00F1" w:rsidRDefault="00A76408" w:rsidP="00C45C74">
            <w:pPr>
              <w:tabs>
                <w:tab w:val="decimal" w:pos="964"/>
              </w:tabs>
              <w:rPr>
                <w:rFonts w:asciiTheme="majorBidi" w:hAnsiTheme="majorBidi" w:cstheme="majorBidi"/>
                <w:sz w:val="22"/>
                <w:szCs w:val="22"/>
              </w:rPr>
            </w:pPr>
          </w:p>
        </w:tc>
        <w:tc>
          <w:tcPr>
            <w:tcW w:w="2163" w:type="dxa"/>
          </w:tcPr>
          <w:p w14:paraId="6B2F6FAD" w14:textId="77777777" w:rsidR="00A76408" w:rsidRPr="001D00F1" w:rsidRDefault="00A76408" w:rsidP="00C45C74">
            <w:pPr>
              <w:tabs>
                <w:tab w:val="decimal" w:pos="964"/>
              </w:tabs>
              <w:rPr>
                <w:rFonts w:asciiTheme="majorBidi" w:hAnsiTheme="majorBidi" w:cstheme="majorBidi"/>
                <w:sz w:val="22"/>
                <w:szCs w:val="22"/>
              </w:rPr>
            </w:pPr>
          </w:p>
        </w:tc>
      </w:tr>
      <w:tr w:rsidR="00A76408" w14:paraId="220E6530" w14:textId="77777777" w:rsidTr="00C45C74">
        <w:tc>
          <w:tcPr>
            <w:tcW w:w="2147" w:type="dxa"/>
          </w:tcPr>
          <w:p w14:paraId="3BDD1821"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 xml:space="preserve">  Direct</w:t>
            </w:r>
          </w:p>
        </w:tc>
        <w:tc>
          <w:tcPr>
            <w:tcW w:w="2162" w:type="dxa"/>
          </w:tcPr>
          <w:p w14:paraId="2BF37093"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0.070***</w:t>
            </w:r>
          </w:p>
        </w:tc>
        <w:tc>
          <w:tcPr>
            <w:tcW w:w="2163" w:type="dxa"/>
          </w:tcPr>
          <w:p w14:paraId="35326EED"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0.054***</w:t>
            </w:r>
          </w:p>
        </w:tc>
        <w:tc>
          <w:tcPr>
            <w:tcW w:w="2162" w:type="dxa"/>
          </w:tcPr>
          <w:p w14:paraId="6AD6446D"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0.057***</w:t>
            </w:r>
          </w:p>
        </w:tc>
        <w:tc>
          <w:tcPr>
            <w:tcW w:w="2163" w:type="dxa"/>
          </w:tcPr>
          <w:p w14:paraId="390BEAA1"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0.053***</w:t>
            </w:r>
          </w:p>
        </w:tc>
        <w:tc>
          <w:tcPr>
            <w:tcW w:w="2163" w:type="dxa"/>
          </w:tcPr>
          <w:p w14:paraId="19350506"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0.056***</w:t>
            </w:r>
          </w:p>
        </w:tc>
      </w:tr>
      <w:tr w:rsidR="00A76408" w14:paraId="6C9075CC" w14:textId="77777777" w:rsidTr="00C45C74">
        <w:tc>
          <w:tcPr>
            <w:tcW w:w="2147" w:type="dxa"/>
          </w:tcPr>
          <w:p w14:paraId="1D4CAA25" w14:textId="77777777" w:rsidR="00A76408" w:rsidRPr="001D00F1" w:rsidRDefault="00A76408" w:rsidP="00C45C74">
            <w:pPr>
              <w:rPr>
                <w:rFonts w:asciiTheme="majorBidi" w:hAnsiTheme="majorBidi" w:cstheme="majorBidi"/>
                <w:sz w:val="22"/>
                <w:szCs w:val="22"/>
              </w:rPr>
            </w:pPr>
          </w:p>
        </w:tc>
        <w:tc>
          <w:tcPr>
            <w:tcW w:w="2162" w:type="dxa"/>
          </w:tcPr>
          <w:p w14:paraId="212820C4"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(0.007)</w:t>
            </w:r>
          </w:p>
        </w:tc>
        <w:tc>
          <w:tcPr>
            <w:tcW w:w="2163" w:type="dxa"/>
          </w:tcPr>
          <w:p w14:paraId="1B7DB215"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(0.008)</w:t>
            </w:r>
          </w:p>
        </w:tc>
        <w:tc>
          <w:tcPr>
            <w:tcW w:w="2162" w:type="dxa"/>
          </w:tcPr>
          <w:p w14:paraId="40258FEB"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(0.008)</w:t>
            </w:r>
          </w:p>
        </w:tc>
        <w:tc>
          <w:tcPr>
            <w:tcW w:w="2163" w:type="dxa"/>
          </w:tcPr>
          <w:p w14:paraId="7C0EFE5D"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(0.007)</w:t>
            </w:r>
          </w:p>
        </w:tc>
        <w:tc>
          <w:tcPr>
            <w:tcW w:w="2163" w:type="dxa"/>
          </w:tcPr>
          <w:p w14:paraId="66412760"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(0.008)</w:t>
            </w:r>
          </w:p>
        </w:tc>
      </w:tr>
      <w:tr w:rsidR="00A76408" w14:paraId="333A8325" w14:textId="77777777" w:rsidTr="00C45C74">
        <w:tc>
          <w:tcPr>
            <w:tcW w:w="2147" w:type="dxa"/>
          </w:tcPr>
          <w:p w14:paraId="7D0410D6"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 xml:space="preserve">  Indirect</w:t>
            </w:r>
          </w:p>
        </w:tc>
        <w:tc>
          <w:tcPr>
            <w:tcW w:w="2162" w:type="dxa"/>
          </w:tcPr>
          <w:p w14:paraId="2006DA27"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0.056***</w:t>
            </w:r>
          </w:p>
        </w:tc>
        <w:tc>
          <w:tcPr>
            <w:tcW w:w="2163" w:type="dxa"/>
          </w:tcPr>
          <w:p w14:paraId="41EBE01C"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0.024</w:t>
            </w:r>
          </w:p>
        </w:tc>
        <w:tc>
          <w:tcPr>
            <w:tcW w:w="2162" w:type="dxa"/>
          </w:tcPr>
          <w:p w14:paraId="11017920"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0.076***</w:t>
            </w:r>
          </w:p>
        </w:tc>
        <w:tc>
          <w:tcPr>
            <w:tcW w:w="2163" w:type="dxa"/>
          </w:tcPr>
          <w:p w14:paraId="00908A22"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n.a.</w:t>
            </w:r>
          </w:p>
        </w:tc>
        <w:tc>
          <w:tcPr>
            <w:tcW w:w="2163" w:type="dxa"/>
          </w:tcPr>
          <w:p w14:paraId="440FF518"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n.a.</w:t>
            </w:r>
          </w:p>
        </w:tc>
      </w:tr>
      <w:tr w:rsidR="00A76408" w14:paraId="520B00A5" w14:textId="77777777" w:rsidTr="00C45C74">
        <w:tc>
          <w:tcPr>
            <w:tcW w:w="2147" w:type="dxa"/>
          </w:tcPr>
          <w:p w14:paraId="66C5F72F" w14:textId="77777777" w:rsidR="00A76408" w:rsidRPr="001D00F1" w:rsidRDefault="00A76408" w:rsidP="00C45C74">
            <w:pPr>
              <w:rPr>
                <w:rFonts w:asciiTheme="majorBidi" w:hAnsiTheme="majorBidi" w:cstheme="majorBidi"/>
                <w:sz w:val="22"/>
                <w:szCs w:val="22"/>
              </w:rPr>
            </w:pPr>
          </w:p>
        </w:tc>
        <w:tc>
          <w:tcPr>
            <w:tcW w:w="2162" w:type="dxa"/>
          </w:tcPr>
          <w:p w14:paraId="53A8B09F"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(0.013)</w:t>
            </w:r>
          </w:p>
        </w:tc>
        <w:tc>
          <w:tcPr>
            <w:tcW w:w="2163" w:type="dxa"/>
          </w:tcPr>
          <w:p w14:paraId="098CA8D8"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(0.034)</w:t>
            </w:r>
          </w:p>
        </w:tc>
        <w:tc>
          <w:tcPr>
            <w:tcW w:w="2162" w:type="dxa"/>
          </w:tcPr>
          <w:p w14:paraId="74361B37"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(0.010)</w:t>
            </w:r>
          </w:p>
        </w:tc>
        <w:tc>
          <w:tcPr>
            <w:tcW w:w="2163" w:type="dxa"/>
          </w:tcPr>
          <w:p w14:paraId="5ABF0863" w14:textId="77777777" w:rsidR="00A76408" w:rsidRPr="001D00F1" w:rsidRDefault="00A76408" w:rsidP="00C45C74">
            <w:pPr>
              <w:tabs>
                <w:tab w:val="decimal" w:pos="964"/>
              </w:tabs>
              <w:rPr>
                <w:rFonts w:asciiTheme="majorBidi" w:hAnsiTheme="majorBidi" w:cstheme="majorBidi"/>
                <w:sz w:val="22"/>
                <w:szCs w:val="22"/>
              </w:rPr>
            </w:pPr>
          </w:p>
        </w:tc>
        <w:tc>
          <w:tcPr>
            <w:tcW w:w="2163" w:type="dxa"/>
          </w:tcPr>
          <w:p w14:paraId="6DB19E18" w14:textId="77777777" w:rsidR="00A76408" w:rsidRPr="001D00F1" w:rsidRDefault="00A76408" w:rsidP="00C45C74">
            <w:pPr>
              <w:tabs>
                <w:tab w:val="decimal" w:pos="964"/>
              </w:tabs>
              <w:rPr>
                <w:rFonts w:asciiTheme="majorBidi" w:hAnsiTheme="majorBidi" w:cstheme="majorBidi"/>
                <w:sz w:val="22"/>
                <w:szCs w:val="22"/>
              </w:rPr>
            </w:pPr>
          </w:p>
        </w:tc>
      </w:tr>
      <w:tr w:rsidR="00A76408" w14:paraId="7013F44E" w14:textId="77777777" w:rsidTr="00C45C74">
        <w:tc>
          <w:tcPr>
            <w:tcW w:w="2147" w:type="dxa"/>
          </w:tcPr>
          <w:p w14:paraId="0B249296"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 xml:space="preserve">  Total</w:t>
            </w:r>
          </w:p>
        </w:tc>
        <w:tc>
          <w:tcPr>
            <w:tcW w:w="2162" w:type="dxa"/>
          </w:tcPr>
          <w:p w14:paraId="15183366"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0.126***</w:t>
            </w:r>
          </w:p>
        </w:tc>
        <w:tc>
          <w:tcPr>
            <w:tcW w:w="2163" w:type="dxa"/>
          </w:tcPr>
          <w:p w14:paraId="5C789EA7"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0.079**</w:t>
            </w:r>
          </w:p>
        </w:tc>
        <w:tc>
          <w:tcPr>
            <w:tcW w:w="2162" w:type="dxa"/>
          </w:tcPr>
          <w:p w14:paraId="1A6B5B44"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0.133***</w:t>
            </w:r>
          </w:p>
        </w:tc>
        <w:tc>
          <w:tcPr>
            <w:tcW w:w="2163" w:type="dxa"/>
          </w:tcPr>
          <w:p w14:paraId="2398F714"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n.a.</w:t>
            </w:r>
          </w:p>
        </w:tc>
        <w:tc>
          <w:tcPr>
            <w:tcW w:w="2163" w:type="dxa"/>
          </w:tcPr>
          <w:p w14:paraId="3E4B76A9"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n.a.</w:t>
            </w:r>
          </w:p>
        </w:tc>
      </w:tr>
      <w:tr w:rsidR="00A76408" w14:paraId="3C4FEADC" w14:textId="77777777" w:rsidTr="00C45C74">
        <w:tc>
          <w:tcPr>
            <w:tcW w:w="2147" w:type="dxa"/>
          </w:tcPr>
          <w:p w14:paraId="4890360B" w14:textId="77777777" w:rsidR="00A76408" w:rsidRPr="001D00F1" w:rsidRDefault="00A76408" w:rsidP="00C45C74">
            <w:pPr>
              <w:rPr>
                <w:rFonts w:asciiTheme="majorBidi" w:hAnsiTheme="majorBidi" w:cstheme="majorBidi"/>
                <w:sz w:val="22"/>
                <w:szCs w:val="22"/>
              </w:rPr>
            </w:pPr>
          </w:p>
        </w:tc>
        <w:tc>
          <w:tcPr>
            <w:tcW w:w="2162" w:type="dxa"/>
          </w:tcPr>
          <w:p w14:paraId="5F761870"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(0.017)</w:t>
            </w:r>
          </w:p>
        </w:tc>
        <w:tc>
          <w:tcPr>
            <w:tcW w:w="2163" w:type="dxa"/>
          </w:tcPr>
          <w:p w14:paraId="509475BA"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(0.039)</w:t>
            </w:r>
          </w:p>
        </w:tc>
        <w:tc>
          <w:tcPr>
            <w:tcW w:w="2162" w:type="dxa"/>
          </w:tcPr>
          <w:p w14:paraId="6A752FC4" w14:textId="77777777" w:rsidR="00A76408" w:rsidRPr="001D00F1" w:rsidRDefault="00A76408" w:rsidP="00C45C74">
            <w:pPr>
              <w:tabs>
                <w:tab w:val="decimal" w:pos="964"/>
              </w:tabs>
              <w:rPr>
                <w:rFonts w:asciiTheme="majorBidi" w:hAnsiTheme="majorBidi" w:cstheme="majorBidi"/>
                <w:sz w:val="22"/>
                <w:szCs w:val="22"/>
              </w:rPr>
            </w:pPr>
            <w:r w:rsidRPr="001D00F1">
              <w:rPr>
                <w:rFonts w:asciiTheme="majorBidi" w:hAnsiTheme="majorBidi" w:cstheme="majorBidi"/>
                <w:sz w:val="22"/>
                <w:szCs w:val="22"/>
              </w:rPr>
              <w:t>(0.018)</w:t>
            </w:r>
          </w:p>
        </w:tc>
        <w:tc>
          <w:tcPr>
            <w:tcW w:w="2163" w:type="dxa"/>
          </w:tcPr>
          <w:p w14:paraId="2CB6722F" w14:textId="77777777" w:rsidR="00A76408" w:rsidRPr="001D00F1" w:rsidRDefault="00A76408" w:rsidP="00C45C74">
            <w:pPr>
              <w:tabs>
                <w:tab w:val="decimal" w:pos="964"/>
              </w:tabs>
              <w:rPr>
                <w:rFonts w:asciiTheme="majorBidi" w:hAnsiTheme="majorBidi" w:cstheme="majorBidi"/>
                <w:sz w:val="22"/>
                <w:szCs w:val="22"/>
              </w:rPr>
            </w:pPr>
          </w:p>
        </w:tc>
        <w:tc>
          <w:tcPr>
            <w:tcW w:w="2163" w:type="dxa"/>
          </w:tcPr>
          <w:p w14:paraId="6E4731D7" w14:textId="77777777" w:rsidR="00A76408" w:rsidRPr="001D00F1" w:rsidRDefault="00A76408" w:rsidP="00C45C74">
            <w:pPr>
              <w:tabs>
                <w:tab w:val="decimal" w:pos="964"/>
              </w:tabs>
              <w:rPr>
                <w:rFonts w:asciiTheme="majorBidi" w:hAnsiTheme="majorBidi" w:cstheme="majorBidi"/>
                <w:sz w:val="22"/>
                <w:szCs w:val="22"/>
              </w:rPr>
            </w:pPr>
          </w:p>
        </w:tc>
      </w:tr>
      <w:tr w:rsidR="00A76408" w14:paraId="42300C57" w14:textId="77777777" w:rsidTr="00C45C74">
        <w:tc>
          <w:tcPr>
            <w:tcW w:w="2147" w:type="dxa"/>
          </w:tcPr>
          <w:p w14:paraId="60F1C72C" w14:textId="77777777" w:rsidR="00A76408" w:rsidRPr="001D00F1" w:rsidRDefault="00A76408" w:rsidP="00C45C74">
            <w:pPr>
              <w:rPr>
                <w:rFonts w:asciiTheme="majorBidi" w:hAnsiTheme="majorBidi" w:cstheme="majorBidi"/>
                <w:sz w:val="22"/>
                <w:szCs w:val="22"/>
              </w:rPr>
            </w:pPr>
          </w:p>
        </w:tc>
        <w:tc>
          <w:tcPr>
            <w:tcW w:w="2162" w:type="dxa"/>
          </w:tcPr>
          <w:p w14:paraId="3672C73D" w14:textId="77777777" w:rsidR="00A76408" w:rsidRPr="001D00F1" w:rsidRDefault="00A76408" w:rsidP="00C45C74">
            <w:pPr>
              <w:jc w:val="center"/>
              <w:rPr>
                <w:rFonts w:asciiTheme="majorBidi" w:hAnsiTheme="majorBidi" w:cstheme="majorBidi"/>
                <w:sz w:val="22"/>
                <w:szCs w:val="22"/>
              </w:rPr>
            </w:pPr>
          </w:p>
        </w:tc>
        <w:tc>
          <w:tcPr>
            <w:tcW w:w="2163" w:type="dxa"/>
          </w:tcPr>
          <w:p w14:paraId="6C524A58" w14:textId="77777777" w:rsidR="00A76408" w:rsidRPr="001D00F1" w:rsidRDefault="00A76408" w:rsidP="00C45C74">
            <w:pPr>
              <w:jc w:val="center"/>
              <w:rPr>
                <w:sz w:val="22"/>
                <w:szCs w:val="22"/>
              </w:rPr>
            </w:pPr>
          </w:p>
        </w:tc>
        <w:tc>
          <w:tcPr>
            <w:tcW w:w="2162" w:type="dxa"/>
          </w:tcPr>
          <w:p w14:paraId="2BFB1458" w14:textId="77777777" w:rsidR="00A76408" w:rsidRPr="001D00F1" w:rsidRDefault="00A76408" w:rsidP="00C45C74">
            <w:pPr>
              <w:jc w:val="center"/>
              <w:rPr>
                <w:sz w:val="22"/>
                <w:szCs w:val="22"/>
              </w:rPr>
            </w:pPr>
          </w:p>
        </w:tc>
        <w:tc>
          <w:tcPr>
            <w:tcW w:w="2163" w:type="dxa"/>
          </w:tcPr>
          <w:p w14:paraId="5A484FE8" w14:textId="77777777" w:rsidR="00A76408" w:rsidRPr="001D00F1" w:rsidRDefault="00A76408" w:rsidP="00C45C74">
            <w:pPr>
              <w:jc w:val="center"/>
              <w:rPr>
                <w:sz w:val="22"/>
                <w:szCs w:val="22"/>
              </w:rPr>
            </w:pPr>
          </w:p>
        </w:tc>
        <w:tc>
          <w:tcPr>
            <w:tcW w:w="2163" w:type="dxa"/>
          </w:tcPr>
          <w:p w14:paraId="232E4C41" w14:textId="77777777" w:rsidR="00A76408" w:rsidRPr="001D00F1" w:rsidRDefault="00A76408" w:rsidP="00C45C74">
            <w:pPr>
              <w:jc w:val="center"/>
              <w:rPr>
                <w:sz w:val="22"/>
                <w:szCs w:val="22"/>
              </w:rPr>
            </w:pPr>
          </w:p>
        </w:tc>
      </w:tr>
      <w:tr w:rsidR="00A76408" w14:paraId="67CE980F" w14:textId="77777777" w:rsidTr="00C45C74">
        <w:tc>
          <w:tcPr>
            <w:tcW w:w="2147" w:type="dxa"/>
          </w:tcPr>
          <w:p w14:paraId="48563E52"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County fixed effects</w:t>
            </w:r>
          </w:p>
        </w:tc>
        <w:tc>
          <w:tcPr>
            <w:tcW w:w="2162" w:type="dxa"/>
          </w:tcPr>
          <w:p w14:paraId="2FA1AC07"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68515305"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2" w:type="dxa"/>
          </w:tcPr>
          <w:p w14:paraId="12EAD5CA"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56185A3B" w14:textId="77777777" w:rsidR="00A76408" w:rsidRPr="001D00F1" w:rsidRDefault="00A76408" w:rsidP="00C45C74">
            <w:pPr>
              <w:jc w:val="center"/>
              <w:rPr>
                <w:sz w:val="22"/>
                <w:szCs w:val="22"/>
              </w:rPr>
            </w:pPr>
            <w:r w:rsidRPr="001D00F1">
              <w:rPr>
                <w:rFonts w:asciiTheme="majorBidi" w:hAnsiTheme="majorBidi" w:cstheme="majorBidi"/>
                <w:sz w:val="22"/>
                <w:szCs w:val="22"/>
              </w:rPr>
              <w:t>Yes</w:t>
            </w:r>
          </w:p>
        </w:tc>
        <w:tc>
          <w:tcPr>
            <w:tcW w:w="2163" w:type="dxa"/>
          </w:tcPr>
          <w:p w14:paraId="7F4A7DF2" w14:textId="77777777" w:rsidR="00A76408" w:rsidRPr="001D00F1" w:rsidRDefault="00A76408" w:rsidP="00C45C74">
            <w:pPr>
              <w:jc w:val="center"/>
              <w:rPr>
                <w:sz w:val="22"/>
                <w:szCs w:val="22"/>
              </w:rPr>
            </w:pPr>
            <w:r w:rsidRPr="001D00F1">
              <w:rPr>
                <w:rFonts w:asciiTheme="majorBidi" w:hAnsiTheme="majorBidi" w:cstheme="majorBidi"/>
                <w:sz w:val="22"/>
                <w:szCs w:val="22"/>
              </w:rPr>
              <w:t>Yes</w:t>
            </w:r>
          </w:p>
        </w:tc>
      </w:tr>
      <w:tr w:rsidR="00A76408" w14:paraId="21870286" w14:textId="77777777" w:rsidTr="00C45C74">
        <w:tc>
          <w:tcPr>
            <w:tcW w:w="2147" w:type="dxa"/>
          </w:tcPr>
          <w:p w14:paraId="7BAC6E0F"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Year fixed effects</w:t>
            </w:r>
          </w:p>
        </w:tc>
        <w:tc>
          <w:tcPr>
            <w:tcW w:w="2162" w:type="dxa"/>
          </w:tcPr>
          <w:p w14:paraId="210723E5"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29F8D824"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2" w:type="dxa"/>
          </w:tcPr>
          <w:p w14:paraId="4A88AFA6"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78C75396" w14:textId="77777777" w:rsidR="00A76408" w:rsidRPr="001D00F1" w:rsidRDefault="00A76408" w:rsidP="00C45C74">
            <w:pPr>
              <w:jc w:val="center"/>
              <w:rPr>
                <w:sz w:val="22"/>
                <w:szCs w:val="22"/>
              </w:rPr>
            </w:pPr>
            <w:r w:rsidRPr="001D00F1">
              <w:rPr>
                <w:rFonts w:asciiTheme="majorBidi" w:hAnsiTheme="majorBidi" w:cstheme="majorBidi"/>
                <w:sz w:val="22"/>
                <w:szCs w:val="22"/>
              </w:rPr>
              <w:t>Yes</w:t>
            </w:r>
          </w:p>
        </w:tc>
        <w:tc>
          <w:tcPr>
            <w:tcW w:w="2163" w:type="dxa"/>
          </w:tcPr>
          <w:p w14:paraId="11DE8AFF" w14:textId="77777777" w:rsidR="00A76408" w:rsidRPr="001D00F1" w:rsidRDefault="00A76408" w:rsidP="00C45C74">
            <w:pPr>
              <w:jc w:val="center"/>
              <w:rPr>
                <w:sz w:val="22"/>
                <w:szCs w:val="22"/>
              </w:rPr>
            </w:pPr>
            <w:r w:rsidRPr="001D00F1">
              <w:rPr>
                <w:rFonts w:asciiTheme="majorBidi" w:hAnsiTheme="majorBidi" w:cstheme="majorBidi"/>
                <w:sz w:val="22"/>
                <w:szCs w:val="22"/>
              </w:rPr>
              <w:t>Yes</w:t>
            </w:r>
          </w:p>
        </w:tc>
      </w:tr>
      <w:tr w:rsidR="00A76408" w14:paraId="726AA8B3" w14:textId="77777777" w:rsidTr="00C45C74">
        <w:tc>
          <w:tcPr>
            <w:tcW w:w="2147" w:type="dxa"/>
          </w:tcPr>
          <w:p w14:paraId="537896C3"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Spatial lag: upgraded</w:t>
            </w:r>
          </w:p>
        </w:tc>
        <w:tc>
          <w:tcPr>
            <w:tcW w:w="2162" w:type="dxa"/>
          </w:tcPr>
          <w:p w14:paraId="543C86A3"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31060637"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2" w:type="dxa"/>
          </w:tcPr>
          <w:p w14:paraId="4F292E24"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No</w:t>
            </w:r>
          </w:p>
        </w:tc>
        <w:tc>
          <w:tcPr>
            <w:tcW w:w="2163" w:type="dxa"/>
          </w:tcPr>
          <w:p w14:paraId="79DC03D3" w14:textId="77777777" w:rsidR="00A76408" w:rsidRPr="001D00F1" w:rsidRDefault="00A76408" w:rsidP="00C45C74">
            <w:pPr>
              <w:jc w:val="center"/>
              <w:rPr>
                <w:sz w:val="22"/>
                <w:szCs w:val="22"/>
              </w:rPr>
            </w:pPr>
            <w:r w:rsidRPr="001D00F1">
              <w:rPr>
                <w:rFonts w:asciiTheme="majorBidi" w:hAnsiTheme="majorBidi" w:cstheme="majorBidi"/>
                <w:sz w:val="22"/>
                <w:szCs w:val="22"/>
              </w:rPr>
              <w:t>No</w:t>
            </w:r>
          </w:p>
        </w:tc>
        <w:tc>
          <w:tcPr>
            <w:tcW w:w="2163" w:type="dxa"/>
          </w:tcPr>
          <w:p w14:paraId="088BB350" w14:textId="77777777" w:rsidR="00A76408" w:rsidRPr="001D00F1" w:rsidRDefault="00A76408" w:rsidP="00C45C74">
            <w:pPr>
              <w:jc w:val="center"/>
              <w:rPr>
                <w:sz w:val="22"/>
                <w:szCs w:val="22"/>
              </w:rPr>
            </w:pPr>
            <w:r w:rsidRPr="001D00F1">
              <w:rPr>
                <w:rFonts w:asciiTheme="majorBidi" w:hAnsiTheme="majorBidi" w:cstheme="majorBidi"/>
                <w:sz w:val="22"/>
                <w:szCs w:val="22"/>
              </w:rPr>
              <w:t>No</w:t>
            </w:r>
          </w:p>
        </w:tc>
      </w:tr>
      <w:tr w:rsidR="00A76408" w14:paraId="74D3E1EB" w14:textId="77777777" w:rsidTr="00C45C74">
        <w:tc>
          <w:tcPr>
            <w:tcW w:w="2147" w:type="dxa"/>
          </w:tcPr>
          <w:p w14:paraId="00D6D46A"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Spatial lag: output</w:t>
            </w:r>
          </w:p>
        </w:tc>
        <w:tc>
          <w:tcPr>
            <w:tcW w:w="2162" w:type="dxa"/>
          </w:tcPr>
          <w:p w14:paraId="4C9FA3E0"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235E9927"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2" w:type="dxa"/>
          </w:tcPr>
          <w:p w14:paraId="7F2624C3"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755D447F" w14:textId="77777777" w:rsidR="00A76408" w:rsidRPr="001D00F1" w:rsidRDefault="00A76408" w:rsidP="00C45C74">
            <w:pPr>
              <w:jc w:val="center"/>
              <w:rPr>
                <w:sz w:val="22"/>
                <w:szCs w:val="22"/>
              </w:rPr>
            </w:pPr>
            <w:r w:rsidRPr="001D00F1">
              <w:rPr>
                <w:rFonts w:asciiTheme="majorBidi" w:hAnsiTheme="majorBidi" w:cstheme="majorBidi"/>
                <w:sz w:val="22"/>
                <w:szCs w:val="22"/>
              </w:rPr>
              <w:t>No</w:t>
            </w:r>
          </w:p>
        </w:tc>
        <w:tc>
          <w:tcPr>
            <w:tcW w:w="2163" w:type="dxa"/>
          </w:tcPr>
          <w:p w14:paraId="1619BF7D" w14:textId="77777777" w:rsidR="00A76408" w:rsidRPr="001D00F1" w:rsidRDefault="00A76408" w:rsidP="00C45C74">
            <w:pPr>
              <w:jc w:val="center"/>
              <w:rPr>
                <w:sz w:val="22"/>
                <w:szCs w:val="22"/>
              </w:rPr>
            </w:pPr>
            <w:r w:rsidRPr="001D00F1">
              <w:rPr>
                <w:rFonts w:asciiTheme="majorBidi" w:hAnsiTheme="majorBidi" w:cstheme="majorBidi"/>
                <w:sz w:val="22"/>
                <w:szCs w:val="22"/>
              </w:rPr>
              <w:t>No</w:t>
            </w:r>
          </w:p>
        </w:tc>
      </w:tr>
      <w:tr w:rsidR="00A76408" w14:paraId="3BDDAAB9" w14:textId="77777777" w:rsidTr="00C45C74">
        <w:tc>
          <w:tcPr>
            <w:tcW w:w="2147" w:type="dxa"/>
          </w:tcPr>
          <w:p w14:paraId="7F8EE775"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Spatial lag: errors</w:t>
            </w:r>
          </w:p>
        </w:tc>
        <w:tc>
          <w:tcPr>
            <w:tcW w:w="2162" w:type="dxa"/>
          </w:tcPr>
          <w:p w14:paraId="285273B5"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7E2DB87F"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No</w:t>
            </w:r>
          </w:p>
        </w:tc>
        <w:tc>
          <w:tcPr>
            <w:tcW w:w="2162" w:type="dxa"/>
          </w:tcPr>
          <w:p w14:paraId="3B0BE6DC"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No</w:t>
            </w:r>
          </w:p>
        </w:tc>
        <w:tc>
          <w:tcPr>
            <w:tcW w:w="2163" w:type="dxa"/>
          </w:tcPr>
          <w:p w14:paraId="52A4502D"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Yes</w:t>
            </w:r>
          </w:p>
        </w:tc>
        <w:tc>
          <w:tcPr>
            <w:tcW w:w="2163" w:type="dxa"/>
          </w:tcPr>
          <w:p w14:paraId="04A4A86A"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No</w:t>
            </w:r>
          </w:p>
        </w:tc>
      </w:tr>
      <w:tr w:rsidR="00A76408" w:rsidRPr="001E17C6" w14:paraId="5FE61C3A" w14:textId="77777777" w:rsidTr="00C45C74">
        <w:tc>
          <w:tcPr>
            <w:tcW w:w="2147" w:type="dxa"/>
          </w:tcPr>
          <w:p w14:paraId="41EB483C" w14:textId="77777777" w:rsidR="00A76408" w:rsidRPr="001D00F1" w:rsidRDefault="00A76408" w:rsidP="00C45C74">
            <w:pPr>
              <w:rPr>
                <w:rFonts w:asciiTheme="majorBidi" w:hAnsiTheme="majorBidi" w:cstheme="majorBidi"/>
                <w:sz w:val="6"/>
                <w:szCs w:val="6"/>
              </w:rPr>
            </w:pPr>
          </w:p>
        </w:tc>
        <w:tc>
          <w:tcPr>
            <w:tcW w:w="2162" w:type="dxa"/>
          </w:tcPr>
          <w:p w14:paraId="7A3EF525" w14:textId="77777777" w:rsidR="00A76408" w:rsidRPr="001E17C6" w:rsidRDefault="00A76408" w:rsidP="00C45C74">
            <w:pPr>
              <w:jc w:val="center"/>
              <w:rPr>
                <w:rFonts w:asciiTheme="majorBidi" w:hAnsiTheme="majorBidi" w:cstheme="majorBidi"/>
                <w:sz w:val="6"/>
                <w:szCs w:val="6"/>
              </w:rPr>
            </w:pPr>
          </w:p>
        </w:tc>
        <w:tc>
          <w:tcPr>
            <w:tcW w:w="2163" w:type="dxa"/>
          </w:tcPr>
          <w:p w14:paraId="5C4F73FE" w14:textId="77777777" w:rsidR="00A76408" w:rsidRPr="001E17C6" w:rsidRDefault="00A76408" w:rsidP="00C45C74">
            <w:pPr>
              <w:jc w:val="center"/>
              <w:rPr>
                <w:rFonts w:asciiTheme="majorBidi" w:hAnsiTheme="majorBidi" w:cstheme="majorBidi"/>
                <w:sz w:val="6"/>
                <w:szCs w:val="6"/>
              </w:rPr>
            </w:pPr>
          </w:p>
        </w:tc>
        <w:tc>
          <w:tcPr>
            <w:tcW w:w="2162" w:type="dxa"/>
          </w:tcPr>
          <w:p w14:paraId="6F21B24F" w14:textId="77777777" w:rsidR="00A76408" w:rsidRPr="001E17C6" w:rsidRDefault="00A76408" w:rsidP="00C45C74">
            <w:pPr>
              <w:jc w:val="center"/>
              <w:rPr>
                <w:rFonts w:asciiTheme="majorBidi" w:hAnsiTheme="majorBidi" w:cstheme="majorBidi"/>
                <w:sz w:val="6"/>
                <w:szCs w:val="6"/>
              </w:rPr>
            </w:pPr>
          </w:p>
        </w:tc>
        <w:tc>
          <w:tcPr>
            <w:tcW w:w="2163" w:type="dxa"/>
          </w:tcPr>
          <w:p w14:paraId="7AC27522" w14:textId="77777777" w:rsidR="00A76408" w:rsidRPr="001E17C6" w:rsidRDefault="00A76408" w:rsidP="00C45C74">
            <w:pPr>
              <w:jc w:val="center"/>
              <w:rPr>
                <w:rFonts w:asciiTheme="majorBidi" w:hAnsiTheme="majorBidi" w:cstheme="majorBidi"/>
                <w:sz w:val="6"/>
                <w:szCs w:val="6"/>
              </w:rPr>
            </w:pPr>
          </w:p>
        </w:tc>
        <w:tc>
          <w:tcPr>
            <w:tcW w:w="2163" w:type="dxa"/>
          </w:tcPr>
          <w:p w14:paraId="1114A40C" w14:textId="77777777" w:rsidR="00A76408" w:rsidRPr="001E17C6" w:rsidRDefault="00A76408" w:rsidP="00C45C74">
            <w:pPr>
              <w:jc w:val="center"/>
              <w:rPr>
                <w:rFonts w:asciiTheme="majorBidi" w:hAnsiTheme="majorBidi" w:cstheme="majorBidi"/>
                <w:sz w:val="6"/>
                <w:szCs w:val="6"/>
              </w:rPr>
            </w:pPr>
          </w:p>
        </w:tc>
      </w:tr>
      <w:tr w:rsidR="00A76408" w14:paraId="3FCA7F59" w14:textId="77777777" w:rsidTr="00C45C74">
        <w:tc>
          <w:tcPr>
            <w:tcW w:w="2147" w:type="dxa"/>
          </w:tcPr>
          <w:p w14:paraId="19D5BBEF"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All covariates = 0</w:t>
            </w:r>
          </w:p>
        </w:tc>
        <w:tc>
          <w:tcPr>
            <w:tcW w:w="2162" w:type="dxa"/>
          </w:tcPr>
          <w:p w14:paraId="379771A7"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=34414***</w:t>
            </w:r>
          </w:p>
        </w:tc>
        <w:tc>
          <w:tcPr>
            <w:tcW w:w="2163" w:type="dxa"/>
          </w:tcPr>
          <w:p w14:paraId="47EFE57D"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=870721***</w:t>
            </w:r>
          </w:p>
        </w:tc>
        <w:tc>
          <w:tcPr>
            <w:tcW w:w="2162" w:type="dxa"/>
          </w:tcPr>
          <w:p w14:paraId="5943D3BC"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=870644***</w:t>
            </w:r>
          </w:p>
        </w:tc>
        <w:tc>
          <w:tcPr>
            <w:tcW w:w="2163" w:type="dxa"/>
          </w:tcPr>
          <w:p w14:paraId="1A1EBFA5"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=116667***</w:t>
            </w:r>
          </w:p>
        </w:tc>
        <w:tc>
          <w:tcPr>
            <w:tcW w:w="2163" w:type="dxa"/>
          </w:tcPr>
          <w:p w14:paraId="28AAE972"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=569235***</w:t>
            </w:r>
          </w:p>
        </w:tc>
      </w:tr>
      <w:tr w:rsidR="00A76408" w14:paraId="54B8F031" w14:textId="77777777" w:rsidTr="00C45C74">
        <w:tc>
          <w:tcPr>
            <w:tcW w:w="2147" w:type="dxa"/>
            <w:tcBorders>
              <w:bottom w:val="single" w:sz="4" w:space="0" w:color="auto"/>
            </w:tcBorders>
          </w:tcPr>
          <w:p w14:paraId="5684575E" w14:textId="77777777" w:rsidR="00A76408" w:rsidRPr="001D00F1" w:rsidRDefault="00A76408" w:rsidP="00C45C74">
            <w:pPr>
              <w:rPr>
                <w:rFonts w:asciiTheme="majorBidi" w:hAnsiTheme="majorBidi" w:cstheme="majorBidi"/>
                <w:sz w:val="22"/>
                <w:szCs w:val="22"/>
              </w:rPr>
            </w:pPr>
            <w:r w:rsidRPr="001D00F1">
              <w:rPr>
                <w:rFonts w:asciiTheme="majorBidi" w:hAnsiTheme="majorBidi" w:cstheme="majorBidi"/>
                <w:sz w:val="22"/>
                <w:szCs w:val="22"/>
              </w:rPr>
              <w:t>Nesting restrictions</w:t>
            </w:r>
          </w:p>
        </w:tc>
        <w:tc>
          <w:tcPr>
            <w:tcW w:w="2162" w:type="dxa"/>
            <w:tcBorders>
              <w:bottom w:val="single" w:sz="4" w:space="0" w:color="auto"/>
            </w:tcBorders>
          </w:tcPr>
          <w:p w14:paraId="2E18896A"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t>n.a.</w:t>
            </w:r>
          </w:p>
        </w:tc>
        <w:tc>
          <w:tcPr>
            <w:tcW w:w="2163" w:type="dxa"/>
            <w:tcBorders>
              <w:bottom w:val="single" w:sz="4" w:space="0" w:color="auto"/>
            </w:tcBorders>
          </w:tcPr>
          <w:p w14:paraId="7E5C804B"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=35586***</w:t>
            </w:r>
          </w:p>
        </w:tc>
        <w:tc>
          <w:tcPr>
            <w:tcW w:w="2162" w:type="dxa"/>
            <w:tcBorders>
              <w:bottom w:val="single" w:sz="4" w:space="0" w:color="auto"/>
            </w:tcBorders>
          </w:tcPr>
          <w:p w14:paraId="3DB2C6D1"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=35638***</w:t>
            </w:r>
          </w:p>
        </w:tc>
        <w:tc>
          <w:tcPr>
            <w:tcW w:w="2163" w:type="dxa"/>
            <w:tcBorders>
              <w:bottom w:val="single" w:sz="4" w:space="0" w:color="auto"/>
            </w:tcBorders>
          </w:tcPr>
          <w:p w14:paraId="0E820649"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=1665***</w:t>
            </w:r>
          </w:p>
        </w:tc>
        <w:tc>
          <w:tcPr>
            <w:tcW w:w="2163" w:type="dxa"/>
            <w:tcBorders>
              <w:bottom w:val="single" w:sz="4" w:space="0" w:color="auto"/>
            </w:tcBorders>
          </w:tcPr>
          <w:p w14:paraId="2D37E780" w14:textId="77777777" w:rsidR="00A76408" w:rsidRPr="001D00F1" w:rsidRDefault="00A76408" w:rsidP="00C45C74">
            <w:pPr>
              <w:jc w:val="center"/>
              <w:rPr>
                <w:rFonts w:asciiTheme="majorBidi" w:hAnsiTheme="majorBidi" w:cstheme="majorBidi"/>
                <w:sz w:val="22"/>
                <w:szCs w:val="22"/>
              </w:rPr>
            </w:pPr>
            <w:r w:rsidRPr="001D00F1">
              <w:rPr>
                <w:rFonts w:asciiTheme="majorBidi" w:hAnsiTheme="majorBidi" w:cstheme="majorBidi"/>
                <w:sz w:val="22"/>
                <w:szCs w:val="22"/>
              </w:rPr>
              <w:sym w:font="Symbol" w:char="F063"/>
            </w:r>
            <w:r w:rsidRPr="001D00F1">
              <w:rPr>
                <w:rFonts w:asciiTheme="majorBidi" w:hAnsiTheme="majorBidi" w:cstheme="majorBidi"/>
                <w:sz w:val="22"/>
                <w:szCs w:val="22"/>
                <w:vertAlign w:val="superscript"/>
              </w:rPr>
              <w:t>2</w:t>
            </w:r>
            <w:r w:rsidRPr="001D00F1">
              <w:rPr>
                <w:rFonts w:asciiTheme="majorBidi" w:hAnsiTheme="majorBidi" w:cstheme="majorBidi"/>
                <w:sz w:val="22"/>
                <w:szCs w:val="22"/>
              </w:rPr>
              <w:t>=59884***</w:t>
            </w:r>
          </w:p>
        </w:tc>
      </w:tr>
      <w:tr w:rsidR="00A76408" w14:paraId="100E77C7" w14:textId="77777777" w:rsidTr="00C45C74">
        <w:tc>
          <w:tcPr>
            <w:tcW w:w="12960" w:type="dxa"/>
            <w:gridSpan w:val="6"/>
            <w:tcBorders>
              <w:top w:val="single" w:sz="4" w:space="0" w:color="auto"/>
            </w:tcBorders>
          </w:tcPr>
          <w:p w14:paraId="55E367B5" w14:textId="77777777" w:rsidR="00A76408" w:rsidRPr="007B34F8" w:rsidRDefault="00A76408" w:rsidP="00C45C74">
            <w:pPr>
              <w:spacing w:before="40"/>
              <w:rPr>
                <w:rFonts w:asciiTheme="majorBidi" w:hAnsiTheme="majorBidi" w:cstheme="majorBidi"/>
                <w:sz w:val="20"/>
                <w:szCs w:val="20"/>
              </w:rPr>
            </w:pPr>
            <w:r>
              <w:rPr>
                <w:rFonts w:asciiTheme="majorBidi" w:hAnsiTheme="majorBidi" w:cstheme="majorBidi"/>
                <w:i/>
                <w:iCs/>
                <w:sz w:val="20"/>
                <w:szCs w:val="20"/>
              </w:rPr>
              <w:t xml:space="preserve">Note: </w:t>
            </w:r>
            <w:r>
              <w:rPr>
                <w:rFonts w:asciiTheme="majorBidi" w:hAnsiTheme="majorBidi" w:cstheme="majorBidi"/>
                <w:sz w:val="20"/>
                <w:szCs w:val="20"/>
              </w:rPr>
              <w:t xml:space="preserve">The sample period is 2000-2019, for 2342 county-level units, giving an estimation sample of n=46,840. Coefficients for the fixed effects and the spatial lags are not reported. The decomposition of average impacts into direct, indirect and total components is based on LeSage and Pace (2009). The nesting restrictions are imposed on the SARAR model in column (1) to derive the models in columns (2) to (5) Standard errors are in ( ), with statistical significance at the 1%, 5% and 10% level denoted by </w:t>
            </w:r>
            <w:r w:rsidRPr="006B55F3">
              <w:rPr>
                <w:rFonts w:asciiTheme="majorBidi" w:hAnsiTheme="majorBidi" w:cstheme="majorBidi"/>
                <w:sz w:val="18"/>
                <w:szCs w:val="18"/>
              </w:rPr>
              <w:t>***</w:t>
            </w:r>
            <w:r>
              <w:rPr>
                <w:rFonts w:asciiTheme="majorBidi" w:hAnsiTheme="majorBidi" w:cstheme="majorBidi"/>
                <w:sz w:val="20"/>
                <w:szCs w:val="20"/>
              </w:rPr>
              <w:t xml:space="preserve">, </w:t>
            </w:r>
            <w:r w:rsidRPr="006B55F3">
              <w:rPr>
                <w:rFonts w:asciiTheme="majorBidi" w:hAnsiTheme="majorBidi" w:cstheme="majorBidi"/>
                <w:sz w:val="18"/>
                <w:szCs w:val="18"/>
              </w:rPr>
              <w:t>**</w:t>
            </w:r>
            <w:r>
              <w:rPr>
                <w:rFonts w:asciiTheme="majorBidi" w:hAnsiTheme="majorBidi" w:cstheme="majorBidi"/>
                <w:sz w:val="20"/>
                <w:szCs w:val="20"/>
              </w:rPr>
              <w:t xml:space="preserve">, </w:t>
            </w:r>
            <w:r w:rsidRPr="006B55F3">
              <w:rPr>
                <w:rFonts w:asciiTheme="majorBidi" w:hAnsiTheme="majorBidi" w:cstheme="majorBidi"/>
                <w:sz w:val="18"/>
                <w:szCs w:val="18"/>
              </w:rPr>
              <w:t>*</w:t>
            </w:r>
            <w:r>
              <w:rPr>
                <w:rFonts w:asciiTheme="majorBidi" w:hAnsiTheme="majorBidi" w:cstheme="majorBidi"/>
                <w:sz w:val="20"/>
                <w:szCs w:val="20"/>
              </w:rPr>
              <w:t>.</w:t>
            </w:r>
          </w:p>
        </w:tc>
      </w:tr>
    </w:tbl>
    <w:p w14:paraId="104D3406" w14:textId="6D949D42" w:rsidR="00A76408" w:rsidRDefault="00A76408">
      <w:pPr>
        <w:rPr>
          <w:rFonts w:asciiTheme="majorBidi" w:hAnsiTheme="majorBidi" w:cstheme="majorBidi"/>
        </w:rPr>
      </w:pPr>
      <w:r>
        <w:rPr>
          <w:rFonts w:asciiTheme="majorBidi" w:hAnsiTheme="majorBidi" w:cstheme="majorBidi"/>
        </w:rPr>
        <w:br w:type="page"/>
      </w:r>
    </w:p>
    <w:p w14:paraId="668A129F" w14:textId="77777777" w:rsidR="00A76408" w:rsidRDefault="00A76408" w:rsidP="00A76408">
      <w:pPr>
        <w:spacing w:after="40" w:line="240" w:lineRule="auto"/>
        <w:ind w:left="-567"/>
        <w:jc w:val="center"/>
        <w:rPr>
          <w:rFonts w:asciiTheme="majorBidi" w:hAnsiTheme="majorBidi" w:cstheme="majorBidi"/>
        </w:rPr>
      </w:pPr>
      <w:r>
        <w:rPr>
          <w:rFonts w:asciiTheme="majorBidi" w:hAnsiTheme="majorBidi" w:cstheme="majorBidi"/>
        </w:rPr>
        <w:lastRenderedPageBreak/>
        <w:t>Table 4: Relationships between county upgrading and the change in luminosity (log DMSP) in China: 2000 to 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7"/>
        <w:gridCol w:w="2162"/>
        <w:gridCol w:w="2163"/>
        <w:gridCol w:w="2162"/>
        <w:gridCol w:w="2163"/>
        <w:gridCol w:w="2163"/>
      </w:tblGrid>
      <w:tr w:rsidR="00A76408" w:rsidRPr="001E17C6" w14:paraId="69C39BDD" w14:textId="77777777" w:rsidTr="00C45C74">
        <w:trPr>
          <w:trHeight w:val="227"/>
        </w:trPr>
        <w:tc>
          <w:tcPr>
            <w:tcW w:w="2147" w:type="dxa"/>
            <w:tcBorders>
              <w:top w:val="single" w:sz="4" w:space="0" w:color="auto"/>
            </w:tcBorders>
          </w:tcPr>
          <w:p w14:paraId="59F93E0B" w14:textId="77777777" w:rsidR="00A76408" w:rsidRPr="00E13FA8" w:rsidRDefault="00A76408" w:rsidP="00C45C74">
            <w:pPr>
              <w:rPr>
                <w:rFonts w:asciiTheme="majorBidi" w:hAnsiTheme="majorBidi" w:cstheme="majorBidi"/>
              </w:rPr>
            </w:pPr>
          </w:p>
        </w:tc>
        <w:tc>
          <w:tcPr>
            <w:tcW w:w="2162" w:type="dxa"/>
            <w:tcBorders>
              <w:top w:val="single" w:sz="4" w:space="0" w:color="auto"/>
            </w:tcBorders>
          </w:tcPr>
          <w:p w14:paraId="49CE157F" w14:textId="77777777" w:rsidR="00A76408" w:rsidRPr="000803E2" w:rsidRDefault="00A76408" w:rsidP="00C45C74">
            <w:pPr>
              <w:spacing w:before="40"/>
              <w:jc w:val="center"/>
              <w:rPr>
                <w:rFonts w:asciiTheme="majorBidi" w:hAnsiTheme="majorBidi" w:cstheme="majorBidi"/>
                <w:sz w:val="22"/>
                <w:szCs w:val="22"/>
              </w:rPr>
            </w:pPr>
            <w:r w:rsidRPr="000803E2">
              <w:rPr>
                <w:rFonts w:asciiTheme="majorBidi" w:hAnsiTheme="majorBidi" w:cstheme="majorBidi"/>
                <w:sz w:val="22"/>
                <w:szCs w:val="22"/>
              </w:rPr>
              <w:t>(1)</w:t>
            </w:r>
          </w:p>
        </w:tc>
        <w:tc>
          <w:tcPr>
            <w:tcW w:w="2163" w:type="dxa"/>
            <w:tcBorders>
              <w:top w:val="single" w:sz="4" w:space="0" w:color="auto"/>
            </w:tcBorders>
          </w:tcPr>
          <w:p w14:paraId="021B7964" w14:textId="77777777" w:rsidR="00A76408" w:rsidRPr="000803E2" w:rsidRDefault="00A76408" w:rsidP="00C45C74">
            <w:pPr>
              <w:spacing w:before="40"/>
              <w:jc w:val="center"/>
              <w:rPr>
                <w:rFonts w:asciiTheme="majorBidi" w:hAnsiTheme="majorBidi" w:cstheme="majorBidi"/>
                <w:sz w:val="22"/>
                <w:szCs w:val="22"/>
              </w:rPr>
            </w:pPr>
            <w:r w:rsidRPr="000803E2">
              <w:rPr>
                <w:rFonts w:asciiTheme="majorBidi" w:hAnsiTheme="majorBidi" w:cstheme="majorBidi"/>
                <w:sz w:val="22"/>
                <w:szCs w:val="22"/>
              </w:rPr>
              <w:t>(2)</w:t>
            </w:r>
          </w:p>
        </w:tc>
        <w:tc>
          <w:tcPr>
            <w:tcW w:w="2162" w:type="dxa"/>
            <w:tcBorders>
              <w:top w:val="single" w:sz="4" w:space="0" w:color="auto"/>
            </w:tcBorders>
          </w:tcPr>
          <w:p w14:paraId="730C930B" w14:textId="77777777" w:rsidR="00A76408" w:rsidRPr="000803E2" w:rsidRDefault="00A76408" w:rsidP="00C45C74">
            <w:pPr>
              <w:spacing w:before="40"/>
              <w:jc w:val="center"/>
              <w:rPr>
                <w:rFonts w:asciiTheme="majorBidi" w:hAnsiTheme="majorBidi" w:cstheme="majorBidi"/>
                <w:sz w:val="22"/>
                <w:szCs w:val="22"/>
              </w:rPr>
            </w:pPr>
            <w:r w:rsidRPr="000803E2">
              <w:rPr>
                <w:rFonts w:asciiTheme="majorBidi" w:hAnsiTheme="majorBidi" w:cstheme="majorBidi"/>
                <w:sz w:val="22"/>
                <w:szCs w:val="22"/>
              </w:rPr>
              <w:t>(3)</w:t>
            </w:r>
          </w:p>
        </w:tc>
        <w:tc>
          <w:tcPr>
            <w:tcW w:w="2163" w:type="dxa"/>
            <w:tcBorders>
              <w:top w:val="single" w:sz="4" w:space="0" w:color="auto"/>
            </w:tcBorders>
          </w:tcPr>
          <w:p w14:paraId="44720329" w14:textId="77777777" w:rsidR="00A76408" w:rsidRPr="000803E2" w:rsidRDefault="00A76408" w:rsidP="00C45C74">
            <w:pPr>
              <w:spacing w:before="40"/>
              <w:jc w:val="center"/>
              <w:rPr>
                <w:rFonts w:asciiTheme="majorBidi" w:hAnsiTheme="majorBidi" w:cstheme="majorBidi"/>
                <w:sz w:val="22"/>
                <w:szCs w:val="22"/>
              </w:rPr>
            </w:pPr>
            <w:r w:rsidRPr="000803E2">
              <w:rPr>
                <w:rFonts w:asciiTheme="majorBidi" w:hAnsiTheme="majorBidi" w:cstheme="majorBidi"/>
                <w:sz w:val="22"/>
                <w:szCs w:val="22"/>
              </w:rPr>
              <w:t>(4)</w:t>
            </w:r>
          </w:p>
        </w:tc>
        <w:tc>
          <w:tcPr>
            <w:tcW w:w="2163" w:type="dxa"/>
            <w:tcBorders>
              <w:top w:val="single" w:sz="4" w:space="0" w:color="auto"/>
            </w:tcBorders>
          </w:tcPr>
          <w:p w14:paraId="64F01788" w14:textId="77777777" w:rsidR="00A76408" w:rsidRPr="000803E2" w:rsidRDefault="00A76408" w:rsidP="00C45C74">
            <w:pPr>
              <w:spacing w:before="40"/>
              <w:jc w:val="center"/>
              <w:rPr>
                <w:rFonts w:asciiTheme="majorBidi" w:hAnsiTheme="majorBidi" w:cstheme="majorBidi"/>
                <w:sz w:val="22"/>
                <w:szCs w:val="22"/>
              </w:rPr>
            </w:pPr>
            <w:r w:rsidRPr="000803E2">
              <w:rPr>
                <w:rFonts w:asciiTheme="majorBidi" w:hAnsiTheme="majorBidi" w:cstheme="majorBidi"/>
                <w:sz w:val="22"/>
                <w:szCs w:val="22"/>
              </w:rPr>
              <w:t>(5)</w:t>
            </w:r>
          </w:p>
        </w:tc>
      </w:tr>
      <w:tr w:rsidR="00A76408" w14:paraId="73004E75" w14:textId="77777777" w:rsidTr="00C45C74">
        <w:tc>
          <w:tcPr>
            <w:tcW w:w="2147" w:type="dxa"/>
            <w:tcBorders>
              <w:bottom w:val="single" w:sz="4" w:space="0" w:color="auto"/>
            </w:tcBorders>
          </w:tcPr>
          <w:p w14:paraId="103F56DD" w14:textId="77777777" w:rsidR="00A76408" w:rsidRPr="007B34F8" w:rsidRDefault="00A76408" w:rsidP="00C45C74">
            <w:pPr>
              <w:rPr>
                <w:rFonts w:asciiTheme="majorBidi" w:hAnsiTheme="majorBidi" w:cstheme="majorBidi"/>
              </w:rPr>
            </w:pPr>
          </w:p>
        </w:tc>
        <w:tc>
          <w:tcPr>
            <w:tcW w:w="2162" w:type="dxa"/>
            <w:tcBorders>
              <w:bottom w:val="single" w:sz="4" w:space="0" w:color="auto"/>
            </w:tcBorders>
          </w:tcPr>
          <w:p w14:paraId="68F40D23"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Spatial lag of errors, covariate and outcome</w:t>
            </w:r>
          </w:p>
        </w:tc>
        <w:tc>
          <w:tcPr>
            <w:tcW w:w="2163" w:type="dxa"/>
            <w:tcBorders>
              <w:bottom w:val="single" w:sz="4" w:space="0" w:color="auto"/>
            </w:tcBorders>
          </w:tcPr>
          <w:p w14:paraId="75A8E209"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Spatial lag of the covariate and outcome</w:t>
            </w:r>
          </w:p>
        </w:tc>
        <w:tc>
          <w:tcPr>
            <w:tcW w:w="2162" w:type="dxa"/>
            <w:tcBorders>
              <w:bottom w:val="single" w:sz="4" w:space="0" w:color="auto"/>
            </w:tcBorders>
            <w:vAlign w:val="bottom"/>
          </w:tcPr>
          <w:p w14:paraId="6AF469CE"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Spatial lag of the outcome</w:t>
            </w:r>
          </w:p>
        </w:tc>
        <w:tc>
          <w:tcPr>
            <w:tcW w:w="2163" w:type="dxa"/>
            <w:tcBorders>
              <w:bottom w:val="single" w:sz="4" w:space="0" w:color="auto"/>
            </w:tcBorders>
            <w:vAlign w:val="bottom"/>
          </w:tcPr>
          <w:p w14:paraId="3D8BEB76"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Spatial lag of the errors</w:t>
            </w:r>
          </w:p>
        </w:tc>
        <w:tc>
          <w:tcPr>
            <w:tcW w:w="2163" w:type="dxa"/>
            <w:tcBorders>
              <w:bottom w:val="single" w:sz="4" w:space="0" w:color="auto"/>
            </w:tcBorders>
            <w:vAlign w:val="bottom"/>
          </w:tcPr>
          <w:p w14:paraId="3BD4EFCD"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Standard panel model analysis</w:t>
            </w:r>
          </w:p>
        </w:tc>
      </w:tr>
      <w:tr w:rsidR="00A76408" w14:paraId="419641D9" w14:textId="77777777" w:rsidTr="00C45C74">
        <w:tc>
          <w:tcPr>
            <w:tcW w:w="2147" w:type="dxa"/>
            <w:tcBorders>
              <w:top w:val="single" w:sz="4" w:space="0" w:color="auto"/>
            </w:tcBorders>
          </w:tcPr>
          <w:p w14:paraId="6DCEC72D" w14:textId="77777777" w:rsidR="00A76408" w:rsidRPr="000803E2" w:rsidRDefault="00A76408" w:rsidP="00C45C74">
            <w:pPr>
              <w:spacing w:before="40"/>
              <w:rPr>
                <w:rFonts w:asciiTheme="majorBidi" w:hAnsiTheme="majorBidi" w:cstheme="majorBidi"/>
                <w:sz w:val="22"/>
                <w:szCs w:val="22"/>
              </w:rPr>
            </w:pPr>
            <w:r w:rsidRPr="000803E2">
              <w:rPr>
                <w:rFonts w:asciiTheme="majorBidi" w:hAnsiTheme="majorBidi" w:cstheme="majorBidi"/>
                <w:sz w:val="22"/>
                <w:szCs w:val="22"/>
              </w:rPr>
              <w:t>County is upgraded</w:t>
            </w:r>
          </w:p>
        </w:tc>
        <w:tc>
          <w:tcPr>
            <w:tcW w:w="2162" w:type="dxa"/>
            <w:tcBorders>
              <w:top w:val="single" w:sz="4" w:space="0" w:color="auto"/>
            </w:tcBorders>
          </w:tcPr>
          <w:p w14:paraId="30BC001C" w14:textId="77777777" w:rsidR="00A76408" w:rsidRPr="000803E2" w:rsidRDefault="00A76408" w:rsidP="00C45C74">
            <w:pPr>
              <w:tabs>
                <w:tab w:val="decimal" w:pos="964"/>
              </w:tabs>
              <w:spacing w:before="40"/>
              <w:rPr>
                <w:rFonts w:asciiTheme="majorBidi" w:hAnsiTheme="majorBidi" w:cstheme="majorBidi"/>
                <w:sz w:val="22"/>
                <w:szCs w:val="22"/>
              </w:rPr>
            </w:pPr>
            <w:r w:rsidRPr="000803E2">
              <w:rPr>
                <w:rFonts w:asciiTheme="majorBidi" w:hAnsiTheme="majorBidi" w:cstheme="majorBidi"/>
                <w:sz w:val="22"/>
                <w:szCs w:val="22"/>
              </w:rPr>
              <w:t>0.111***</w:t>
            </w:r>
          </w:p>
        </w:tc>
        <w:tc>
          <w:tcPr>
            <w:tcW w:w="2163" w:type="dxa"/>
            <w:tcBorders>
              <w:top w:val="single" w:sz="4" w:space="0" w:color="auto"/>
            </w:tcBorders>
          </w:tcPr>
          <w:p w14:paraId="375D0844" w14:textId="77777777" w:rsidR="00A76408" w:rsidRPr="000803E2" w:rsidRDefault="00A76408" w:rsidP="00C45C74">
            <w:pPr>
              <w:tabs>
                <w:tab w:val="decimal" w:pos="964"/>
              </w:tabs>
              <w:spacing w:before="40"/>
              <w:rPr>
                <w:rFonts w:asciiTheme="majorBidi" w:hAnsiTheme="majorBidi" w:cstheme="majorBidi"/>
                <w:sz w:val="22"/>
                <w:szCs w:val="22"/>
              </w:rPr>
            </w:pPr>
            <w:r w:rsidRPr="000803E2">
              <w:rPr>
                <w:rFonts w:asciiTheme="majorBidi" w:hAnsiTheme="majorBidi" w:cstheme="majorBidi"/>
                <w:sz w:val="22"/>
                <w:szCs w:val="22"/>
              </w:rPr>
              <w:t>0.093***</w:t>
            </w:r>
          </w:p>
        </w:tc>
        <w:tc>
          <w:tcPr>
            <w:tcW w:w="2162" w:type="dxa"/>
            <w:tcBorders>
              <w:top w:val="single" w:sz="4" w:space="0" w:color="auto"/>
            </w:tcBorders>
          </w:tcPr>
          <w:p w14:paraId="0712E73B" w14:textId="77777777" w:rsidR="00A76408" w:rsidRPr="000803E2" w:rsidRDefault="00A76408" w:rsidP="00C45C74">
            <w:pPr>
              <w:tabs>
                <w:tab w:val="decimal" w:pos="964"/>
              </w:tabs>
              <w:spacing w:before="40"/>
              <w:rPr>
                <w:rFonts w:asciiTheme="majorBidi" w:hAnsiTheme="majorBidi" w:cstheme="majorBidi"/>
                <w:sz w:val="22"/>
                <w:szCs w:val="22"/>
              </w:rPr>
            </w:pPr>
            <w:r w:rsidRPr="000803E2">
              <w:rPr>
                <w:rFonts w:asciiTheme="majorBidi" w:hAnsiTheme="majorBidi" w:cstheme="majorBidi"/>
                <w:sz w:val="22"/>
                <w:szCs w:val="22"/>
              </w:rPr>
              <w:t>0.095***</w:t>
            </w:r>
          </w:p>
        </w:tc>
        <w:tc>
          <w:tcPr>
            <w:tcW w:w="2163" w:type="dxa"/>
            <w:tcBorders>
              <w:top w:val="single" w:sz="4" w:space="0" w:color="auto"/>
            </w:tcBorders>
          </w:tcPr>
          <w:p w14:paraId="7B3D83B1" w14:textId="77777777" w:rsidR="00A76408" w:rsidRPr="000803E2" w:rsidRDefault="00A76408" w:rsidP="00C45C74">
            <w:pPr>
              <w:tabs>
                <w:tab w:val="decimal" w:pos="964"/>
              </w:tabs>
              <w:spacing w:before="40"/>
              <w:rPr>
                <w:rFonts w:asciiTheme="majorBidi" w:hAnsiTheme="majorBidi" w:cstheme="majorBidi"/>
                <w:sz w:val="22"/>
                <w:szCs w:val="22"/>
              </w:rPr>
            </w:pPr>
            <w:r w:rsidRPr="000803E2">
              <w:rPr>
                <w:rFonts w:asciiTheme="majorBidi" w:hAnsiTheme="majorBidi" w:cstheme="majorBidi"/>
                <w:sz w:val="22"/>
                <w:szCs w:val="22"/>
              </w:rPr>
              <w:t>0.079***</w:t>
            </w:r>
          </w:p>
        </w:tc>
        <w:tc>
          <w:tcPr>
            <w:tcW w:w="2163" w:type="dxa"/>
            <w:tcBorders>
              <w:top w:val="single" w:sz="4" w:space="0" w:color="auto"/>
            </w:tcBorders>
          </w:tcPr>
          <w:p w14:paraId="01F22586" w14:textId="77777777" w:rsidR="00A76408" w:rsidRPr="000803E2" w:rsidRDefault="00A76408" w:rsidP="00C45C74">
            <w:pPr>
              <w:tabs>
                <w:tab w:val="decimal" w:pos="964"/>
              </w:tabs>
              <w:spacing w:before="40"/>
              <w:rPr>
                <w:rFonts w:asciiTheme="majorBidi" w:hAnsiTheme="majorBidi" w:cstheme="majorBidi"/>
                <w:sz w:val="22"/>
                <w:szCs w:val="22"/>
              </w:rPr>
            </w:pPr>
            <w:r w:rsidRPr="000803E2">
              <w:rPr>
                <w:rFonts w:asciiTheme="majorBidi" w:hAnsiTheme="majorBidi" w:cstheme="majorBidi"/>
                <w:sz w:val="22"/>
                <w:szCs w:val="22"/>
              </w:rPr>
              <w:t>0.124***</w:t>
            </w:r>
          </w:p>
        </w:tc>
      </w:tr>
      <w:tr w:rsidR="00A76408" w14:paraId="452FA0D3" w14:textId="77777777" w:rsidTr="00C45C74">
        <w:tc>
          <w:tcPr>
            <w:tcW w:w="2147" w:type="dxa"/>
          </w:tcPr>
          <w:p w14:paraId="3C68F634" w14:textId="77777777" w:rsidR="00A76408" w:rsidRPr="000803E2" w:rsidRDefault="00A76408" w:rsidP="00C45C74">
            <w:pPr>
              <w:rPr>
                <w:rFonts w:asciiTheme="majorBidi" w:hAnsiTheme="majorBidi" w:cstheme="majorBidi"/>
                <w:sz w:val="22"/>
                <w:szCs w:val="22"/>
              </w:rPr>
            </w:pPr>
          </w:p>
        </w:tc>
        <w:tc>
          <w:tcPr>
            <w:tcW w:w="2162" w:type="dxa"/>
          </w:tcPr>
          <w:p w14:paraId="21BA079A"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(0.013)</w:t>
            </w:r>
          </w:p>
        </w:tc>
        <w:tc>
          <w:tcPr>
            <w:tcW w:w="2163" w:type="dxa"/>
          </w:tcPr>
          <w:p w14:paraId="78C26932"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(0.012)</w:t>
            </w:r>
          </w:p>
        </w:tc>
        <w:tc>
          <w:tcPr>
            <w:tcW w:w="2162" w:type="dxa"/>
          </w:tcPr>
          <w:p w14:paraId="554AA397"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(0.012)</w:t>
            </w:r>
          </w:p>
        </w:tc>
        <w:tc>
          <w:tcPr>
            <w:tcW w:w="2163" w:type="dxa"/>
          </w:tcPr>
          <w:p w14:paraId="2B72BE95"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(0.011)</w:t>
            </w:r>
          </w:p>
        </w:tc>
        <w:tc>
          <w:tcPr>
            <w:tcW w:w="2163" w:type="dxa"/>
          </w:tcPr>
          <w:p w14:paraId="6C063517"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(0.014)</w:t>
            </w:r>
          </w:p>
        </w:tc>
      </w:tr>
      <w:tr w:rsidR="00A76408" w14:paraId="1EDAFA76" w14:textId="77777777" w:rsidTr="00C45C74">
        <w:tc>
          <w:tcPr>
            <w:tcW w:w="2147" w:type="dxa"/>
          </w:tcPr>
          <w:p w14:paraId="4F39A707"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Average impacts:</w:t>
            </w:r>
          </w:p>
        </w:tc>
        <w:tc>
          <w:tcPr>
            <w:tcW w:w="2162" w:type="dxa"/>
          </w:tcPr>
          <w:p w14:paraId="71C9925A" w14:textId="77777777" w:rsidR="00A76408" w:rsidRPr="000803E2" w:rsidRDefault="00A76408" w:rsidP="00C45C74">
            <w:pPr>
              <w:tabs>
                <w:tab w:val="decimal" w:pos="964"/>
              </w:tabs>
              <w:rPr>
                <w:rFonts w:asciiTheme="majorBidi" w:hAnsiTheme="majorBidi" w:cstheme="majorBidi"/>
                <w:sz w:val="22"/>
                <w:szCs w:val="22"/>
              </w:rPr>
            </w:pPr>
          </w:p>
        </w:tc>
        <w:tc>
          <w:tcPr>
            <w:tcW w:w="2163" w:type="dxa"/>
          </w:tcPr>
          <w:p w14:paraId="5D008C97" w14:textId="77777777" w:rsidR="00A76408" w:rsidRPr="000803E2" w:rsidRDefault="00A76408" w:rsidP="00C45C74">
            <w:pPr>
              <w:tabs>
                <w:tab w:val="decimal" w:pos="964"/>
              </w:tabs>
              <w:rPr>
                <w:rFonts w:asciiTheme="majorBidi" w:hAnsiTheme="majorBidi" w:cstheme="majorBidi"/>
                <w:sz w:val="22"/>
                <w:szCs w:val="22"/>
              </w:rPr>
            </w:pPr>
          </w:p>
        </w:tc>
        <w:tc>
          <w:tcPr>
            <w:tcW w:w="2162" w:type="dxa"/>
          </w:tcPr>
          <w:p w14:paraId="791E6D78" w14:textId="77777777" w:rsidR="00A76408" w:rsidRPr="000803E2" w:rsidRDefault="00A76408" w:rsidP="00C45C74">
            <w:pPr>
              <w:tabs>
                <w:tab w:val="decimal" w:pos="964"/>
              </w:tabs>
              <w:rPr>
                <w:rFonts w:asciiTheme="majorBidi" w:hAnsiTheme="majorBidi" w:cstheme="majorBidi"/>
                <w:sz w:val="22"/>
                <w:szCs w:val="22"/>
              </w:rPr>
            </w:pPr>
          </w:p>
        </w:tc>
        <w:tc>
          <w:tcPr>
            <w:tcW w:w="2163" w:type="dxa"/>
          </w:tcPr>
          <w:p w14:paraId="1F5A9506" w14:textId="77777777" w:rsidR="00A76408" w:rsidRPr="000803E2" w:rsidRDefault="00A76408" w:rsidP="00C45C74">
            <w:pPr>
              <w:tabs>
                <w:tab w:val="decimal" w:pos="964"/>
              </w:tabs>
              <w:rPr>
                <w:rFonts w:asciiTheme="majorBidi" w:hAnsiTheme="majorBidi" w:cstheme="majorBidi"/>
                <w:sz w:val="22"/>
                <w:szCs w:val="22"/>
              </w:rPr>
            </w:pPr>
          </w:p>
        </w:tc>
        <w:tc>
          <w:tcPr>
            <w:tcW w:w="2163" w:type="dxa"/>
          </w:tcPr>
          <w:p w14:paraId="7113C78A" w14:textId="77777777" w:rsidR="00A76408" w:rsidRPr="000803E2" w:rsidRDefault="00A76408" w:rsidP="00C45C74">
            <w:pPr>
              <w:tabs>
                <w:tab w:val="decimal" w:pos="964"/>
              </w:tabs>
              <w:rPr>
                <w:rFonts w:asciiTheme="majorBidi" w:hAnsiTheme="majorBidi" w:cstheme="majorBidi"/>
                <w:sz w:val="22"/>
                <w:szCs w:val="22"/>
              </w:rPr>
            </w:pPr>
          </w:p>
        </w:tc>
      </w:tr>
      <w:tr w:rsidR="00A76408" w14:paraId="41ECCD9E" w14:textId="77777777" w:rsidTr="00C45C74">
        <w:tc>
          <w:tcPr>
            <w:tcW w:w="2147" w:type="dxa"/>
          </w:tcPr>
          <w:p w14:paraId="51C74820"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 xml:space="preserve">  Direct</w:t>
            </w:r>
          </w:p>
        </w:tc>
        <w:tc>
          <w:tcPr>
            <w:tcW w:w="2162" w:type="dxa"/>
          </w:tcPr>
          <w:p w14:paraId="6526C37F"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0.100***</w:t>
            </w:r>
          </w:p>
        </w:tc>
        <w:tc>
          <w:tcPr>
            <w:tcW w:w="2163" w:type="dxa"/>
          </w:tcPr>
          <w:p w14:paraId="1B26D11B"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0.111***</w:t>
            </w:r>
          </w:p>
        </w:tc>
        <w:tc>
          <w:tcPr>
            <w:tcW w:w="2162" w:type="dxa"/>
          </w:tcPr>
          <w:p w14:paraId="3B30B6DA"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0.104***</w:t>
            </w:r>
          </w:p>
        </w:tc>
        <w:tc>
          <w:tcPr>
            <w:tcW w:w="2163" w:type="dxa"/>
          </w:tcPr>
          <w:p w14:paraId="56E38BF5"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0.079***</w:t>
            </w:r>
          </w:p>
        </w:tc>
        <w:tc>
          <w:tcPr>
            <w:tcW w:w="2163" w:type="dxa"/>
          </w:tcPr>
          <w:p w14:paraId="727D09C5"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0.124***</w:t>
            </w:r>
          </w:p>
        </w:tc>
      </w:tr>
      <w:tr w:rsidR="00A76408" w14:paraId="67245600" w14:textId="77777777" w:rsidTr="00C45C74">
        <w:tc>
          <w:tcPr>
            <w:tcW w:w="2147" w:type="dxa"/>
          </w:tcPr>
          <w:p w14:paraId="3498F466" w14:textId="77777777" w:rsidR="00A76408" w:rsidRPr="000803E2" w:rsidRDefault="00A76408" w:rsidP="00C45C74">
            <w:pPr>
              <w:rPr>
                <w:rFonts w:asciiTheme="majorBidi" w:hAnsiTheme="majorBidi" w:cstheme="majorBidi"/>
                <w:sz w:val="22"/>
                <w:szCs w:val="22"/>
              </w:rPr>
            </w:pPr>
          </w:p>
        </w:tc>
        <w:tc>
          <w:tcPr>
            <w:tcW w:w="2162" w:type="dxa"/>
          </w:tcPr>
          <w:p w14:paraId="6AE4CA43"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(0.012)</w:t>
            </w:r>
          </w:p>
        </w:tc>
        <w:tc>
          <w:tcPr>
            <w:tcW w:w="2163" w:type="dxa"/>
          </w:tcPr>
          <w:p w14:paraId="66306B0B"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(0.013)</w:t>
            </w:r>
          </w:p>
        </w:tc>
        <w:tc>
          <w:tcPr>
            <w:tcW w:w="2162" w:type="dxa"/>
          </w:tcPr>
          <w:p w14:paraId="6A8764D4"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(0.013)</w:t>
            </w:r>
          </w:p>
        </w:tc>
        <w:tc>
          <w:tcPr>
            <w:tcW w:w="2163" w:type="dxa"/>
          </w:tcPr>
          <w:p w14:paraId="6733FF11"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(0.011)</w:t>
            </w:r>
          </w:p>
        </w:tc>
        <w:tc>
          <w:tcPr>
            <w:tcW w:w="2163" w:type="dxa"/>
          </w:tcPr>
          <w:p w14:paraId="50CD1826"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(0.014)</w:t>
            </w:r>
          </w:p>
        </w:tc>
      </w:tr>
      <w:tr w:rsidR="00A76408" w14:paraId="238BE8D7" w14:textId="77777777" w:rsidTr="00C45C74">
        <w:tc>
          <w:tcPr>
            <w:tcW w:w="2147" w:type="dxa"/>
          </w:tcPr>
          <w:p w14:paraId="780422ED"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 xml:space="preserve">  Indirect</w:t>
            </w:r>
          </w:p>
        </w:tc>
        <w:tc>
          <w:tcPr>
            <w:tcW w:w="2162" w:type="dxa"/>
          </w:tcPr>
          <w:p w14:paraId="51BCD1A3"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0.082***</w:t>
            </w:r>
          </w:p>
        </w:tc>
        <w:tc>
          <w:tcPr>
            <w:tcW w:w="2163" w:type="dxa"/>
          </w:tcPr>
          <w:p w14:paraId="53C337A6"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0.279***</w:t>
            </w:r>
          </w:p>
        </w:tc>
        <w:tc>
          <w:tcPr>
            <w:tcW w:w="2162" w:type="dxa"/>
          </w:tcPr>
          <w:p w14:paraId="033AC88E"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0.140***</w:t>
            </w:r>
          </w:p>
        </w:tc>
        <w:tc>
          <w:tcPr>
            <w:tcW w:w="2163" w:type="dxa"/>
          </w:tcPr>
          <w:p w14:paraId="012C9C9F"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n.a.</w:t>
            </w:r>
          </w:p>
        </w:tc>
        <w:tc>
          <w:tcPr>
            <w:tcW w:w="2163" w:type="dxa"/>
          </w:tcPr>
          <w:p w14:paraId="2781399C"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n.a.</w:t>
            </w:r>
          </w:p>
        </w:tc>
      </w:tr>
      <w:tr w:rsidR="00A76408" w14:paraId="1A0136E1" w14:textId="77777777" w:rsidTr="00C45C74">
        <w:tc>
          <w:tcPr>
            <w:tcW w:w="2147" w:type="dxa"/>
          </w:tcPr>
          <w:p w14:paraId="49703844" w14:textId="77777777" w:rsidR="00A76408" w:rsidRPr="000803E2" w:rsidRDefault="00A76408" w:rsidP="00C45C74">
            <w:pPr>
              <w:rPr>
                <w:rFonts w:asciiTheme="majorBidi" w:hAnsiTheme="majorBidi" w:cstheme="majorBidi"/>
                <w:sz w:val="22"/>
                <w:szCs w:val="22"/>
              </w:rPr>
            </w:pPr>
          </w:p>
        </w:tc>
        <w:tc>
          <w:tcPr>
            <w:tcW w:w="2162" w:type="dxa"/>
          </w:tcPr>
          <w:p w14:paraId="712B54B7"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(0.021)</w:t>
            </w:r>
          </w:p>
        </w:tc>
        <w:tc>
          <w:tcPr>
            <w:tcW w:w="2163" w:type="dxa"/>
          </w:tcPr>
          <w:p w14:paraId="265DE811"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(0.057)</w:t>
            </w:r>
          </w:p>
        </w:tc>
        <w:tc>
          <w:tcPr>
            <w:tcW w:w="2162" w:type="dxa"/>
          </w:tcPr>
          <w:p w14:paraId="7B9CAA1D"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(0.017)</w:t>
            </w:r>
          </w:p>
        </w:tc>
        <w:tc>
          <w:tcPr>
            <w:tcW w:w="2163" w:type="dxa"/>
          </w:tcPr>
          <w:p w14:paraId="443727DA" w14:textId="77777777" w:rsidR="00A76408" w:rsidRPr="000803E2" w:rsidRDefault="00A76408" w:rsidP="00C45C74">
            <w:pPr>
              <w:tabs>
                <w:tab w:val="decimal" w:pos="964"/>
              </w:tabs>
              <w:rPr>
                <w:rFonts w:asciiTheme="majorBidi" w:hAnsiTheme="majorBidi" w:cstheme="majorBidi"/>
                <w:sz w:val="22"/>
                <w:szCs w:val="22"/>
              </w:rPr>
            </w:pPr>
          </w:p>
        </w:tc>
        <w:tc>
          <w:tcPr>
            <w:tcW w:w="2163" w:type="dxa"/>
          </w:tcPr>
          <w:p w14:paraId="13009FDA" w14:textId="77777777" w:rsidR="00A76408" w:rsidRPr="000803E2" w:rsidRDefault="00A76408" w:rsidP="00C45C74">
            <w:pPr>
              <w:tabs>
                <w:tab w:val="decimal" w:pos="964"/>
              </w:tabs>
              <w:rPr>
                <w:rFonts w:asciiTheme="majorBidi" w:hAnsiTheme="majorBidi" w:cstheme="majorBidi"/>
                <w:sz w:val="22"/>
                <w:szCs w:val="22"/>
              </w:rPr>
            </w:pPr>
          </w:p>
        </w:tc>
      </w:tr>
      <w:tr w:rsidR="00A76408" w14:paraId="350C7DF5" w14:textId="77777777" w:rsidTr="00C45C74">
        <w:tc>
          <w:tcPr>
            <w:tcW w:w="2147" w:type="dxa"/>
          </w:tcPr>
          <w:p w14:paraId="3BA3108F"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 xml:space="preserve">  Total</w:t>
            </w:r>
          </w:p>
        </w:tc>
        <w:tc>
          <w:tcPr>
            <w:tcW w:w="2162" w:type="dxa"/>
          </w:tcPr>
          <w:p w14:paraId="79BF07FA"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0.183***</w:t>
            </w:r>
          </w:p>
        </w:tc>
        <w:tc>
          <w:tcPr>
            <w:tcW w:w="2163" w:type="dxa"/>
          </w:tcPr>
          <w:p w14:paraId="30A1ED58"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0.391***</w:t>
            </w:r>
          </w:p>
        </w:tc>
        <w:tc>
          <w:tcPr>
            <w:tcW w:w="2162" w:type="dxa"/>
          </w:tcPr>
          <w:p w14:paraId="4F1B159F"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0.244***</w:t>
            </w:r>
          </w:p>
        </w:tc>
        <w:tc>
          <w:tcPr>
            <w:tcW w:w="2163" w:type="dxa"/>
          </w:tcPr>
          <w:p w14:paraId="5D1947A2"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n.a.</w:t>
            </w:r>
          </w:p>
        </w:tc>
        <w:tc>
          <w:tcPr>
            <w:tcW w:w="2163" w:type="dxa"/>
          </w:tcPr>
          <w:p w14:paraId="2DDDE7A5"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n.a.</w:t>
            </w:r>
          </w:p>
        </w:tc>
      </w:tr>
      <w:tr w:rsidR="00A76408" w14:paraId="44B62DF0" w14:textId="77777777" w:rsidTr="00C45C74">
        <w:tc>
          <w:tcPr>
            <w:tcW w:w="2147" w:type="dxa"/>
          </w:tcPr>
          <w:p w14:paraId="3B48F1C0" w14:textId="77777777" w:rsidR="00A76408" w:rsidRPr="000803E2" w:rsidRDefault="00A76408" w:rsidP="00C45C74">
            <w:pPr>
              <w:rPr>
                <w:rFonts w:asciiTheme="majorBidi" w:hAnsiTheme="majorBidi" w:cstheme="majorBidi"/>
                <w:sz w:val="22"/>
                <w:szCs w:val="22"/>
              </w:rPr>
            </w:pPr>
          </w:p>
        </w:tc>
        <w:tc>
          <w:tcPr>
            <w:tcW w:w="2162" w:type="dxa"/>
          </w:tcPr>
          <w:p w14:paraId="786F331B"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(0.027)</w:t>
            </w:r>
          </w:p>
        </w:tc>
        <w:tc>
          <w:tcPr>
            <w:tcW w:w="2163" w:type="dxa"/>
          </w:tcPr>
          <w:p w14:paraId="5D088346"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(0.065)</w:t>
            </w:r>
          </w:p>
        </w:tc>
        <w:tc>
          <w:tcPr>
            <w:tcW w:w="2162" w:type="dxa"/>
          </w:tcPr>
          <w:p w14:paraId="2AA106FF" w14:textId="77777777" w:rsidR="00A76408" w:rsidRPr="000803E2" w:rsidRDefault="00A76408" w:rsidP="00C45C74">
            <w:pPr>
              <w:tabs>
                <w:tab w:val="decimal" w:pos="964"/>
              </w:tabs>
              <w:rPr>
                <w:rFonts w:asciiTheme="majorBidi" w:hAnsiTheme="majorBidi" w:cstheme="majorBidi"/>
                <w:sz w:val="22"/>
                <w:szCs w:val="22"/>
              </w:rPr>
            </w:pPr>
            <w:r w:rsidRPr="000803E2">
              <w:rPr>
                <w:rFonts w:asciiTheme="majorBidi" w:hAnsiTheme="majorBidi" w:cstheme="majorBidi"/>
                <w:sz w:val="22"/>
                <w:szCs w:val="22"/>
              </w:rPr>
              <w:t>(0.030)</w:t>
            </w:r>
          </w:p>
        </w:tc>
        <w:tc>
          <w:tcPr>
            <w:tcW w:w="2163" w:type="dxa"/>
          </w:tcPr>
          <w:p w14:paraId="7E96340F" w14:textId="77777777" w:rsidR="00A76408" w:rsidRPr="000803E2" w:rsidRDefault="00A76408" w:rsidP="00C45C74">
            <w:pPr>
              <w:tabs>
                <w:tab w:val="decimal" w:pos="964"/>
              </w:tabs>
              <w:rPr>
                <w:rFonts w:asciiTheme="majorBidi" w:hAnsiTheme="majorBidi" w:cstheme="majorBidi"/>
                <w:sz w:val="22"/>
                <w:szCs w:val="22"/>
              </w:rPr>
            </w:pPr>
          </w:p>
        </w:tc>
        <w:tc>
          <w:tcPr>
            <w:tcW w:w="2163" w:type="dxa"/>
          </w:tcPr>
          <w:p w14:paraId="635811F7" w14:textId="77777777" w:rsidR="00A76408" w:rsidRPr="000803E2" w:rsidRDefault="00A76408" w:rsidP="00C45C74">
            <w:pPr>
              <w:tabs>
                <w:tab w:val="decimal" w:pos="964"/>
              </w:tabs>
              <w:rPr>
                <w:rFonts w:asciiTheme="majorBidi" w:hAnsiTheme="majorBidi" w:cstheme="majorBidi"/>
                <w:sz w:val="22"/>
                <w:szCs w:val="22"/>
              </w:rPr>
            </w:pPr>
          </w:p>
        </w:tc>
      </w:tr>
      <w:tr w:rsidR="00A76408" w14:paraId="3A0EACD4" w14:textId="77777777" w:rsidTr="00C45C74">
        <w:tc>
          <w:tcPr>
            <w:tcW w:w="2147" w:type="dxa"/>
          </w:tcPr>
          <w:p w14:paraId="1C0D17AC" w14:textId="77777777" w:rsidR="00A76408" w:rsidRPr="000803E2" w:rsidRDefault="00A76408" w:rsidP="00C45C74">
            <w:pPr>
              <w:rPr>
                <w:rFonts w:asciiTheme="majorBidi" w:hAnsiTheme="majorBidi" w:cstheme="majorBidi"/>
                <w:sz w:val="22"/>
                <w:szCs w:val="22"/>
              </w:rPr>
            </w:pPr>
          </w:p>
        </w:tc>
        <w:tc>
          <w:tcPr>
            <w:tcW w:w="2162" w:type="dxa"/>
          </w:tcPr>
          <w:p w14:paraId="3D51DFE6" w14:textId="77777777" w:rsidR="00A76408" w:rsidRPr="007B34F8" w:rsidRDefault="00A76408" w:rsidP="00C45C74">
            <w:pPr>
              <w:jc w:val="center"/>
              <w:rPr>
                <w:rFonts w:asciiTheme="majorBidi" w:hAnsiTheme="majorBidi" w:cstheme="majorBidi"/>
              </w:rPr>
            </w:pPr>
          </w:p>
        </w:tc>
        <w:tc>
          <w:tcPr>
            <w:tcW w:w="2163" w:type="dxa"/>
          </w:tcPr>
          <w:p w14:paraId="09076029" w14:textId="77777777" w:rsidR="00A76408" w:rsidRDefault="00A76408" w:rsidP="00C45C74">
            <w:pPr>
              <w:jc w:val="center"/>
            </w:pPr>
          </w:p>
        </w:tc>
        <w:tc>
          <w:tcPr>
            <w:tcW w:w="2162" w:type="dxa"/>
          </w:tcPr>
          <w:p w14:paraId="7B00C40E" w14:textId="77777777" w:rsidR="00A76408" w:rsidRDefault="00A76408" w:rsidP="00C45C74">
            <w:pPr>
              <w:jc w:val="center"/>
            </w:pPr>
          </w:p>
        </w:tc>
        <w:tc>
          <w:tcPr>
            <w:tcW w:w="2163" w:type="dxa"/>
          </w:tcPr>
          <w:p w14:paraId="676E5202" w14:textId="77777777" w:rsidR="00A76408" w:rsidRDefault="00A76408" w:rsidP="00C45C74">
            <w:pPr>
              <w:jc w:val="center"/>
            </w:pPr>
          </w:p>
        </w:tc>
        <w:tc>
          <w:tcPr>
            <w:tcW w:w="2163" w:type="dxa"/>
          </w:tcPr>
          <w:p w14:paraId="0E4CF98F" w14:textId="77777777" w:rsidR="00A76408" w:rsidRDefault="00A76408" w:rsidP="00C45C74">
            <w:pPr>
              <w:jc w:val="center"/>
            </w:pPr>
          </w:p>
        </w:tc>
      </w:tr>
      <w:tr w:rsidR="00A76408" w14:paraId="745D1F5A" w14:textId="77777777" w:rsidTr="00C45C74">
        <w:tc>
          <w:tcPr>
            <w:tcW w:w="2147" w:type="dxa"/>
          </w:tcPr>
          <w:p w14:paraId="60091E99"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County fixed effects</w:t>
            </w:r>
          </w:p>
        </w:tc>
        <w:tc>
          <w:tcPr>
            <w:tcW w:w="2162" w:type="dxa"/>
          </w:tcPr>
          <w:p w14:paraId="58E7CEC3"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4FF4005B"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2" w:type="dxa"/>
          </w:tcPr>
          <w:p w14:paraId="5EBE8404"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4DDB68F1" w14:textId="77777777" w:rsidR="00A76408" w:rsidRPr="000803E2" w:rsidRDefault="00A76408" w:rsidP="00C45C74">
            <w:pPr>
              <w:jc w:val="center"/>
              <w:rPr>
                <w:sz w:val="22"/>
                <w:szCs w:val="22"/>
              </w:rPr>
            </w:pPr>
            <w:r w:rsidRPr="000803E2">
              <w:rPr>
                <w:rFonts w:asciiTheme="majorBidi" w:hAnsiTheme="majorBidi" w:cstheme="majorBidi"/>
                <w:sz w:val="22"/>
                <w:szCs w:val="22"/>
              </w:rPr>
              <w:t>Yes</w:t>
            </w:r>
          </w:p>
        </w:tc>
        <w:tc>
          <w:tcPr>
            <w:tcW w:w="2163" w:type="dxa"/>
          </w:tcPr>
          <w:p w14:paraId="7555B712" w14:textId="77777777" w:rsidR="00A76408" w:rsidRPr="000803E2" w:rsidRDefault="00A76408" w:rsidP="00C45C74">
            <w:pPr>
              <w:jc w:val="center"/>
              <w:rPr>
                <w:sz w:val="22"/>
                <w:szCs w:val="22"/>
              </w:rPr>
            </w:pPr>
            <w:r w:rsidRPr="000803E2">
              <w:rPr>
                <w:rFonts w:asciiTheme="majorBidi" w:hAnsiTheme="majorBidi" w:cstheme="majorBidi"/>
                <w:sz w:val="22"/>
                <w:szCs w:val="22"/>
              </w:rPr>
              <w:t>Yes</w:t>
            </w:r>
          </w:p>
        </w:tc>
      </w:tr>
      <w:tr w:rsidR="00A76408" w14:paraId="59B52B94" w14:textId="77777777" w:rsidTr="00C45C74">
        <w:tc>
          <w:tcPr>
            <w:tcW w:w="2147" w:type="dxa"/>
          </w:tcPr>
          <w:p w14:paraId="3388BC9A"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Year fixed effects</w:t>
            </w:r>
          </w:p>
        </w:tc>
        <w:tc>
          <w:tcPr>
            <w:tcW w:w="2162" w:type="dxa"/>
          </w:tcPr>
          <w:p w14:paraId="1FB831FE"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7862B323"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2" w:type="dxa"/>
          </w:tcPr>
          <w:p w14:paraId="7D7F4C0F"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1795CF84" w14:textId="77777777" w:rsidR="00A76408" w:rsidRPr="000803E2" w:rsidRDefault="00A76408" w:rsidP="00C45C74">
            <w:pPr>
              <w:jc w:val="center"/>
              <w:rPr>
                <w:sz w:val="22"/>
                <w:szCs w:val="22"/>
              </w:rPr>
            </w:pPr>
            <w:r w:rsidRPr="000803E2">
              <w:rPr>
                <w:rFonts w:asciiTheme="majorBidi" w:hAnsiTheme="majorBidi" w:cstheme="majorBidi"/>
                <w:sz w:val="22"/>
                <w:szCs w:val="22"/>
              </w:rPr>
              <w:t>Yes</w:t>
            </w:r>
          </w:p>
        </w:tc>
        <w:tc>
          <w:tcPr>
            <w:tcW w:w="2163" w:type="dxa"/>
          </w:tcPr>
          <w:p w14:paraId="6946BC5D" w14:textId="77777777" w:rsidR="00A76408" w:rsidRPr="000803E2" w:rsidRDefault="00A76408" w:rsidP="00C45C74">
            <w:pPr>
              <w:jc w:val="center"/>
              <w:rPr>
                <w:sz w:val="22"/>
                <w:szCs w:val="22"/>
              </w:rPr>
            </w:pPr>
            <w:r w:rsidRPr="000803E2">
              <w:rPr>
                <w:rFonts w:asciiTheme="majorBidi" w:hAnsiTheme="majorBidi" w:cstheme="majorBidi"/>
                <w:sz w:val="22"/>
                <w:szCs w:val="22"/>
              </w:rPr>
              <w:t>Yes</w:t>
            </w:r>
          </w:p>
        </w:tc>
      </w:tr>
      <w:tr w:rsidR="00A76408" w14:paraId="73B48E33" w14:textId="77777777" w:rsidTr="00C45C74">
        <w:tc>
          <w:tcPr>
            <w:tcW w:w="2147" w:type="dxa"/>
          </w:tcPr>
          <w:p w14:paraId="1655A6E8"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Spatial lag: upgraded</w:t>
            </w:r>
          </w:p>
        </w:tc>
        <w:tc>
          <w:tcPr>
            <w:tcW w:w="2162" w:type="dxa"/>
          </w:tcPr>
          <w:p w14:paraId="6EF0D976"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28D37323"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2" w:type="dxa"/>
          </w:tcPr>
          <w:p w14:paraId="52F4D583"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No</w:t>
            </w:r>
          </w:p>
        </w:tc>
        <w:tc>
          <w:tcPr>
            <w:tcW w:w="2163" w:type="dxa"/>
          </w:tcPr>
          <w:p w14:paraId="15AFED97" w14:textId="77777777" w:rsidR="00A76408" w:rsidRPr="000803E2" w:rsidRDefault="00A76408" w:rsidP="00C45C74">
            <w:pPr>
              <w:jc w:val="center"/>
              <w:rPr>
                <w:sz w:val="22"/>
                <w:szCs w:val="22"/>
              </w:rPr>
            </w:pPr>
            <w:r w:rsidRPr="000803E2">
              <w:rPr>
                <w:rFonts w:asciiTheme="majorBidi" w:hAnsiTheme="majorBidi" w:cstheme="majorBidi"/>
                <w:sz w:val="22"/>
                <w:szCs w:val="22"/>
              </w:rPr>
              <w:t>No</w:t>
            </w:r>
          </w:p>
        </w:tc>
        <w:tc>
          <w:tcPr>
            <w:tcW w:w="2163" w:type="dxa"/>
          </w:tcPr>
          <w:p w14:paraId="193A7C05" w14:textId="77777777" w:rsidR="00A76408" w:rsidRPr="000803E2" w:rsidRDefault="00A76408" w:rsidP="00C45C74">
            <w:pPr>
              <w:jc w:val="center"/>
              <w:rPr>
                <w:sz w:val="22"/>
                <w:szCs w:val="22"/>
              </w:rPr>
            </w:pPr>
            <w:r w:rsidRPr="000803E2">
              <w:rPr>
                <w:rFonts w:asciiTheme="majorBidi" w:hAnsiTheme="majorBidi" w:cstheme="majorBidi"/>
                <w:sz w:val="22"/>
                <w:szCs w:val="22"/>
              </w:rPr>
              <w:t>No</w:t>
            </w:r>
          </w:p>
        </w:tc>
      </w:tr>
      <w:tr w:rsidR="00A76408" w14:paraId="5BBD4988" w14:textId="77777777" w:rsidTr="00C45C74">
        <w:tc>
          <w:tcPr>
            <w:tcW w:w="2147" w:type="dxa"/>
          </w:tcPr>
          <w:p w14:paraId="70C0382E"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Spatial lag: output</w:t>
            </w:r>
          </w:p>
        </w:tc>
        <w:tc>
          <w:tcPr>
            <w:tcW w:w="2162" w:type="dxa"/>
          </w:tcPr>
          <w:p w14:paraId="19382E15"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1B4C885D"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2" w:type="dxa"/>
          </w:tcPr>
          <w:p w14:paraId="62181C1E"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51FB9DEA" w14:textId="77777777" w:rsidR="00A76408" w:rsidRPr="000803E2" w:rsidRDefault="00A76408" w:rsidP="00C45C74">
            <w:pPr>
              <w:jc w:val="center"/>
              <w:rPr>
                <w:sz w:val="22"/>
                <w:szCs w:val="22"/>
              </w:rPr>
            </w:pPr>
            <w:r w:rsidRPr="000803E2">
              <w:rPr>
                <w:rFonts w:asciiTheme="majorBidi" w:hAnsiTheme="majorBidi" w:cstheme="majorBidi"/>
                <w:sz w:val="22"/>
                <w:szCs w:val="22"/>
              </w:rPr>
              <w:t>No</w:t>
            </w:r>
          </w:p>
        </w:tc>
        <w:tc>
          <w:tcPr>
            <w:tcW w:w="2163" w:type="dxa"/>
          </w:tcPr>
          <w:p w14:paraId="3CE5ECE1" w14:textId="77777777" w:rsidR="00A76408" w:rsidRPr="000803E2" w:rsidRDefault="00A76408" w:rsidP="00C45C74">
            <w:pPr>
              <w:jc w:val="center"/>
              <w:rPr>
                <w:sz w:val="22"/>
                <w:szCs w:val="22"/>
              </w:rPr>
            </w:pPr>
            <w:r w:rsidRPr="000803E2">
              <w:rPr>
                <w:rFonts w:asciiTheme="majorBidi" w:hAnsiTheme="majorBidi" w:cstheme="majorBidi"/>
                <w:sz w:val="22"/>
                <w:szCs w:val="22"/>
              </w:rPr>
              <w:t>No</w:t>
            </w:r>
          </w:p>
        </w:tc>
      </w:tr>
      <w:tr w:rsidR="00A76408" w14:paraId="7419BCB2" w14:textId="77777777" w:rsidTr="00C45C74">
        <w:tc>
          <w:tcPr>
            <w:tcW w:w="2147" w:type="dxa"/>
          </w:tcPr>
          <w:p w14:paraId="07BABF6D"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Spatial lag: errors</w:t>
            </w:r>
          </w:p>
        </w:tc>
        <w:tc>
          <w:tcPr>
            <w:tcW w:w="2162" w:type="dxa"/>
          </w:tcPr>
          <w:p w14:paraId="224E63FC"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345E748B"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No</w:t>
            </w:r>
          </w:p>
        </w:tc>
        <w:tc>
          <w:tcPr>
            <w:tcW w:w="2162" w:type="dxa"/>
          </w:tcPr>
          <w:p w14:paraId="26A9C29A"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No</w:t>
            </w:r>
          </w:p>
        </w:tc>
        <w:tc>
          <w:tcPr>
            <w:tcW w:w="2163" w:type="dxa"/>
          </w:tcPr>
          <w:p w14:paraId="599B5A12"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Yes</w:t>
            </w:r>
          </w:p>
        </w:tc>
        <w:tc>
          <w:tcPr>
            <w:tcW w:w="2163" w:type="dxa"/>
          </w:tcPr>
          <w:p w14:paraId="37DB535C" w14:textId="77777777" w:rsidR="00A76408" w:rsidRPr="000803E2" w:rsidRDefault="00A76408" w:rsidP="00C45C74">
            <w:pPr>
              <w:jc w:val="center"/>
              <w:rPr>
                <w:rFonts w:asciiTheme="majorBidi" w:hAnsiTheme="majorBidi" w:cstheme="majorBidi"/>
                <w:sz w:val="22"/>
                <w:szCs w:val="22"/>
              </w:rPr>
            </w:pPr>
            <w:r w:rsidRPr="000803E2">
              <w:rPr>
                <w:rFonts w:asciiTheme="majorBidi" w:hAnsiTheme="majorBidi" w:cstheme="majorBidi"/>
                <w:sz w:val="22"/>
                <w:szCs w:val="22"/>
              </w:rPr>
              <w:t>No</w:t>
            </w:r>
          </w:p>
        </w:tc>
      </w:tr>
      <w:tr w:rsidR="00A76408" w:rsidRPr="001E17C6" w14:paraId="684971B9" w14:textId="77777777" w:rsidTr="00C45C74">
        <w:tc>
          <w:tcPr>
            <w:tcW w:w="2147" w:type="dxa"/>
          </w:tcPr>
          <w:p w14:paraId="1A68F56C" w14:textId="77777777" w:rsidR="00A76408" w:rsidRPr="000803E2" w:rsidRDefault="00A76408" w:rsidP="00C45C74">
            <w:pPr>
              <w:rPr>
                <w:rFonts w:asciiTheme="majorBidi" w:hAnsiTheme="majorBidi" w:cstheme="majorBidi"/>
                <w:sz w:val="6"/>
                <w:szCs w:val="6"/>
              </w:rPr>
            </w:pPr>
          </w:p>
        </w:tc>
        <w:tc>
          <w:tcPr>
            <w:tcW w:w="2162" w:type="dxa"/>
          </w:tcPr>
          <w:p w14:paraId="479BF458" w14:textId="77777777" w:rsidR="00A76408" w:rsidRPr="000803E2" w:rsidRDefault="00A76408" w:rsidP="00C45C74">
            <w:pPr>
              <w:jc w:val="center"/>
              <w:rPr>
                <w:rFonts w:asciiTheme="majorBidi" w:hAnsiTheme="majorBidi" w:cstheme="majorBidi"/>
                <w:sz w:val="6"/>
                <w:szCs w:val="6"/>
              </w:rPr>
            </w:pPr>
          </w:p>
        </w:tc>
        <w:tc>
          <w:tcPr>
            <w:tcW w:w="2163" w:type="dxa"/>
          </w:tcPr>
          <w:p w14:paraId="44F9B214" w14:textId="77777777" w:rsidR="00A76408" w:rsidRPr="000803E2" w:rsidRDefault="00A76408" w:rsidP="00C45C74">
            <w:pPr>
              <w:jc w:val="center"/>
              <w:rPr>
                <w:rFonts w:asciiTheme="majorBidi" w:hAnsiTheme="majorBidi" w:cstheme="majorBidi"/>
                <w:sz w:val="6"/>
                <w:szCs w:val="6"/>
              </w:rPr>
            </w:pPr>
          </w:p>
        </w:tc>
        <w:tc>
          <w:tcPr>
            <w:tcW w:w="2162" w:type="dxa"/>
          </w:tcPr>
          <w:p w14:paraId="3A318880" w14:textId="77777777" w:rsidR="00A76408" w:rsidRPr="000803E2" w:rsidRDefault="00A76408" w:rsidP="00C45C74">
            <w:pPr>
              <w:jc w:val="center"/>
              <w:rPr>
                <w:rFonts w:asciiTheme="majorBidi" w:hAnsiTheme="majorBidi" w:cstheme="majorBidi"/>
                <w:sz w:val="6"/>
                <w:szCs w:val="6"/>
              </w:rPr>
            </w:pPr>
          </w:p>
        </w:tc>
        <w:tc>
          <w:tcPr>
            <w:tcW w:w="2163" w:type="dxa"/>
          </w:tcPr>
          <w:p w14:paraId="194E6B2C" w14:textId="77777777" w:rsidR="00A76408" w:rsidRPr="000803E2" w:rsidRDefault="00A76408" w:rsidP="00C45C74">
            <w:pPr>
              <w:jc w:val="center"/>
              <w:rPr>
                <w:rFonts w:asciiTheme="majorBidi" w:hAnsiTheme="majorBidi" w:cstheme="majorBidi"/>
                <w:sz w:val="6"/>
                <w:szCs w:val="6"/>
              </w:rPr>
            </w:pPr>
          </w:p>
        </w:tc>
        <w:tc>
          <w:tcPr>
            <w:tcW w:w="2163" w:type="dxa"/>
          </w:tcPr>
          <w:p w14:paraId="70723433" w14:textId="77777777" w:rsidR="00A76408" w:rsidRPr="000803E2" w:rsidRDefault="00A76408" w:rsidP="00C45C74">
            <w:pPr>
              <w:jc w:val="center"/>
              <w:rPr>
                <w:rFonts w:asciiTheme="majorBidi" w:hAnsiTheme="majorBidi" w:cstheme="majorBidi"/>
                <w:sz w:val="6"/>
                <w:szCs w:val="6"/>
              </w:rPr>
            </w:pPr>
          </w:p>
        </w:tc>
      </w:tr>
      <w:tr w:rsidR="00A76408" w14:paraId="692A0A8E" w14:textId="77777777" w:rsidTr="00C45C74">
        <w:tc>
          <w:tcPr>
            <w:tcW w:w="2147" w:type="dxa"/>
          </w:tcPr>
          <w:p w14:paraId="649CC74E"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All covariates = 0</w:t>
            </w:r>
          </w:p>
        </w:tc>
        <w:tc>
          <w:tcPr>
            <w:tcW w:w="2162" w:type="dxa"/>
          </w:tcPr>
          <w:p w14:paraId="6D96FA43"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=4573***</w:t>
            </w:r>
          </w:p>
        </w:tc>
        <w:tc>
          <w:tcPr>
            <w:tcW w:w="2163" w:type="dxa"/>
          </w:tcPr>
          <w:p w14:paraId="540BD101"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=73633***</w:t>
            </w:r>
          </w:p>
        </w:tc>
        <w:tc>
          <w:tcPr>
            <w:tcW w:w="2162" w:type="dxa"/>
          </w:tcPr>
          <w:p w14:paraId="645DE628"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=73632***</w:t>
            </w:r>
          </w:p>
        </w:tc>
        <w:tc>
          <w:tcPr>
            <w:tcW w:w="2163" w:type="dxa"/>
          </w:tcPr>
          <w:p w14:paraId="015381B9"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=8291***</w:t>
            </w:r>
          </w:p>
        </w:tc>
        <w:tc>
          <w:tcPr>
            <w:tcW w:w="2163" w:type="dxa"/>
          </w:tcPr>
          <w:p w14:paraId="7BA44CFA"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=38300***</w:t>
            </w:r>
          </w:p>
        </w:tc>
      </w:tr>
      <w:tr w:rsidR="00A76408" w14:paraId="57D5BA3E" w14:textId="77777777" w:rsidTr="00C45C74">
        <w:tc>
          <w:tcPr>
            <w:tcW w:w="2147" w:type="dxa"/>
            <w:tcBorders>
              <w:bottom w:val="single" w:sz="4" w:space="0" w:color="auto"/>
            </w:tcBorders>
          </w:tcPr>
          <w:p w14:paraId="0CE3D902" w14:textId="77777777" w:rsidR="00A76408" w:rsidRPr="000803E2" w:rsidRDefault="00A76408" w:rsidP="00C45C74">
            <w:pPr>
              <w:rPr>
                <w:rFonts w:asciiTheme="majorBidi" w:hAnsiTheme="majorBidi" w:cstheme="majorBidi"/>
                <w:sz w:val="22"/>
                <w:szCs w:val="22"/>
              </w:rPr>
            </w:pPr>
            <w:r w:rsidRPr="000803E2">
              <w:rPr>
                <w:rFonts w:asciiTheme="majorBidi" w:hAnsiTheme="majorBidi" w:cstheme="majorBidi"/>
                <w:sz w:val="22"/>
                <w:szCs w:val="22"/>
              </w:rPr>
              <w:t>Nesting restrictions</w:t>
            </w:r>
          </w:p>
        </w:tc>
        <w:tc>
          <w:tcPr>
            <w:tcW w:w="2162" w:type="dxa"/>
            <w:tcBorders>
              <w:bottom w:val="single" w:sz="4" w:space="0" w:color="auto"/>
            </w:tcBorders>
          </w:tcPr>
          <w:p w14:paraId="1C08D907"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t>n.a.</w:t>
            </w:r>
          </w:p>
        </w:tc>
        <w:tc>
          <w:tcPr>
            <w:tcW w:w="2163" w:type="dxa"/>
            <w:tcBorders>
              <w:bottom w:val="single" w:sz="4" w:space="0" w:color="auto"/>
            </w:tcBorders>
          </w:tcPr>
          <w:p w14:paraId="1A7A96F8"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=46752***</w:t>
            </w:r>
          </w:p>
        </w:tc>
        <w:tc>
          <w:tcPr>
            <w:tcW w:w="2162" w:type="dxa"/>
            <w:tcBorders>
              <w:bottom w:val="single" w:sz="4" w:space="0" w:color="auto"/>
            </w:tcBorders>
          </w:tcPr>
          <w:p w14:paraId="6BFE6F20"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=46757***</w:t>
            </w:r>
          </w:p>
        </w:tc>
        <w:tc>
          <w:tcPr>
            <w:tcW w:w="2163" w:type="dxa"/>
            <w:tcBorders>
              <w:bottom w:val="single" w:sz="4" w:space="0" w:color="auto"/>
            </w:tcBorders>
          </w:tcPr>
          <w:p w14:paraId="1AF9FFF6"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=2441***</w:t>
            </w:r>
          </w:p>
        </w:tc>
        <w:tc>
          <w:tcPr>
            <w:tcW w:w="2163" w:type="dxa"/>
            <w:tcBorders>
              <w:bottom w:val="single" w:sz="4" w:space="0" w:color="auto"/>
            </w:tcBorders>
          </w:tcPr>
          <w:p w14:paraId="03DD320C" w14:textId="77777777" w:rsidR="00A76408" w:rsidRPr="0037621D" w:rsidRDefault="00A76408" w:rsidP="00C45C74">
            <w:pPr>
              <w:jc w:val="center"/>
              <w:rPr>
                <w:rFonts w:asciiTheme="majorBidi" w:hAnsiTheme="majorBidi" w:cstheme="majorBidi"/>
                <w:sz w:val="22"/>
                <w:szCs w:val="22"/>
              </w:rPr>
            </w:pPr>
            <w:r w:rsidRPr="0037621D">
              <w:rPr>
                <w:rFonts w:asciiTheme="majorBidi" w:hAnsiTheme="majorBidi" w:cstheme="majorBidi"/>
                <w:sz w:val="22"/>
                <w:szCs w:val="22"/>
              </w:rPr>
              <w:sym w:font="Symbol" w:char="F063"/>
            </w:r>
            <w:r w:rsidRPr="0037621D">
              <w:rPr>
                <w:rFonts w:asciiTheme="majorBidi" w:hAnsiTheme="majorBidi" w:cstheme="majorBidi"/>
                <w:sz w:val="22"/>
                <w:szCs w:val="22"/>
                <w:vertAlign w:val="superscript"/>
              </w:rPr>
              <w:t>2</w:t>
            </w:r>
            <w:r w:rsidRPr="0037621D">
              <w:rPr>
                <w:rFonts w:asciiTheme="majorBidi" w:hAnsiTheme="majorBidi" w:cstheme="majorBidi"/>
                <w:sz w:val="22"/>
                <w:szCs w:val="22"/>
              </w:rPr>
              <w:t>=70072***</w:t>
            </w:r>
          </w:p>
        </w:tc>
      </w:tr>
      <w:tr w:rsidR="00A76408" w14:paraId="45E079F4" w14:textId="77777777" w:rsidTr="00C45C74">
        <w:tc>
          <w:tcPr>
            <w:tcW w:w="12960" w:type="dxa"/>
            <w:gridSpan w:val="6"/>
            <w:tcBorders>
              <w:top w:val="single" w:sz="4" w:space="0" w:color="auto"/>
            </w:tcBorders>
          </w:tcPr>
          <w:p w14:paraId="3D56CC18" w14:textId="77777777" w:rsidR="00A76408" w:rsidRPr="007B34F8" w:rsidRDefault="00A76408" w:rsidP="00C45C74">
            <w:pPr>
              <w:spacing w:before="40"/>
              <w:rPr>
                <w:rFonts w:asciiTheme="majorBidi" w:hAnsiTheme="majorBidi" w:cstheme="majorBidi"/>
                <w:sz w:val="20"/>
                <w:szCs w:val="20"/>
              </w:rPr>
            </w:pPr>
            <w:r>
              <w:rPr>
                <w:rFonts w:asciiTheme="majorBidi" w:hAnsiTheme="majorBidi" w:cstheme="majorBidi"/>
                <w:i/>
                <w:iCs/>
                <w:sz w:val="20"/>
                <w:szCs w:val="20"/>
              </w:rPr>
              <w:t xml:space="preserve">Note: </w:t>
            </w:r>
            <w:r>
              <w:rPr>
                <w:rFonts w:asciiTheme="majorBidi" w:hAnsiTheme="majorBidi" w:cstheme="majorBidi"/>
                <w:sz w:val="20"/>
                <w:szCs w:val="20"/>
              </w:rPr>
              <w:t xml:space="preserve">The sample period is 2000-2019, for 2342 county-level units, giving an estimation sample of n=46,840. Coefficients for the fixed effects and the spatial lags are not reported. The decomposition of average impacts into direct, indirect and total components is based on LeSage and Pace (2009). The nesting restrictions are imposed on the SARAR model in column (1) to derive the models in columns (2) to (5) Standard errors are in ( ), with statistical significance at the 1%, 5% and 10% level denoted by </w:t>
            </w:r>
            <w:r w:rsidRPr="006B55F3">
              <w:rPr>
                <w:rFonts w:asciiTheme="majorBidi" w:hAnsiTheme="majorBidi" w:cstheme="majorBidi"/>
                <w:sz w:val="18"/>
                <w:szCs w:val="18"/>
              </w:rPr>
              <w:t>***</w:t>
            </w:r>
            <w:r>
              <w:rPr>
                <w:rFonts w:asciiTheme="majorBidi" w:hAnsiTheme="majorBidi" w:cstheme="majorBidi"/>
                <w:sz w:val="20"/>
                <w:szCs w:val="20"/>
              </w:rPr>
              <w:t xml:space="preserve">, </w:t>
            </w:r>
            <w:r w:rsidRPr="006B55F3">
              <w:rPr>
                <w:rFonts w:asciiTheme="majorBidi" w:hAnsiTheme="majorBidi" w:cstheme="majorBidi"/>
                <w:sz w:val="18"/>
                <w:szCs w:val="18"/>
              </w:rPr>
              <w:t>**</w:t>
            </w:r>
            <w:r>
              <w:rPr>
                <w:rFonts w:asciiTheme="majorBidi" w:hAnsiTheme="majorBidi" w:cstheme="majorBidi"/>
                <w:sz w:val="20"/>
                <w:szCs w:val="20"/>
              </w:rPr>
              <w:t xml:space="preserve">, </w:t>
            </w:r>
            <w:r w:rsidRPr="006B55F3">
              <w:rPr>
                <w:rFonts w:asciiTheme="majorBidi" w:hAnsiTheme="majorBidi" w:cstheme="majorBidi"/>
                <w:sz w:val="18"/>
                <w:szCs w:val="18"/>
              </w:rPr>
              <w:t>*</w:t>
            </w:r>
            <w:r>
              <w:rPr>
                <w:rFonts w:asciiTheme="majorBidi" w:hAnsiTheme="majorBidi" w:cstheme="majorBidi"/>
                <w:sz w:val="20"/>
                <w:szCs w:val="20"/>
              </w:rPr>
              <w:t>.</w:t>
            </w:r>
          </w:p>
        </w:tc>
      </w:tr>
    </w:tbl>
    <w:p w14:paraId="4FB3592F" w14:textId="77777777" w:rsidR="00A76408" w:rsidRDefault="00A76408" w:rsidP="00A76408">
      <w:pPr>
        <w:spacing w:after="0" w:line="240" w:lineRule="auto"/>
        <w:rPr>
          <w:bCs/>
          <w:sz w:val="4"/>
          <w:szCs w:val="4"/>
        </w:rPr>
      </w:pPr>
    </w:p>
    <w:p w14:paraId="7961DDF7" w14:textId="2E3FFA8C" w:rsidR="00A76408" w:rsidRDefault="00A76408" w:rsidP="00E42EC9">
      <w:pPr>
        <w:widowControl w:val="0"/>
        <w:spacing w:before="80" w:after="80" w:line="360" w:lineRule="auto"/>
        <w:jc w:val="both"/>
        <w:rPr>
          <w:rFonts w:asciiTheme="majorBidi" w:hAnsiTheme="majorBidi" w:cstheme="majorBidi"/>
        </w:rPr>
      </w:pPr>
    </w:p>
    <w:p w14:paraId="0C27CA9D" w14:textId="78F7AEEC" w:rsidR="00A76408" w:rsidRDefault="00D36D69">
      <w:pPr>
        <w:rPr>
          <w:rFonts w:asciiTheme="majorBidi" w:hAnsiTheme="majorBidi" w:cstheme="majorBidi"/>
        </w:rPr>
      </w:pPr>
      <w:r w:rsidRPr="00D36D69">
        <w:rPr>
          <w:rFonts w:asciiTheme="majorBidi" w:hAnsiTheme="majorBidi" w:cstheme="majorBidi"/>
          <w:noProof/>
        </w:rPr>
        <mc:AlternateContent>
          <mc:Choice Requires="wps">
            <w:drawing>
              <wp:anchor distT="45720" distB="45720" distL="114300" distR="114300" simplePos="0" relativeHeight="251659264" behindDoc="0" locked="0" layoutInCell="1" allowOverlap="1" wp14:anchorId="715A036B" wp14:editId="174270C5">
                <wp:simplePos x="0" y="0"/>
                <wp:positionH relativeFrom="column">
                  <wp:posOffset>3829050</wp:posOffset>
                </wp:positionH>
                <wp:positionV relativeFrom="paragraph">
                  <wp:posOffset>979170</wp:posOffset>
                </wp:positionV>
                <wp:extent cx="1543050" cy="4381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438150"/>
                        </a:xfrm>
                        <a:prstGeom prst="rect">
                          <a:avLst/>
                        </a:prstGeom>
                        <a:solidFill>
                          <a:schemeClr val="bg1"/>
                        </a:solidFill>
                        <a:ln w="9525">
                          <a:noFill/>
                          <a:miter lim="800000"/>
                          <a:headEnd/>
                          <a:tailEnd/>
                        </a:ln>
                      </wps:spPr>
                      <wps:txbx>
                        <w:txbxContent>
                          <w:p w14:paraId="3CAF1F45" w14:textId="7BEE3340" w:rsidR="00D36D69" w:rsidRDefault="00D36D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5A036B" id="_x0000_t202" coordsize="21600,21600" o:spt="202" path="m,l,21600r21600,l21600,xe">
                <v:stroke joinstyle="miter"/>
                <v:path gradientshapeok="t" o:connecttype="rect"/>
              </v:shapetype>
              <v:shape id="Text Box 2" o:spid="_x0000_s1026" type="#_x0000_t202" style="position:absolute;margin-left:301.5pt;margin-top:77.1pt;width:121.5pt;height:3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" fillcolor="white [3212]" stroked="f">
                <v:textbox>
                  <w:txbxContent>
                    <w:p w14:paraId="3CAF1F45" w14:textId="7BEE3340" w:rsidR="00D36D69" w:rsidRDefault="00D36D69"/>
                  </w:txbxContent>
                </v:textbox>
              </v:shape>
            </w:pict>
          </mc:Fallback>
        </mc:AlternateContent>
      </w:r>
      <w:r w:rsidR="00A76408">
        <w:rPr>
          <w:rFonts w:asciiTheme="majorBidi" w:hAnsiTheme="majorBidi" w:cstheme="majorBidi"/>
        </w:rPr>
        <w:br w:type="page"/>
      </w:r>
    </w:p>
    <w:p w14:paraId="0B83AB12" w14:textId="77777777" w:rsidR="00A76408" w:rsidRDefault="00A76408" w:rsidP="00E42EC9">
      <w:pPr>
        <w:widowControl w:val="0"/>
        <w:spacing w:before="80" w:after="80" w:line="360" w:lineRule="auto"/>
        <w:jc w:val="both"/>
        <w:rPr>
          <w:rFonts w:asciiTheme="majorBidi" w:hAnsiTheme="majorBidi" w:cstheme="majorBidi"/>
        </w:rPr>
        <w:sectPr w:rsidR="00A76408" w:rsidSect="00A76408">
          <w:pgSz w:w="16838" w:h="11906" w:orient="landscape"/>
          <w:pgMar w:top="1440" w:right="1440" w:bottom="1440" w:left="1440" w:header="709" w:footer="709" w:gutter="0"/>
          <w:pgNumType w:start="0"/>
          <w:cols w:space="708"/>
          <w:titlePg/>
          <w:docGrid w:linePitch="360"/>
        </w:sectPr>
      </w:pPr>
    </w:p>
    <w:p w14:paraId="256F0F13" w14:textId="4F11C59C" w:rsidR="009F57E2" w:rsidRDefault="00FE1575" w:rsidP="00E42EC9">
      <w:pPr>
        <w:widowControl w:val="0"/>
        <w:spacing w:before="120" w:after="120" w:line="360" w:lineRule="auto"/>
        <w:ind w:firstLine="720"/>
        <w:jc w:val="both"/>
        <w:rPr>
          <w:rFonts w:asciiTheme="majorBidi" w:hAnsiTheme="majorBidi" w:cstheme="majorBidi"/>
        </w:rPr>
      </w:pPr>
      <w:r>
        <w:rPr>
          <w:rFonts w:asciiTheme="majorBidi" w:hAnsiTheme="majorBidi" w:cstheme="majorBidi"/>
        </w:rPr>
        <w:lastRenderedPageBreak/>
        <w:t xml:space="preserve">The higher </w:t>
      </w:r>
      <w:r w:rsidRPr="00FE1575">
        <w:rPr>
          <w:rFonts w:asciiTheme="majorBidi" w:hAnsiTheme="majorBidi" w:cstheme="majorBidi"/>
          <w:i/>
          <w:iCs/>
        </w:rPr>
        <w:t>I</w:t>
      </w:r>
      <w:r>
        <w:rPr>
          <w:rFonts w:asciiTheme="majorBidi" w:hAnsiTheme="majorBidi" w:cstheme="majorBidi"/>
        </w:rPr>
        <w:t xml:space="preserve"> statistic most likely is an overstatement</w:t>
      </w:r>
      <w:r w:rsidR="005F5F54">
        <w:rPr>
          <w:rFonts w:asciiTheme="majorBidi" w:hAnsiTheme="majorBidi" w:cstheme="majorBidi"/>
        </w:rPr>
        <w:t xml:space="preserve">; </w:t>
      </w:r>
      <w:r>
        <w:rPr>
          <w:rFonts w:asciiTheme="majorBidi" w:hAnsiTheme="majorBidi" w:cstheme="majorBidi"/>
        </w:rPr>
        <w:t xml:space="preserve"> more spatially precise </w:t>
      </w:r>
      <w:r w:rsidR="00C86814">
        <w:rPr>
          <w:rFonts w:asciiTheme="majorBidi" w:hAnsiTheme="majorBidi" w:cstheme="majorBidi"/>
        </w:rPr>
        <w:t xml:space="preserve">luminosity </w:t>
      </w:r>
      <w:r>
        <w:rPr>
          <w:rFonts w:asciiTheme="majorBidi" w:hAnsiTheme="majorBidi" w:cstheme="majorBidi"/>
        </w:rPr>
        <w:t>data that are free of blurring issues – from NASA’s Black Marble series –</w:t>
      </w:r>
      <w:r w:rsidR="00080765">
        <w:rPr>
          <w:rFonts w:asciiTheme="majorBidi" w:hAnsiTheme="majorBidi" w:cstheme="majorBidi"/>
        </w:rPr>
        <w:t xml:space="preserve"> have</w:t>
      </w:r>
      <w:r>
        <w:rPr>
          <w:rFonts w:asciiTheme="majorBidi" w:hAnsiTheme="majorBidi" w:cstheme="majorBidi"/>
        </w:rPr>
        <w:t xml:space="preserve"> </w:t>
      </w:r>
      <w:r w:rsidRPr="00FE1575">
        <w:rPr>
          <w:rFonts w:asciiTheme="majorBidi" w:hAnsiTheme="majorBidi" w:cstheme="majorBidi"/>
          <w:i/>
          <w:iCs/>
        </w:rPr>
        <w:t>I</w:t>
      </w:r>
      <w:r>
        <w:rPr>
          <w:rFonts w:asciiTheme="majorBidi" w:hAnsiTheme="majorBidi" w:cstheme="majorBidi"/>
        </w:rPr>
        <w:t xml:space="preserve"> statistics about halfway between values for DMSP and for GDP. Hence, there is likely to be</w:t>
      </w:r>
      <w:r w:rsidR="003C5D13">
        <w:rPr>
          <w:rFonts w:asciiTheme="majorBidi" w:hAnsiTheme="majorBidi" w:cstheme="majorBidi"/>
        </w:rPr>
        <w:t xml:space="preserve"> </w:t>
      </w:r>
      <w:r w:rsidR="00080765">
        <w:rPr>
          <w:rFonts w:asciiTheme="majorBidi" w:hAnsiTheme="majorBidi" w:cstheme="majorBidi"/>
        </w:rPr>
        <w:t xml:space="preserve">an exaggerated </w:t>
      </w:r>
      <w:r w:rsidR="003C5D13">
        <w:rPr>
          <w:rFonts w:asciiTheme="majorBidi" w:hAnsiTheme="majorBidi" w:cstheme="majorBidi"/>
        </w:rPr>
        <w:t xml:space="preserve">similarity of nearby areas </w:t>
      </w:r>
      <w:r>
        <w:rPr>
          <w:rFonts w:asciiTheme="majorBidi" w:hAnsiTheme="majorBidi" w:cstheme="majorBidi"/>
        </w:rPr>
        <w:t xml:space="preserve">with the DMSP data, which </w:t>
      </w:r>
      <w:r w:rsidR="003C5884">
        <w:rPr>
          <w:rFonts w:asciiTheme="majorBidi" w:hAnsiTheme="majorBidi" w:cstheme="majorBidi"/>
        </w:rPr>
        <w:t xml:space="preserve">could </w:t>
      </w:r>
      <w:r w:rsidR="003C5D13">
        <w:rPr>
          <w:rFonts w:asciiTheme="majorBidi" w:hAnsiTheme="majorBidi" w:cstheme="majorBidi"/>
        </w:rPr>
        <w:t>contribute</w:t>
      </w:r>
      <w:r w:rsidR="003C5884">
        <w:rPr>
          <w:rFonts w:asciiTheme="majorBidi" w:hAnsiTheme="majorBidi" w:cstheme="majorBidi"/>
        </w:rPr>
        <w:t xml:space="preserve"> to the appearance of larger spillovers. </w:t>
      </w:r>
      <w:r w:rsidR="00080765">
        <w:rPr>
          <w:rFonts w:asciiTheme="majorBidi" w:hAnsiTheme="majorBidi" w:cstheme="majorBidi"/>
        </w:rPr>
        <w:t xml:space="preserve">Thus, </w:t>
      </w:r>
      <w:r w:rsidR="003C5D13">
        <w:rPr>
          <w:rFonts w:asciiTheme="majorBidi" w:hAnsiTheme="majorBidi" w:cstheme="majorBidi"/>
        </w:rPr>
        <w:t xml:space="preserve">we consider the results in Table 4 to be an upper bound for the contribution of indirect </w:t>
      </w:r>
      <w:r w:rsidR="00080765">
        <w:rPr>
          <w:rFonts w:asciiTheme="majorBidi" w:hAnsiTheme="majorBidi" w:cstheme="majorBidi"/>
        </w:rPr>
        <w:t xml:space="preserve">spillover </w:t>
      </w:r>
      <w:r w:rsidR="003C5D13">
        <w:rPr>
          <w:rFonts w:asciiTheme="majorBidi" w:hAnsiTheme="majorBidi" w:cstheme="majorBidi"/>
        </w:rPr>
        <w:t xml:space="preserve">effects. </w:t>
      </w:r>
    </w:p>
    <w:p w14:paraId="0A0616A7" w14:textId="77777777" w:rsidR="00890E0A" w:rsidRPr="00CE497C" w:rsidRDefault="00890E0A" w:rsidP="00BD2F5C">
      <w:pPr>
        <w:spacing w:before="120" w:after="120" w:line="240" w:lineRule="auto"/>
        <w:jc w:val="center"/>
        <w:rPr>
          <w:b/>
        </w:rPr>
      </w:pPr>
      <w:r w:rsidRPr="00CE497C">
        <w:rPr>
          <w:b/>
        </w:rPr>
        <w:t>Figure 4: Spatial autocorrelation in GDP and night-time lights data</w:t>
      </w:r>
    </w:p>
    <w:p w14:paraId="269FC974" w14:textId="77777777" w:rsidR="00890E0A" w:rsidRDefault="00890E0A" w:rsidP="00BD2F5C">
      <w:pPr>
        <w:spacing w:before="120" w:after="120" w:line="240" w:lineRule="auto"/>
        <w:jc w:val="center"/>
        <w:rPr>
          <w:bCs/>
        </w:rPr>
      </w:pPr>
      <w:r>
        <w:rPr>
          <w:noProof/>
          <w:lang w:eastAsia="zh-CN"/>
        </w:rPr>
        <w:drawing>
          <wp:inline distT="0" distB="0" distL="0" distR="0" wp14:anchorId="5B00373D" wp14:editId="3253FFAB">
            <wp:extent cx="5274310" cy="3398520"/>
            <wp:effectExtent l="0" t="0" r="2540" b="0"/>
            <wp:docPr id="1809781255" name="Chart 1809781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1FEE81" w14:textId="0E589FD0" w:rsidR="00BD2F5C" w:rsidRPr="00080765" w:rsidRDefault="00080765" w:rsidP="006E5888">
      <w:pPr>
        <w:widowControl w:val="0"/>
        <w:spacing w:before="120" w:after="120" w:line="360" w:lineRule="auto"/>
        <w:ind w:firstLine="720"/>
        <w:jc w:val="both"/>
        <w:rPr>
          <w:rFonts w:asciiTheme="majorBidi" w:hAnsiTheme="majorBidi" w:cstheme="majorBidi"/>
        </w:rPr>
      </w:pPr>
      <w:r>
        <w:rPr>
          <w:rFonts w:asciiTheme="majorBidi" w:hAnsiTheme="majorBidi" w:cstheme="majorBidi"/>
        </w:rPr>
        <w:t xml:space="preserve">If results in column (1) are compared with those in column (5) for Tables 3 and 4 it provides some insight into possible distortions in the literature on effects of county upgrading in China. If spatial lags are not included in the models (a restriction that is inconsistent with the data, according to the nesting tests), GDP appears to be just under six percent higher in the upgraded counties, post-upgrading (based on column (5) of Table 3). Yet the SARAR model results, which are the ones supported by the data, show total upgrading effects of 13% higher GDP. In other words, the standard model that </w:t>
      </w:r>
      <w:r>
        <w:rPr>
          <w:rFonts w:asciiTheme="majorBidi" w:hAnsiTheme="majorBidi" w:cstheme="majorBidi"/>
          <w:i/>
          <w:iCs/>
        </w:rPr>
        <w:t>a priori</w:t>
      </w:r>
      <w:r>
        <w:rPr>
          <w:rFonts w:asciiTheme="majorBidi" w:hAnsiTheme="majorBidi" w:cstheme="majorBidi"/>
        </w:rPr>
        <w:t xml:space="preserve"> rules out spillovers only shows about </w:t>
      </w:r>
      <w:r w:rsidR="004D51DE">
        <w:rPr>
          <w:rFonts w:asciiTheme="majorBidi" w:hAnsiTheme="majorBidi" w:cstheme="majorBidi"/>
        </w:rPr>
        <w:t xml:space="preserve">two-fifths of the effect. If we, instead, </w:t>
      </w:r>
      <w:r>
        <w:rPr>
          <w:rFonts w:asciiTheme="majorBidi" w:hAnsiTheme="majorBidi" w:cstheme="majorBidi"/>
        </w:rPr>
        <w:t xml:space="preserve">use luminosity </w:t>
      </w:r>
      <w:r w:rsidR="004D51DE">
        <w:rPr>
          <w:rFonts w:asciiTheme="majorBidi" w:hAnsiTheme="majorBidi" w:cstheme="majorBidi"/>
        </w:rPr>
        <w:t>as the economic activity indicator</w:t>
      </w:r>
      <w:r>
        <w:rPr>
          <w:rFonts w:asciiTheme="majorBidi" w:hAnsiTheme="majorBidi" w:cstheme="majorBidi"/>
        </w:rPr>
        <w:t xml:space="preserve"> the same pattern is visible with the aspatial model in column (5) of Table 4 giving an effect that is only ab</w:t>
      </w:r>
      <w:r w:rsidR="004D51DE">
        <w:rPr>
          <w:rFonts w:asciiTheme="majorBidi" w:hAnsiTheme="majorBidi" w:cstheme="majorBidi"/>
        </w:rPr>
        <w:t>out two-thirds of what the data-</w:t>
      </w:r>
      <w:r>
        <w:rPr>
          <w:rFonts w:asciiTheme="majorBidi" w:hAnsiTheme="majorBidi" w:cstheme="majorBidi"/>
        </w:rPr>
        <w:t>consistent model in column (1) shows. In other words, it is possible that prior studies have understated the economics effects of converting counties to cities</w:t>
      </w:r>
      <w:r w:rsidR="004D51DE">
        <w:rPr>
          <w:rFonts w:asciiTheme="majorBidi" w:hAnsiTheme="majorBidi" w:cstheme="majorBidi"/>
        </w:rPr>
        <w:t xml:space="preserve"> because they have not allowed for positive spillovers</w:t>
      </w:r>
      <w:r>
        <w:rPr>
          <w:rFonts w:asciiTheme="majorBidi" w:hAnsiTheme="majorBidi" w:cstheme="majorBidi"/>
        </w:rPr>
        <w:t>.</w:t>
      </w:r>
    </w:p>
    <w:p w14:paraId="10E69602" w14:textId="4C3716F2" w:rsidR="003D389E" w:rsidRDefault="003C5884" w:rsidP="00C04030">
      <w:pPr>
        <w:keepNext/>
        <w:widowControl w:val="0"/>
        <w:spacing w:after="80" w:line="360" w:lineRule="auto"/>
        <w:jc w:val="both"/>
        <w:rPr>
          <w:rFonts w:asciiTheme="majorBidi" w:hAnsiTheme="majorBidi" w:cstheme="majorBidi"/>
          <w:i/>
          <w:iCs/>
        </w:rPr>
      </w:pPr>
      <w:r>
        <w:rPr>
          <w:rFonts w:asciiTheme="majorBidi" w:hAnsiTheme="majorBidi" w:cstheme="majorBidi"/>
          <w:i/>
          <w:iCs/>
        </w:rPr>
        <w:lastRenderedPageBreak/>
        <w:t>Heterogeneity Analysis</w:t>
      </w:r>
    </w:p>
    <w:p w14:paraId="78782D95" w14:textId="4D84C93D" w:rsidR="00080765" w:rsidRDefault="00080765" w:rsidP="00BD2F5C">
      <w:pPr>
        <w:widowControl w:val="0"/>
        <w:spacing w:before="120" w:after="120" w:line="360" w:lineRule="auto"/>
        <w:jc w:val="both"/>
        <w:rPr>
          <w:rFonts w:asciiTheme="majorBidi" w:hAnsiTheme="majorBidi" w:cstheme="majorBidi"/>
        </w:rPr>
      </w:pPr>
      <w:r>
        <w:rPr>
          <w:rFonts w:asciiTheme="majorBidi" w:hAnsiTheme="majorBidi" w:cstheme="majorBidi"/>
        </w:rPr>
        <w:t xml:space="preserve">There is huge variation across space in the density of economic activity in China and so some geographic heterogeneity in the strength of the spillovers is likely. We explore this in Figure 5, which presents results for the Eastern region of China versus the rest. </w:t>
      </w:r>
      <w:r w:rsidR="004D51DE">
        <w:rPr>
          <w:rFonts w:asciiTheme="majorBidi" w:hAnsiTheme="majorBidi" w:cstheme="majorBidi"/>
        </w:rPr>
        <w:t xml:space="preserve">The usual disaggregation divides </w:t>
      </w:r>
      <w:r>
        <w:rPr>
          <w:rFonts w:asciiTheme="majorBidi" w:hAnsiTheme="majorBidi" w:cstheme="majorBidi"/>
        </w:rPr>
        <w:t xml:space="preserve">China </w:t>
      </w:r>
      <w:r w:rsidR="004D51DE">
        <w:rPr>
          <w:rFonts w:asciiTheme="majorBidi" w:hAnsiTheme="majorBidi" w:cstheme="majorBidi"/>
        </w:rPr>
        <w:t xml:space="preserve">into </w:t>
      </w:r>
      <w:r>
        <w:rPr>
          <w:rFonts w:asciiTheme="majorBidi" w:hAnsiTheme="majorBidi" w:cstheme="majorBidi"/>
        </w:rPr>
        <w:t>East</w:t>
      </w:r>
      <w:r w:rsidR="00BE28FB">
        <w:rPr>
          <w:rFonts w:asciiTheme="majorBidi" w:hAnsiTheme="majorBidi" w:cstheme="majorBidi"/>
        </w:rPr>
        <w:t>ern</w:t>
      </w:r>
      <w:r>
        <w:rPr>
          <w:rFonts w:asciiTheme="majorBidi" w:hAnsiTheme="majorBidi" w:cstheme="majorBidi"/>
        </w:rPr>
        <w:t>, Middle, and West</w:t>
      </w:r>
      <w:r w:rsidR="00BE28FB">
        <w:rPr>
          <w:rFonts w:asciiTheme="majorBidi" w:hAnsiTheme="majorBidi" w:cstheme="majorBidi"/>
        </w:rPr>
        <w:t>ern</w:t>
      </w:r>
      <w:r>
        <w:rPr>
          <w:rFonts w:asciiTheme="majorBidi" w:hAnsiTheme="majorBidi" w:cstheme="majorBidi"/>
        </w:rPr>
        <w:t xml:space="preserve"> </w:t>
      </w:r>
      <w:r w:rsidR="004D51DE">
        <w:rPr>
          <w:rFonts w:asciiTheme="majorBidi" w:hAnsiTheme="majorBidi" w:cstheme="majorBidi"/>
        </w:rPr>
        <w:t xml:space="preserve">regions </w:t>
      </w:r>
      <w:r>
        <w:rPr>
          <w:rFonts w:asciiTheme="majorBidi" w:hAnsiTheme="majorBidi" w:cstheme="majorBidi"/>
        </w:rPr>
        <w:t xml:space="preserve">as the </w:t>
      </w:r>
      <w:r w:rsidR="004D51DE">
        <w:rPr>
          <w:rFonts w:asciiTheme="majorBidi" w:hAnsiTheme="majorBidi" w:cstheme="majorBidi"/>
        </w:rPr>
        <w:t xml:space="preserve">top-level </w:t>
      </w:r>
      <w:r>
        <w:rPr>
          <w:rFonts w:asciiTheme="majorBidi" w:hAnsiTheme="majorBidi" w:cstheme="majorBidi"/>
        </w:rPr>
        <w:t xml:space="preserve">geographic </w:t>
      </w:r>
      <w:r w:rsidR="00BE28FB">
        <w:rPr>
          <w:rFonts w:asciiTheme="majorBidi" w:hAnsiTheme="majorBidi" w:cstheme="majorBidi"/>
        </w:rPr>
        <w:t xml:space="preserve">breakdown but </w:t>
      </w:r>
      <w:r>
        <w:rPr>
          <w:rFonts w:asciiTheme="majorBidi" w:hAnsiTheme="majorBidi" w:cstheme="majorBidi"/>
        </w:rPr>
        <w:t xml:space="preserve">these regions are quite unequal in economic size. </w:t>
      </w:r>
      <w:r w:rsidR="00BE28FB">
        <w:rPr>
          <w:rFonts w:asciiTheme="majorBidi" w:hAnsiTheme="majorBidi" w:cstheme="majorBidi"/>
        </w:rPr>
        <w:t xml:space="preserve">The Eastern region produces 56% of GDP, is home to 46% of residents (as of the 2020 census) but has only 17% of the land area. While the direct effects on GDP of converting counties to cities are of similar magnitude in the East and the rest (at just under eight percent higher GDP), the indirect spillover effects are twice as large in the East as they are in the rest of China (ten percent versus five percent). The results in Figure 5 are consistent with what Tang (2021) finds, of stronger </w:t>
      </w:r>
      <w:r w:rsidR="004D51DE">
        <w:rPr>
          <w:rFonts w:asciiTheme="majorBidi" w:hAnsiTheme="majorBidi" w:cstheme="majorBidi"/>
        </w:rPr>
        <w:t xml:space="preserve">total </w:t>
      </w:r>
      <w:r w:rsidR="00BE28FB">
        <w:rPr>
          <w:rFonts w:asciiTheme="majorBidi" w:hAnsiTheme="majorBidi" w:cstheme="majorBidi"/>
        </w:rPr>
        <w:t>effects of upgrading in the East where the initial agglomeration forces are stronger.</w:t>
      </w:r>
    </w:p>
    <w:p w14:paraId="055C961A" w14:textId="77777777" w:rsidR="00890E0A" w:rsidRPr="00CE497C" w:rsidRDefault="00890E0A" w:rsidP="00BD2F5C">
      <w:pPr>
        <w:spacing w:before="120" w:after="120" w:line="240" w:lineRule="auto"/>
        <w:jc w:val="center"/>
        <w:rPr>
          <w:b/>
        </w:rPr>
      </w:pPr>
      <w:r w:rsidRPr="00CE497C">
        <w:rPr>
          <w:b/>
        </w:rPr>
        <w:t>Figure 5: Spillovers appear to especially matter in China’s Eastern regions</w:t>
      </w:r>
    </w:p>
    <w:p w14:paraId="4BF7077C" w14:textId="77777777" w:rsidR="00890E0A" w:rsidRPr="00B74BE6" w:rsidRDefault="00890E0A" w:rsidP="00C04030">
      <w:pPr>
        <w:spacing w:before="120" w:after="0" w:line="240" w:lineRule="auto"/>
        <w:jc w:val="center"/>
        <w:rPr>
          <w:bCs/>
        </w:rPr>
      </w:pPr>
      <w:r>
        <w:rPr>
          <w:noProof/>
          <w:lang w:eastAsia="zh-CN"/>
        </w:rPr>
        <w:drawing>
          <wp:inline distT="0" distB="0" distL="0" distR="0" wp14:anchorId="602C92B1" wp14:editId="1951D546">
            <wp:extent cx="5274000" cy="5274000"/>
            <wp:effectExtent l="0" t="0" r="3175" b="3175"/>
            <wp:docPr id="1164006767" name="Picture 116400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000" cy="5274000"/>
                    </a:xfrm>
                    <a:prstGeom prst="rect">
                      <a:avLst/>
                    </a:prstGeom>
                    <a:noFill/>
                  </pic:spPr>
                </pic:pic>
              </a:graphicData>
            </a:graphic>
          </wp:inline>
        </w:drawing>
      </w:r>
    </w:p>
    <w:p w14:paraId="47E80A74" w14:textId="377188EB" w:rsidR="000679C1" w:rsidRPr="006E5888" w:rsidRDefault="00890E0A" w:rsidP="00A76408">
      <w:pPr>
        <w:widowControl w:val="0"/>
        <w:spacing w:before="120" w:after="120" w:line="480" w:lineRule="auto"/>
        <w:rPr>
          <w:b/>
          <w:sz w:val="26"/>
          <w:szCs w:val="26"/>
          <w:lang w:val="en-US"/>
        </w:rPr>
      </w:pPr>
      <w:r>
        <w:rPr>
          <w:bCs/>
          <w:sz w:val="4"/>
          <w:szCs w:val="4"/>
        </w:rPr>
        <w:br w:type="page"/>
      </w:r>
      <w:r w:rsidR="00B970C9" w:rsidRPr="006E5888">
        <w:rPr>
          <w:b/>
          <w:sz w:val="26"/>
          <w:szCs w:val="26"/>
          <w:lang w:val="en-US"/>
        </w:rPr>
        <w:lastRenderedPageBreak/>
        <w:t>V</w:t>
      </w:r>
      <w:r w:rsidR="00C933A5" w:rsidRPr="006E5888">
        <w:rPr>
          <w:b/>
          <w:sz w:val="26"/>
          <w:szCs w:val="26"/>
          <w:lang w:val="en-US"/>
        </w:rPr>
        <w:t>.</w:t>
      </w:r>
      <w:r w:rsidR="0090187B" w:rsidRPr="006E5888">
        <w:rPr>
          <w:b/>
          <w:sz w:val="26"/>
          <w:szCs w:val="26"/>
          <w:lang w:val="en-US"/>
        </w:rPr>
        <w:tab/>
      </w:r>
      <w:r w:rsidR="00E04D3B" w:rsidRPr="006E5888">
        <w:rPr>
          <w:b/>
          <w:sz w:val="26"/>
          <w:szCs w:val="26"/>
          <w:lang w:val="en-US"/>
        </w:rPr>
        <w:t>Conclusions</w:t>
      </w:r>
    </w:p>
    <w:p w14:paraId="29E1161F" w14:textId="678CC85E" w:rsidR="003D389E" w:rsidRDefault="00526658" w:rsidP="00BD2F5C">
      <w:pPr>
        <w:widowControl w:val="0"/>
        <w:spacing w:before="120" w:after="120" w:line="360" w:lineRule="auto"/>
        <w:jc w:val="both"/>
        <w:rPr>
          <w:bCs/>
          <w:lang w:val="en-AU"/>
        </w:rPr>
      </w:pPr>
      <w:r>
        <w:rPr>
          <w:bCs/>
          <w:lang w:val="en-AU"/>
        </w:rPr>
        <w:t>In this paper</w:t>
      </w:r>
      <w:r w:rsidR="00E43275">
        <w:rPr>
          <w:bCs/>
          <w:lang w:val="en-AU"/>
        </w:rPr>
        <w:t xml:space="preserve"> </w:t>
      </w:r>
      <w:r w:rsidR="004D51DE">
        <w:rPr>
          <w:bCs/>
          <w:lang w:val="en-AU"/>
        </w:rPr>
        <w:t xml:space="preserve">we have used econometric models that explicitly </w:t>
      </w:r>
      <w:r w:rsidR="000F5777">
        <w:rPr>
          <w:bCs/>
          <w:lang w:val="en-AU"/>
        </w:rPr>
        <w:t xml:space="preserve">allow the pattern of </w:t>
      </w:r>
      <w:r w:rsidR="004D51DE">
        <w:rPr>
          <w:bCs/>
          <w:lang w:val="en-AU"/>
        </w:rPr>
        <w:t>spatial spillover</w:t>
      </w:r>
      <w:r w:rsidR="00B86FC1">
        <w:rPr>
          <w:bCs/>
          <w:lang w:val="en-AU"/>
        </w:rPr>
        <w:t xml:space="preserve">s </w:t>
      </w:r>
      <w:r w:rsidR="000F5777">
        <w:rPr>
          <w:bCs/>
          <w:lang w:val="en-AU"/>
        </w:rPr>
        <w:t>to be</w:t>
      </w:r>
      <w:r w:rsidR="0041371E">
        <w:rPr>
          <w:bCs/>
          <w:lang w:val="en-AU"/>
        </w:rPr>
        <w:t xml:space="preserve"> </w:t>
      </w:r>
      <w:r w:rsidR="000B0563">
        <w:rPr>
          <w:bCs/>
          <w:lang w:val="en-AU"/>
        </w:rPr>
        <w:t xml:space="preserve">revealed </w:t>
      </w:r>
      <w:r w:rsidR="000F5777">
        <w:rPr>
          <w:bCs/>
          <w:lang w:val="en-AU"/>
        </w:rPr>
        <w:t xml:space="preserve">through </w:t>
      </w:r>
      <w:r w:rsidR="004D51DE">
        <w:rPr>
          <w:bCs/>
          <w:lang w:val="en-AU"/>
        </w:rPr>
        <w:t xml:space="preserve">the </w:t>
      </w:r>
      <w:r w:rsidR="000F5777">
        <w:rPr>
          <w:bCs/>
          <w:lang w:val="en-AU"/>
        </w:rPr>
        <w:t xml:space="preserve">estimated </w:t>
      </w:r>
      <w:r w:rsidR="004D51DE">
        <w:rPr>
          <w:bCs/>
          <w:lang w:val="en-AU"/>
        </w:rPr>
        <w:t>coefficient</w:t>
      </w:r>
      <w:r w:rsidR="0041371E">
        <w:rPr>
          <w:bCs/>
          <w:lang w:val="en-AU"/>
        </w:rPr>
        <w:t>s on the various spatial lags</w:t>
      </w:r>
      <w:r w:rsidR="004D51DE">
        <w:rPr>
          <w:bCs/>
          <w:lang w:val="en-AU"/>
        </w:rPr>
        <w:t>. In contrast, prio</w:t>
      </w:r>
      <w:r w:rsidR="00553E23">
        <w:rPr>
          <w:bCs/>
          <w:lang w:val="en-AU"/>
        </w:rPr>
        <w:t xml:space="preserve">r </w:t>
      </w:r>
      <w:r w:rsidR="0041371E">
        <w:rPr>
          <w:bCs/>
          <w:lang w:val="en-AU"/>
        </w:rPr>
        <w:t xml:space="preserve">analyses </w:t>
      </w:r>
      <w:r w:rsidR="00553E23">
        <w:rPr>
          <w:bCs/>
          <w:lang w:val="en-AU"/>
        </w:rPr>
        <w:t>of the regional development intervention</w:t>
      </w:r>
      <w:r w:rsidR="0041371E">
        <w:rPr>
          <w:bCs/>
          <w:lang w:val="en-AU"/>
        </w:rPr>
        <w:t xml:space="preserve"> </w:t>
      </w:r>
      <w:r w:rsidR="00B86FC1">
        <w:rPr>
          <w:bCs/>
          <w:lang w:val="en-AU"/>
        </w:rPr>
        <w:t>we study</w:t>
      </w:r>
      <w:r w:rsidR="0041371E">
        <w:rPr>
          <w:bCs/>
          <w:lang w:val="en-AU"/>
        </w:rPr>
        <w:t xml:space="preserve"> </w:t>
      </w:r>
      <w:r w:rsidR="00553E23">
        <w:rPr>
          <w:bCs/>
          <w:lang w:val="en-AU"/>
        </w:rPr>
        <w:t>–</w:t>
      </w:r>
      <w:r w:rsidR="000F5777">
        <w:rPr>
          <w:bCs/>
          <w:lang w:val="en-AU"/>
        </w:rPr>
        <w:t xml:space="preserve"> </w:t>
      </w:r>
      <w:r w:rsidR="00553E23">
        <w:rPr>
          <w:bCs/>
          <w:lang w:val="en-AU"/>
        </w:rPr>
        <w:t xml:space="preserve">administrative conversion of some of China’s counties into cities – use estimation frameworks </w:t>
      </w:r>
      <w:r w:rsidR="00B86FC1">
        <w:rPr>
          <w:bCs/>
          <w:lang w:val="en-AU"/>
        </w:rPr>
        <w:t xml:space="preserve">where </w:t>
      </w:r>
      <w:r w:rsidR="000F5777">
        <w:rPr>
          <w:bCs/>
          <w:lang w:val="en-AU"/>
        </w:rPr>
        <w:t xml:space="preserve">the </w:t>
      </w:r>
      <w:r w:rsidR="00553E23">
        <w:rPr>
          <w:bCs/>
          <w:lang w:val="en-AU"/>
        </w:rPr>
        <w:t xml:space="preserve">observations </w:t>
      </w:r>
      <w:r w:rsidR="00B86FC1">
        <w:rPr>
          <w:bCs/>
          <w:lang w:val="en-AU"/>
        </w:rPr>
        <w:t xml:space="preserve">are treated </w:t>
      </w:r>
      <w:r w:rsidR="00553E23">
        <w:rPr>
          <w:bCs/>
          <w:lang w:val="en-AU"/>
        </w:rPr>
        <w:t xml:space="preserve">as independent of their neighbours and </w:t>
      </w:r>
      <w:r w:rsidR="00B86FC1">
        <w:rPr>
          <w:bCs/>
          <w:lang w:val="en-AU"/>
        </w:rPr>
        <w:t xml:space="preserve">so do not allow the pattern of spillovers to be </w:t>
      </w:r>
      <w:r w:rsidR="000F5777">
        <w:rPr>
          <w:bCs/>
          <w:lang w:val="en-AU"/>
        </w:rPr>
        <w:t>freely revealed</w:t>
      </w:r>
      <w:r w:rsidR="00553E23">
        <w:rPr>
          <w:bCs/>
          <w:lang w:val="en-AU"/>
        </w:rPr>
        <w:t>.</w:t>
      </w:r>
      <w:r w:rsidR="009E446D">
        <w:rPr>
          <w:bCs/>
          <w:lang w:val="en-AU"/>
        </w:rPr>
        <w:t xml:space="preserve"> We find that all three types of spatial lags – of the </w:t>
      </w:r>
      <w:r w:rsidR="00B86FC1">
        <w:rPr>
          <w:bCs/>
          <w:lang w:val="en-AU"/>
        </w:rPr>
        <w:t>outcomes, the treatment</w:t>
      </w:r>
      <w:r w:rsidR="009E446D">
        <w:rPr>
          <w:bCs/>
          <w:lang w:val="en-AU"/>
        </w:rPr>
        <w:t xml:space="preserve">, and the errors – are statistically relevant, with restrictions to arbitrarily set any of these lags to zero rejected by the data. Consequently, positive direct relationships between </w:t>
      </w:r>
      <w:r w:rsidR="000F5777">
        <w:rPr>
          <w:bCs/>
          <w:lang w:val="en-AU"/>
        </w:rPr>
        <w:t xml:space="preserve">a county </w:t>
      </w:r>
      <w:r w:rsidR="00B86FC1">
        <w:rPr>
          <w:bCs/>
          <w:lang w:val="en-AU"/>
        </w:rPr>
        <w:t xml:space="preserve">being upgraded and </w:t>
      </w:r>
      <w:r w:rsidR="009E446D">
        <w:rPr>
          <w:bCs/>
          <w:lang w:val="en-AU"/>
        </w:rPr>
        <w:t xml:space="preserve">post-upgrading local economic </w:t>
      </w:r>
      <w:r w:rsidR="000F5777">
        <w:rPr>
          <w:bCs/>
          <w:lang w:val="en-AU"/>
        </w:rPr>
        <w:t>growth</w:t>
      </w:r>
      <w:r w:rsidR="009E446D">
        <w:rPr>
          <w:bCs/>
          <w:lang w:val="en-AU"/>
        </w:rPr>
        <w:t xml:space="preserve"> are amplified by positive indirect relationships.</w:t>
      </w:r>
      <w:r w:rsidR="000B0563">
        <w:rPr>
          <w:bCs/>
          <w:lang w:val="en-AU"/>
        </w:rPr>
        <w:t xml:space="preserve"> These positive indirect relationships operate both locally and globally. </w:t>
      </w:r>
      <w:r w:rsidR="009E446D">
        <w:rPr>
          <w:bCs/>
          <w:lang w:val="en-AU"/>
        </w:rPr>
        <w:t xml:space="preserve"> If the</w:t>
      </w:r>
      <w:r w:rsidR="000F5777">
        <w:rPr>
          <w:bCs/>
          <w:lang w:val="en-AU"/>
        </w:rPr>
        <w:t>se</w:t>
      </w:r>
      <w:r w:rsidR="009E446D">
        <w:rPr>
          <w:bCs/>
          <w:lang w:val="en-AU"/>
        </w:rPr>
        <w:t xml:space="preserve"> spillovers a</w:t>
      </w:r>
      <w:r w:rsidR="00B86FC1">
        <w:rPr>
          <w:bCs/>
          <w:lang w:val="en-AU"/>
        </w:rPr>
        <w:t xml:space="preserve">re ignored, </w:t>
      </w:r>
      <w:r w:rsidR="000B0563">
        <w:rPr>
          <w:bCs/>
          <w:lang w:val="en-AU"/>
        </w:rPr>
        <w:t xml:space="preserve">the </w:t>
      </w:r>
      <w:r w:rsidR="00C86814">
        <w:rPr>
          <w:bCs/>
          <w:lang w:val="en-AU"/>
        </w:rPr>
        <w:t xml:space="preserve">upgrading </w:t>
      </w:r>
      <w:r w:rsidR="009E446D">
        <w:rPr>
          <w:bCs/>
          <w:lang w:val="en-AU"/>
        </w:rPr>
        <w:t xml:space="preserve">effects </w:t>
      </w:r>
      <w:r w:rsidR="00C86814">
        <w:rPr>
          <w:bCs/>
          <w:lang w:val="en-AU"/>
        </w:rPr>
        <w:t xml:space="preserve">seem </w:t>
      </w:r>
      <w:r w:rsidR="009E446D">
        <w:rPr>
          <w:bCs/>
          <w:lang w:val="en-AU"/>
        </w:rPr>
        <w:t xml:space="preserve">only two-fifths as large, according to the economic activity indicator that we consider more reliable, which is </w:t>
      </w:r>
      <w:r w:rsidR="00B86FC1">
        <w:rPr>
          <w:bCs/>
          <w:lang w:val="en-AU"/>
        </w:rPr>
        <w:t xml:space="preserve">the reported </w:t>
      </w:r>
      <w:r w:rsidR="009E446D">
        <w:rPr>
          <w:bCs/>
          <w:lang w:val="en-AU"/>
        </w:rPr>
        <w:t xml:space="preserve">GDP </w:t>
      </w:r>
      <w:r w:rsidR="00B86FC1">
        <w:rPr>
          <w:bCs/>
          <w:lang w:val="en-AU"/>
        </w:rPr>
        <w:t xml:space="preserve">of </w:t>
      </w:r>
      <w:r w:rsidR="009E446D">
        <w:rPr>
          <w:bCs/>
          <w:lang w:val="en-AU"/>
        </w:rPr>
        <w:t>China’s third level sub-national units (counties, county-level cities, and districts).</w:t>
      </w:r>
    </w:p>
    <w:p w14:paraId="35FE8391" w14:textId="2D81C637" w:rsidR="00B86FC1" w:rsidRDefault="00B86FC1" w:rsidP="00BD2F5C">
      <w:pPr>
        <w:widowControl w:val="0"/>
        <w:spacing w:before="120" w:after="120" w:line="360" w:lineRule="auto"/>
        <w:ind w:firstLine="720"/>
        <w:jc w:val="both"/>
        <w:rPr>
          <w:bCs/>
          <w:lang w:val="en-AU"/>
        </w:rPr>
      </w:pPr>
      <w:r>
        <w:rPr>
          <w:bCs/>
          <w:lang w:val="en-AU"/>
        </w:rPr>
        <w:t xml:space="preserve">Our objective in reporting these results is </w:t>
      </w:r>
      <w:r w:rsidR="000F5777">
        <w:rPr>
          <w:bCs/>
          <w:lang w:val="en-AU"/>
        </w:rPr>
        <w:t>to inform the growing literature that sets out to evaluate impacts of China’s county upgrading process. While there has been some limited discussion of spatial spillovers in this literature</w:t>
      </w:r>
      <w:r w:rsidR="00AC405B">
        <w:rPr>
          <w:bCs/>
          <w:lang w:val="en-AU"/>
        </w:rPr>
        <w:t xml:space="preserve">, the empirical approaches that have been used are informal, such as dropping observations within </w:t>
      </w:r>
      <w:r w:rsidR="00771884">
        <w:rPr>
          <w:bCs/>
          <w:lang w:val="en-AU"/>
        </w:rPr>
        <w:t xml:space="preserve">various </w:t>
      </w:r>
      <w:r w:rsidR="00AC405B">
        <w:rPr>
          <w:bCs/>
          <w:lang w:val="en-AU"/>
        </w:rPr>
        <w:t>distance bands of treated units in case the observations were affected by spillovers. One study did include the upgrade status of adjacent spatial units (Bo, 2020) but that approach implicitly restricts spillovers to operate locally rather than globally. Instead, the focus of much of the existing literature has been to provide reassurance to readers that trends in economic activity for counties whose status had not changed were a reasonable counterfactual for what might have happened in th</w:t>
      </w:r>
      <w:r w:rsidR="00CE3326">
        <w:rPr>
          <w:bCs/>
          <w:lang w:val="en-AU"/>
        </w:rPr>
        <w:t>e upgraded counties if they hadn’</w:t>
      </w:r>
      <w:r w:rsidR="00AC405B">
        <w:rPr>
          <w:bCs/>
          <w:lang w:val="en-AU"/>
        </w:rPr>
        <w:t xml:space="preserve">t been upgraded. </w:t>
      </w:r>
      <w:r w:rsidR="00CE3326">
        <w:rPr>
          <w:bCs/>
          <w:lang w:val="en-AU"/>
        </w:rPr>
        <w:t>In some ways o</w:t>
      </w:r>
      <w:r w:rsidR="00AC405B">
        <w:rPr>
          <w:bCs/>
          <w:lang w:val="en-AU"/>
        </w:rPr>
        <w:t xml:space="preserve">ur approach </w:t>
      </w:r>
      <w:r w:rsidR="00CE3326">
        <w:rPr>
          <w:bCs/>
          <w:lang w:val="en-AU"/>
        </w:rPr>
        <w:t xml:space="preserve">is </w:t>
      </w:r>
      <w:r w:rsidR="00AC405B">
        <w:rPr>
          <w:bCs/>
          <w:lang w:val="en-AU"/>
        </w:rPr>
        <w:t xml:space="preserve">the reverse; </w:t>
      </w:r>
      <w:r w:rsidR="00C86814">
        <w:rPr>
          <w:bCs/>
          <w:lang w:val="en-AU"/>
        </w:rPr>
        <w:t xml:space="preserve">we use a a modelling framework that lets the data speak freely about the nature of the spatial spillovers, even if the </w:t>
      </w:r>
      <w:r w:rsidR="00CE3326">
        <w:rPr>
          <w:bCs/>
          <w:lang w:val="en-AU"/>
        </w:rPr>
        <w:t xml:space="preserve">patterns </w:t>
      </w:r>
      <w:r w:rsidR="00C86814">
        <w:rPr>
          <w:bCs/>
          <w:lang w:val="en-AU"/>
        </w:rPr>
        <w:t xml:space="preserve">revealed </w:t>
      </w:r>
      <w:r w:rsidR="00AC405B">
        <w:rPr>
          <w:bCs/>
          <w:lang w:val="en-AU"/>
        </w:rPr>
        <w:t xml:space="preserve">may be considered </w:t>
      </w:r>
      <w:r w:rsidR="00CE3326">
        <w:rPr>
          <w:bCs/>
          <w:lang w:val="en-AU"/>
        </w:rPr>
        <w:t xml:space="preserve">as </w:t>
      </w:r>
      <w:r w:rsidR="00AC405B">
        <w:rPr>
          <w:bCs/>
          <w:lang w:val="en-AU"/>
        </w:rPr>
        <w:t xml:space="preserve">just conditional correlations. </w:t>
      </w:r>
      <w:r w:rsidR="00C86814">
        <w:rPr>
          <w:bCs/>
          <w:lang w:val="en-AU"/>
        </w:rPr>
        <w:t>T</w:t>
      </w:r>
      <w:r w:rsidR="00CE3326">
        <w:rPr>
          <w:bCs/>
          <w:lang w:val="en-AU"/>
        </w:rPr>
        <w:t>here is no reason to believe</w:t>
      </w:r>
      <w:r w:rsidR="00AC405B">
        <w:rPr>
          <w:bCs/>
          <w:lang w:val="en-AU"/>
        </w:rPr>
        <w:t xml:space="preserve"> the </w:t>
      </w:r>
      <w:r w:rsidR="00CE3326">
        <w:rPr>
          <w:bCs/>
          <w:lang w:val="en-AU"/>
        </w:rPr>
        <w:t xml:space="preserve">spillover </w:t>
      </w:r>
      <w:r w:rsidR="00AC405B">
        <w:rPr>
          <w:bCs/>
          <w:lang w:val="en-AU"/>
        </w:rPr>
        <w:t>patterns would be different if a quasi-causal framework</w:t>
      </w:r>
      <w:r w:rsidR="00CE3326">
        <w:rPr>
          <w:bCs/>
          <w:lang w:val="en-AU"/>
        </w:rPr>
        <w:t xml:space="preserve"> had been used</w:t>
      </w:r>
      <w:r w:rsidR="00C86814">
        <w:rPr>
          <w:bCs/>
          <w:lang w:val="en-AU"/>
        </w:rPr>
        <w:t xml:space="preserve"> that involved </w:t>
      </w:r>
      <w:r w:rsidR="00CE3326">
        <w:rPr>
          <w:bCs/>
          <w:lang w:val="en-AU"/>
        </w:rPr>
        <w:t xml:space="preserve">testing </w:t>
      </w:r>
      <w:r w:rsidR="00AC405B">
        <w:rPr>
          <w:bCs/>
          <w:lang w:val="en-AU"/>
        </w:rPr>
        <w:t>for parallel trends</w:t>
      </w:r>
      <w:r w:rsidR="00CE3326">
        <w:rPr>
          <w:bCs/>
          <w:lang w:val="en-AU"/>
        </w:rPr>
        <w:t>,</w:t>
      </w:r>
      <w:r w:rsidR="00AC405B">
        <w:rPr>
          <w:bCs/>
          <w:lang w:val="en-AU"/>
        </w:rPr>
        <w:t xml:space="preserve"> trimming on propensity scores</w:t>
      </w:r>
      <w:r w:rsidR="00C86814">
        <w:rPr>
          <w:bCs/>
          <w:lang w:val="en-AU"/>
        </w:rPr>
        <w:t xml:space="preserve"> and so on</w:t>
      </w:r>
      <w:r w:rsidR="00CE3326">
        <w:rPr>
          <w:bCs/>
          <w:lang w:val="en-AU"/>
        </w:rPr>
        <w:t>.</w:t>
      </w:r>
      <w:r w:rsidR="00C86814">
        <w:rPr>
          <w:bCs/>
          <w:lang w:val="en-AU"/>
        </w:rPr>
        <w:t xml:space="preserve"> In other words, the spillover patterns when the data are allowed to speak freely should also show up in quasi-causal analyses as long as those analyses do not </w:t>
      </w:r>
      <w:r w:rsidR="00C86814">
        <w:rPr>
          <w:bCs/>
          <w:i/>
          <w:iCs/>
          <w:lang w:val="en-AU"/>
        </w:rPr>
        <w:t>a priori</w:t>
      </w:r>
      <w:r w:rsidR="00C86814">
        <w:rPr>
          <w:bCs/>
          <w:lang w:val="en-AU"/>
        </w:rPr>
        <w:t xml:space="preserve"> limit the nature of the spillovers that can be revealed.</w:t>
      </w:r>
      <w:r w:rsidR="00CE3326">
        <w:rPr>
          <w:bCs/>
          <w:lang w:val="en-AU"/>
        </w:rPr>
        <w:t xml:space="preserve"> </w:t>
      </w:r>
    </w:p>
    <w:p w14:paraId="3B1A5B89" w14:textId="481E69AF" w:rsidR="00374EA4" w:rsidRDefault="00E560C6" w:rsidP="00BD2F5C">
      <w:pPr>
        <w:widowControl w:val="0"/>
        <w:spacing w:before="120" w:after="120" w:line="360" w:lineRule="auto"/>
        <w:ind w:firstLine="720"/>
        <w:jc w:val="both"/>
        <w:rPr>
          <w:bCs/>
          <w:lang w:val="en-AU"/>
        </w:rPr>
      </w:pPr>
      <w:r>
        <w:rPr>
          <w:bCs/>
          <w:lang w:val="en-AU"/>
        </w:rPr>
        <w:t xml:space="preserve">There are several ways to extend the </w:t>
      </w:r>
      <w:r w:rsidR="00A107C8">
        <w:rPr>
          <w:bCs/>
          <w:lang w:val="en-AU"/>
        </w:rPr>
        <w:t xml:space="preserve">current </w:t>
      </w:r>
      <w:r>
        <w:rPr>
          <w:bCs/>
          <w:lang w:val="en-AU"/>
        </w:rPr>
        <w:t>analysis</w:t>
      </w:r>
      <w:r w:rsidR="00A107C8">
        <w:rPr>
          <w:bCs/>
          <w:lang w:val="en-AU"/>
        </w:rPr>
        <w:t xml:space="preserve">. A more nuanced way to </w:t>
      </w:r>
      <w:r w:rsidR="000F5777">
        <w:rPr>
          <w:bCs/>
          <w:lang w:val="en-AU"/>
        </w:rPr>
        <w:t xml:space="preserve">allow for </w:t>
      </w:r>
      <w:r>
        <w:rPr>
          <w:bCs/>
          <w:lang w:val="en-AU"/>
        </w:rPr>
        <w:lastRenderedPageBreak/>
        <w:t xml:space="preserve">agglomeration forces that generate spatial spillovers might use </w:t>
      </w:r>
      <w:r w:rsidR="00A107C8">
        <w:rPr>
          <w:bCs/>
          <w:lang w:val="en-AU"/>
        </w:rPr>
        <w:t xml:space="preserve">asymmetric </w:t>
      </w:r>
      <w:r>
        <w:rPr>
          <w:bCs/>
          <w:lang w:val="en-AU"/>
        </w:rPr>
        <w:t>weights</w:t>
      </w:r>
      <w:r w:rsidR="000F5777">
        <w:rPr>
          <w:bCs/>
          <w:lang w:val="en-AU"/>
        </w:rPr>
        <w:t xml:space="preserve"> so that </w:t>
      </w:r>
      <w:r>
        <w:rPr>
          <w:bCs/>
          <w:lang w:val="en-AU"/>
        </w:rPr>
        <w:t xml:space="preserve">a more populous urban area has a greater effect on an adjacent county than the reverse. </w:t>
      </w:r>
      <w:r w:rsidR="00A107C8">
        <w:rPr>
          <w:bCs/>
          <w:lang w:val="en-AU"/>
        </w:rPr>
        <w:t xml:space="preserve">In </w:t>
      </w:r>
      <w:r>
        <w:rPr>
          <w:bCs/>
          <w:lang w:val="en-AU"/>
        </w:rPr>
        <w:t>the Section II example of Ledu District</w:t>
      </w:r>
      <w:r w:rsidR="00A107C8">
        <w:rPr>
          <w:bCs/>
          <w:lang w:val="en-AU"/>
        </w:rPr>
        <w:t>,</w:t>
      </w:r>
      <w:r>
        <w:rPr>
          <w:bCs/>
          <w:lang w:val="en-AU"/>
        </w:rPr>
        <w:t xml:space="preserve"> in Haidong prefectural-level city</w:t>
      </w:r>
      <w:r w:rsidR="00A107C8">
        <w:rPr>
          <w:bCs/>
          <w:lang w:val="en-AU"/>
        </w:rPr>
        <w:t xml:space="preserve"> of</w:t>
      </w:r>
      <w:r>
        <w:rPr>
          <w:bCs/>
          <w:lang w:val="en-AU"/>
        </w:rPr>
        <w:t xml:space="preserve"> Qinghai</w:t>
      </w:r>
      <w:r w:rsidR="00A107C8">
        <w:rPr>
          <w:bCs/>
          <w:lang w:val="en-AU"/>
        </w:rPr>
        <w:t>,</w:t>
      </w:r>
      <w:r>
        <w:rPr>
          <w:bCs/>
          <w:lang w:val="en-AU"/>
        </w:rPr>
        <w:t xml:space="preserve"> </w:t>
      </w:r>
      <w:r w:rsidR="00A107C8">
        <w:rPr>
          <w:bCs/>
          <w:lang w:val="en-AU"/>
        </w:rPr>
        <w:t>it i</w:t>
      </w:r>
      <w:r>
        <w:rPr>
          <w:bCs/>
          <w:lang w:val="en-AU"/>
        </w:rPr>
        <w:t>s</w:t>
      </w:r>
      <w:r w:rsidR="000F5777">
        <w:rPr>
          <w:bCs/>
          <w:lang w:val="en-AU"/>
        </w:rPr>
        <w:t xml:space="preserve"> likely</w:t>
      </w:r>
      <w:r>
        <w:rPr>
          <w:bCs/>
          <w:lang w:val="en-AU"/>
        </w:rPr>
        <w:t xml:space="preserve"> no coincidence that the next county upgraded was Ping’an, </w:t>
      </w:r>
      <w:r w:rsidR="00A107C8">
        <w:rPr>
          <w:bCs/>
          <w:lang w:val="en-AU"/>
        </w:rPr>
        <w:t>to the west</w:t>
      </w:r>
      <w:r>
        <w:rPr>
          <w:bCs/>
          <w:lang w:val="en-AU"/>
        </w:rPr>
        <w:t>, rather than the Minhe Hui and Tu Autonomy County</w:t>
      </w:r>
      <w:r w:rsidR="00A107C8">
        <w:rPr>
          <w:bCs/>
          <w:lang w:val="en-AU"/>
        </w:rPr>
        <w:t xml:space="preserve"> to</w:t>
      </w:r>
      <w:r>
        <w:rPr>
          <w:bCs/>
          <w:lang w:val="en-AU"/>
        </w:rPr>
        <w:t xml:space="preserve"> the east. The provincial capital of Xining, with a population of two million, is</w:t>
      </w:r>
      <w:r w:rsidR="009B2D2F">
        <w:rPr>
          <w:bCs/>
          <w:lang w:val="en-AU"/>
        </w:rPr>
        <w:t xml:space="preserve"> just 40 km to the west</w:t>
      </w:r>
      <w:r w:rsidR="000F5777">
        <w:rPr>
          <w:bCs/>
          <w:lang w:val="en-AU"/>
        </w:rPr>
        <w:t xml:space="preserve">; </w:t>
      </w:r>
      <w:r w:rsidR="009B2D2F">
        <w:rPr>
          <w:bCs/>
          <w:lang w:val="en-AU"/>
        </w:rPr>
        <w:t>in the other direction the next big city—Lanzhou in Gansu province—is almost 200 km away. So</w:t>
      </w:r>
      <w:r w:rsidR="00B65572">
        <w:rPr>
          <w:bCs/>
          <w:lang w:val="en-AU"/>
        </w:rPr>
        <w:t>,</w:t>
      </w:r>
      <w:r w:rsidR="009B2D2F">
        <w:rPr>
          <w:bCs/>
          <w:lang w:val="en-AU"/>
        </w:rPr>
        <w:t xml:space="preserve"> </w:t>
      </w:r>
      <w:r w:rsidR="00B65572">
        <w:rPr>
          <w:bCs/>
          <w:lang w:val="en-AU"/>
        </w:rPr>
        <w:t>a</w:t>
      </w:r>
      <w:r w:rsidR="009B2D2F">
        <w:rPr>
          <w:bCs/>
          <w:lang w:val="en-AU"/>
        </w:rPr>
        <w:t xml:space="preserve"> gravitational pull for urban development in Haidong is probably more towards the west, where the nearest large market is, and a weights matrix that </w:t>
      </w:r>
      <w:r w:rsidR="00B65572">
        <w:rPr>
          <w:bCs/>
          <w:lang w:val="en-AU"/>
        </w:rPr>
        <w:t>allow</w:t>
      </w:r>
      <w:r w:rsidR="00182A99">
        <w:rPr>
          <w:bCs/>
          <w:lang w:val="en-AU"/>
        </w:rPr>
        <w:t>s</w:t>
      </w:r>
      <w:r w:rsidR="00B65572">
        <w:rPr>
          <w:bCs/>
          <w:lang w:val="en-AU"/>
        </w:rPr>
        <w:t xml:space="preserve"> for </w:t>
      </w:r>
      <w:r w:rsidR="009B2D2F">
        <w:rPr>
          <w:bCs/>
          <w:lang w:val="en-AU"/>
        </w:rPr>
        <w:t xml:space="preserve">asymmetries would be one way to </w:t>
      </w:r>
      <w:r w:rsidR="00B65572">
        <w:rPr>
          <w:bCs/>
          <w:lang w:val="en-AU"/>
        </w:rPr>
        <w:t xml:space="preserve">recognise </w:t>
      </w:r>
      <w:r w:rsidR="009B2D2F">
        <w:rPr>
          <w:bCs/>
          <w:lang w:val="en-AU"/>
        </w:rPr>
        <w:t>such</w:t>
      </w:r>
      <w:r w:rsidR="00B65572">
        <w:rPr>
          <w:bCs/>
          <w:lang w:val="en-AU"/>
        </w:rPr>
        <w:t xml:space="preserve"> patterns</w:t>
      </w:r>
      <w:r w:rsidR="009B2D2F">
        <w:rPr>
          <w:bCs/>
          <w:lang w:val="en-AU"/>
        </w:rPr>
        <w:t>.</w:t>
      </w:r>
      <w:r w:rsidR="000F5777">
        <w:rPr>
          <w:bCs/>
          <w:lang w:val="en-AU"/>
        </w:rPr>
        <w:t xml:space="preserve"> Presumably, such a weights matrix could be combined with a difference-in-differences setup to extend the estimator proposed by Delgado and Florax (2015) that allows for spatial interactions.</w:t>
      </w:r>
    </w:p>
    <w:p w14:paraId="51C92F1F" w14:textId="677D1C65" w:rsidR="00C86814" w:rsidRDefault="00C86814" w:rsidP="00BD2F5C">
      <w:pPr>
        <w:widowControl w:val="0"/>
        <w:spacing w:before="120" w:after="120" w:line="360" w:lineRule="auto"/>
        <w:ind w:firstLine="720"/>
        <w:jc w:val="both"/>
        <w:rPr>
          <w:bCs/>
          <w:lang w:val="en-AU"/>
        </w:rPr>
      </w:pPr>
      <w:r>
        <w:rPr>
          <w:bCs/>
          <w:lang w:val="en-AU"/>
        </w:rPr>
        <w:t xml:space="preserve">Another extension would </w:t>
      </w:r>
      <w:r w:rsidR="00F2752F">
        <w:rPr>
          <w:bCs/>
          <w:lang w:val="en-AU"/>
        </w:rPr>
        <w:t xml:space="preserve">consider </w:t>
      </w:r>
      <w:r>
        <w:rPr>
          <w:bCs/>
          <w:lang w:val="en-AU"/>
        </w:rPr>
        <w:t xml:space="preserve">treatment intensity. In </w:t>
      </w:r>
      <w:r w:rsidR="00F2752F">
        <w:rPr>
          <w:bCs/>
          <w:lang w:val="en-AU"/>
        </w:rPr>
        <w:t xml:space="preserve">our </w:t>
      </w:r>
      <w:r>
        <w:rPr>
          <w:bCs/>
          <w:lang w:val="en-AU"/>
        </w:rPr>
        <w:t>results, all converted counties get the same value of the treatment indicator (=1). A more flexible approach would allow for a sequence of treatments</w:t>
      </w:r>
      <w:r w:rsidR="00F2752F">
        <w:rPr>
          <w:bCs/>
          <w:lang w:val="en-AU"/>
        </w:rPr>
        <w:t>, such as from county to county-level city and then to district. It remains to be seen whether these extensions would alter our core finding of the need to allow for spillovers when evaluating regional development interventions.</w:t>
      </w:r>
    </w:p>
    <w:p w14:paraId="4FA97925" w14:textId="77777777" w:rsidR="006E5888" w:rsidRDefault="006E5888" w:rsidP="00BD2F5C">
      <w:pPr>
        <w:widowControl w:val="0"/>
        <w:spacing w:before="120" w:after="120" w:line="360" w:lineRule="auto"/>
        <w:ind w:firstLine="720"/>
        <w:jc w:val="both"/>
        <w:rPr>
          <w:bCs/>
          <w:lang w:val="en-AU"/>
        </w:rPr>
      </w:pPr>
    </w:p>
    <w:p w14:paraId="3E4FA258" w14:textId="7B580A52" w:rsidR="00205F59" w:rsidRPr="006E5888" w:rsidRDefault="006D28EA" w:rsidP="00446515">
      <w:pPr>
        <w:spacing w:before="240" w:after="240"/>
        <w:rPr>
          <w:b/>
          <w:sz w:val="26"/>
          <w:szCs w:val="26"/>
        </w:rPr>
      </w:pPr>
      <w:r w:rsidRPr="006E5888">
        <w:rPr>
          <w:b/>
          <w:sz w:val="26"/>
          <w:szCs w:val="26"/>
        </w:rPr>
        <w:t>References</w:t>
      </w:r>
    </w:p>
    <w:p w14:paraId="5E088F38" w14:textId="77777777" w:rsidR="00245BE4" w:rsidRDefault="00281A2D" w:rsidP="00245BE4">
      <w:pPr>
        <w:spacing w:after="80"/>
        <w:ind w:left="480" w:hangingChars="200" w:hanging="480"/>
        <w:rPr>
          <w:snapToGrid w:val="0"/>
          <w:color w:val="000000"/>
          <w:szCs w:val="21"/>
          <w:lang w:bidi="en-US"/>
        </w:rPr>
      </w:pPr>
      <w:r w:rsidRPr="00413F8F">
        <w:rPr>
          <w:snapToGrid w:val="0"/>
          <w:color w:val="000000"/>
          <w:szCs w:val="21"/>
          <w:lang w:bidi="en-US"/>
        </w:rPr>
        <w:t>Asyahid, E. A., and Pekerti, I. S.</w:t>
      </w:r>
      <w:r w:rsidRPr="00413F8F">
        <w:rPr>
          <w:rFonts w:hint="eastAsia"/>
          <w:snapToGrid w:val="0"/>
          <w:color w:val="000000"/>
          <w:szCs w:val="21"/>
          <w:lang w:bidi="en-US"/>
        </w:rPr>
        <w:t>:</w:t>
      </w:r>
      <w:r w:rsidRPr="00413F8F">
        <w:rPr>
          <w:snapToGrid w:val="0"/>
          <w:color w:val="000000"/>
          <w:szCs w:val="21"/>
          <w:lang w:bidi="en-US"/>
        </w:rPr>
        <w:t xml:space="preserve"> Economic impact</w:t>
      </w:r>
      <w:r w:rsidRPr="00413F8F">
        <w:rPr>
          <w:rFonts w:hint="eastAsia"/>
          <w:snapToGrid w:val="0"/>
          <w:color w:val="000000"/>
          <w:szCs w:val="21"/>
          <w:lang w:bidi="en-US"/>
        </w:rPr>
        <w:t xml:space="preserve"> </w:t>
      </w:r>
      <w:r w:rsidRPr="00413F8F">
        <w:rPr>
          <w:snapToGrid w:val="0"/>
          <w:color w:val="000000"/>
          <w:szCs w:val="21"/>
          <w:lang w:bidi="en-US"/>
        </w:rPr>
        <w:t>of natural disasters, spillovers, and role of human development: case</w:t>
      </w:r>
      <w:r w:rsidRPr="00413F8F">
        <w:rPr>
          <w:rFonts w:hint="eastAsia"/>
          <w:snapToGrid w:val="0"/>
          <w:color w:val="000000"/>
          <w:szCs w:val="21"/>
          <w:lang w:bidi="en-US"/>
        </w:rPr>
        <w:t xml:space="preserve"> </w:t>
      </w:r>
      <w:r w:rsidRPr="00413F8F">
        <w:rPr>
          <w:snapToGrid w:val="0"/>
          <w:color w:val="000000"/>
          <w:szCs w:val="21"/>
          <w:lang w:bidi="en-US"/>
        </w:rPr>
        <w:t xml:space="preserve">of Indonesia. </w:t>
      </w:r>
      <w:r w:rsidRPr="00281A2D">
        <w:rPr>
          <w:i/>
          <w:iCs/>
          <w:snapToGrid w:val="0"/>
          <w:color w:val="000000"/>
          <w:szCs w:val="21"/>
          <w:lang w:bidi="en-US"/>
        </w:rPr>
        <w:t>Letters in Spatial and Resource Sciences</w:t>
      </w:r>
      <w:r w:rsidRPr="00413F8F">
        <w:rPr>
          <w:snapToGrid w:val="0"/>
          <w:color w:val="000000"/>
          <w:szCs w:val="21"/>
          <w:lang w:bidi="en-US"/>
        </w:rPr>
        <w:t xml:space="preserve">. </w:t>
      </w:r>
      <w:r w:rsidRPr="006E686E">
        <w:rPr>
          <w:b/>
          <w:bCs/>
          <w:snapToGrid w:val="0"/>
          <w:color w:val="000000"/>
          <w:szCs w:val="21"/>
          <w:lang w:bidi="en-US"/>
        </w:rPr>
        <w:t>15</w:t>
      </w:r>
      <w:r w:rsidRPr="00413F8F">
        <w:rPr>
          <w:snapToGrid w:val="0"/>
          <w:color w:val="000000"/>
          <w:szCs w:val="21"/>
          <w:lang w:bidi="en-US"/>
        </w:rPr>
        <w:t>(3): 493-506 (2022)</w:t>
      </w:r>
    </w:p>
    <w:p w14:paraId="5F89E9CD" w14:textId="4BF3AB89" w:rsidR="00245BE4" w:rsidRPr="00413F8F" w:rsidRDefault="00245BE4" w:rsidP="00245BE4">
      <w:pPr>
        <w:spacing w:after="80"/>
        <w:ind w:left="480" w:hangingChars="200" w:hanging="480"/>
        <w:rPr>
          <w:snapToGrid w:val="0"/>
          <w:color w:val="000000"/>
          <w:szCs w:val="21"/>
          <w:lang w:bidi="en-US"/>
        </w:rPr>
      </w:pPr>
      <w:r w:rsidRPr="00AF45D6">
        <w:rPr>
          <w:snapToGrid w:val="0"/>
          <w:color w:val="000000"/>
          <w:szCs w:val="21"/>
          <w:lang w:bidi="en-US"/>
        </w:rPr>
        <w:t>Baugh, K., Elvidge, C., Ghosh, T., Ziskin, D.</w:t>
      </w:r>
      <w:r>
        <w:rPr>
          <w:rFonts w:hint="eastAsia"/>
          <w:snapToGrid w:val="0"/>
          <w:color w:val="000000"/>
          <w:szCs w:val="21"/>
          <w:lang w:bidi="en-US"/>
        </w:rPr>
        <w:t>:</w:t>
      </w:r>
      <w:r w:rsidRPr="00AF45D6">
        <w:rPr>
          <w:snapToGrid w:val="0"/>
          <w:color w:val="000000"/>
          <w:szCs w:val="21"/>
          <w:lang w:bidi="en-US"/>
        </w:rPr>
        <w:t xml:space="preserve"> Development of</w:t>
      </w:r>
      <w:r>
        <w:rPr>
          <w:rFonts w:hint="eastAsia"/>
          <w:snapToGrid w:val="0"/>
          <w:color w:val="000000"/>
          <w:szCs w:val="21"/>
          <w:lang w:bidi="en-US"/>
        </w:rPr>
        <w:t xml:space="preserve"> </w:t>
      </w:r>
      <w:r w:rsidRPr="00AF45D6">
        <w:rPr>
          <w:snapToGrid w:val="0"/>
          <w:color w:val="000000"/>
          <w:szCs w:val="21"/>
          <w:lang w:bidi="en-US"/>
        </w:rPr>
        <w:t xml:space="preserve">a 2009 stable lights product using DMSP-OLS data. </w:t>
      </w:r>
      <w:r w:rsidRPr="00245BE4">
        <w:rPr>
          <w:i/>
          <w:iCs/>
          <w:snapToGrid w:val="0"/>
          <w:color w:val="000000"/>
          <w:szCs w:val="21"/>
          <w:lang w:bidi="en-US"/>
        </w:rPr>
        <w:t>Proceedings</w:t>
      </w:r>
      <w:r w:rsidRPr="00245BE4">
        <w:rPr>
          <w:rFonts w:hint="eastAsia"/>
          <w:i/>
          <w:iCs/>
          <w:snapToGrid w:val="0"/>
          <w:color w:val="000000"/>
          <w:szCs w:val="21"/>
          <w:lang w:bidi="en-US"/>
        </w:rPr>
        <w:t xml:space="preserve"> </w:t>
      </w:r>
      <w:r w:rsidRPr="00245BE4">
        <w:rPr>
          <w:i/>
          <w:iCs/>
          <w:snapToGrid w:val="0"/>
          <w:color w:val="000000"/>
          <w:szCs w:val="21"/>
          <w:lang w:bidi="en-US"/>
        </w:rPr>
        <w:t>Asia-Pacific Advanced Networks</w:t>
      </w:r>
      <w:r>
        <w:rPr>
          <w:snapToGrid w:val="0"/>
          <w:color w:val="000000"/>
          <w:szCs w:val="21"/>
          <w:lang w:bidi="en-US"/>
        </w:rPr>
        <w:t>.</w:t>
      </w:r>
      <w:r w:rsidRPr="00AF45D6">
        <w:rPr>
          <w:snapToGrid w:val="0"/>
          <w:color w:val="000000"/>
          <w:szCs w:val="21"/>
          <w:lang w:bidi="en-US"/>
        </w:rPr>
        <w:t xml:space="preserve"> </w:t>
      </w:r>
      <w:r w:rsidRPr="00A41B64">
        <w:rPr>
          <w:b/>
          <w:bCs/>
          <w:snapToGrid w:val="0"/>
          <w:color w:val="000000"/>
          <w:szCs w:val="21"/>
          <w:lang w:bidi="en-US"/>
        </w:rPr>
        <w:t>30</w:t>
      </w:r>
      <w:r>
        <w:rPr>
          <w:snapToGrid w:val="0"/>
          <w:color w:val="000000"/>
          <w:szCs w:val="21"/>
          <w:lang w:bidi="en-US"/>
        </w:rPr>
        <w:t>:</w:t>
      </w:r>
      <w:r w:rsidRPr="00AF45D6">
        <w:rPr>
          <w:snapToGrid w:val="0"/>
          <w:color w:val="000000"/>
          <w:szCs w:val="21"/>
          <w:lang w:bidi="en-US"/>
        </w:rPr>
        <w:t xml:space="preserve"> 114</w:t>
      </w:r>
      <w:r w:rsidRPr="001166C9">
        <w:rPr>
          <w:snapToGrid w:val="0"/>
          <w:color w:val="000000"/>
          <w:szCs w:val="21"/>
          <w:lang w:bidi="en-US"/>
        </w:rPr>
        <w:t xml:space="preserve"> </w:t>
      </w:r>
      <w:r w:rsidRPr="00AF45D6">
        <w:rPr>
          <w:snapToGrid w:val="0"/>
          <w:color w:val="000000"/>
          <w:szCs w:val="21"/>
          <w:lang w:bidi="en-US"/>
        </w:rPr>
        <w:t>(2010)</w:t>
      </w:r>
    </w:p>
    <w:p w14:paraId="65BE31E1" w14:textId="77777777" w:rsidR="00281A2D" w:rsidRPr="00413F8F" w:rsidRDefault="00281A2D" w:rsidP="00281A2D">
      <w:pPr>
        <w:spacing w:after="80"/>
        <w:ind w:left="480" w:hangingChars="200" w:hanging="480"/>
        <w:rPr>
          <w:snapToGrid w:val="0"/>
          <w:color w:val="000000"/>
          <w:szCs w:val="21"/>
          <w:lang w:bidi="en-US"/>
        </w:rPr>
      </w:pPr>
      <w:r w:rsidRPr="00413F8F">
        <w:rPr>
          <w:snapToGrid w:val="0"/>
          <w:color w:val="000000"/>
          <w:szCs w:val="21"/>
          <w:lang w:bidi="en-US"/>
        </w:rPr>
        <w:t xml:space="preserve">Bo, S.: Centralization and regional development: evidence from a political hierarchy reform to create cities in China. </w:t>
      </w:r>
      <w:r w:rsidRPr="00281A2D">
        <w:rPr>
          <w:i/>
          <w:iCs/>
          <w:snapToGrid w:val="0"/>
          <w:color w:val="000000"/>
          <w:szCs w:val="21"/>
          <w:lang w:bidi="en-US"/>
        </w:rPr>
        <w:t>Journal of Urban Economics</w:t>
      </w:r>
      <w:r>
        <w:rPr>
          <w:snapToGrid w:val="0"/>
          <w:color w:val="000000"/>
          <w:szCs w:val="21"/>
          <w:lang w:bidi="en-US"/>
        </w:rPr>
        <w:t>.</w:t>
      </w:r>
      <w:r w:rsidRPr="00413F8F">
        <w:rPr>
          <w:snapToGrid w:val="0"/>
          <w:color w:val="000000"/>
          <w:szCs w:val="21"/>
          <w:lang w:bidi="en-US"/>
        </w:rPr>
        <w:t xml:space="preserve"> </w:t>
      </w:r>
      <w:r w:rsidRPr="0093757B">
        <w:rPr>
          <w:b/>
          <w:bCs/>
          <w:snapToGrid w:val="0"/>
          <w:color w:val="000000"/>
          <w:szCs w:val="21"/>
          <w:lang w:bidi="en-US"/>
        </w:rPr>
        <w:t>115</w:t>
      </w:r>
      <w:r w:rsidRPr="00413F8F">
        <w:rPr>
          <w:snapToGrid w:val="0"/>
          <w:color w:val="000000"/>
          <w:szCs w:val="21"/>
          <w:lang w:bidi="en-US"/>
        </w:rPr>
        <w:t xml:space="preserve">, 103182 (2020) </w:t>
      </w:r>
    </w:p>
    <w:p w14:paraId="4C8C6ACA" w14:textId="77777777" w:rsidR="00281A2D" w:rsidRPr="00413F8F" w:rsidRDefault="00281A2D" w:rsidP="00281A2D">
      <w:pPr>
        <w:spacing w:after="80"/>
        <w:ind w:left="480" w:hangingChars="200" w:hanging="480"/>
        <w:rPr>
          <w:snapToGrid w:val="0"/>
          <w:color w:val="000000"/>
          <w:szCs w:val="21"/>
          <w:lang w:bidi="en-US"/>
        </w:rPr>
      </w:pPr>
      <w:r w:rsidRPr="00413F8F">
        <w:rPr>
          <w:snapToGrid w:val="0"/>
          <w:color w:val="000000"/>
          <w:szCs w:val="21"/>
          <w:lang w:bidi="en-US"/>
        </w:rPr>
        <w:t>Cao, Z., Wang, L., Zhang, Y.</w:t>
      </w:r>
      <w:r>
        <w:rPr>
          <w:snapToGrid w:val="0"/>
          <w:color w:val="000000"/>
          <w:szCs w:val="21"/>
          <w:lang w:bidi="en-US"/>
        </w:rPr>
        <w:t>:</w:t>
      </w:r>
      <w:r w:rsidRPr="00413F8F">
        <w:rPr>
          <w:snapToGrid w:val="0"/>
          <w:color w:val="000000"/>
          <w:szCs w:val="21"/>
          <w:lang w:bidi="en-US"/>
        </w:rPr>
        <w:t xml:space="preserve"> Environmental Effects of City–County Mergers in China: Strengthening Gover</w:t>
      </w:r>
      <w:r>
        <w:rPr>
          <w:snapToGrid w:val="0"/>
          <w:color w:val="000000"/>
          <w:szCs w:val="21"/>
          <w:lang w:bidi="en-US"/>
        </w:rPr>
        <w:t>nance or Aggravating Pollution?</w:t>
      </w:r>
      <w:r w:rsidRPr="00413F8F">
        <w:rPr>
          <w:snapToGrid w:val="0"/>
          <w:color w:val="000000"/>
          <w:szCs w:val="21"/>
          <w:lang w:bidi="en-US"/>
        </w:rPr>
        <w:t xml:space="preserve"> </w:t>
      </w:r>
      <w:r w:rsidRPr="00281A2D">
        <w:rPr>
          <w:i/>
          <w:iCs/>
          <w:snapToGrid w:val="0"/>
          <w:color w:val="000000"/>
          <w:szCs w:val="21"/>
          <w:lang w:bidi="en-US"/>
        </w:rPr>
        <w:t>Sustainability</w:t>
      </w:r>
      <w:r>
        <w:rPr>
          <w:snapToGrid w:val="0"/>
          <w:color w:val="000000"/>
          <w:szCs w:val="21"/>
          <w:lang w:bidi="en-US"/>
        </w:rPr>
        <w:t>.</w:t>
      </w:r>
      <w:r w:rsidRPr="00413F8F">
        <w:rPr>
          <w:snapToGrid w:val="0"/>
          <w:color w:val="000000"/>
          <w:szCs w:val="21"/>
          <w:lang w:bidi="en-US"/>
        </w:rPr>
        <w:t xml:space="preserve"> </w:t>
      </w:r>
      <w:r w:rsidRPr="00217A2A">
        <w:rPr>
          <w:b/>
          <w:bCs/>
          <w:snapToGrid w:val="0"/>
          <w:color w:val="000000"/>
          <w:szCs w:val="21"/>
          <w:lang w:bidi="en-US"/>
        </w:rPr>
        <w:t>14</w:t>
      </w:r>
      <w:r w:rsidRPr="00413F8F">
        <w:rPr>
          <w:snapToGrid w:val="0"/>
          <w:color w:val="000000"/>
          <w:szCs w:val="21"/>
          <w:lang w:bidi="en-US"/>
        </w:rPr>
        <w:t>(9), 5522</w:t>
      </w:r>
      <w:r>
        <w:rPr>
          <w:snapToGrid w:val="0"/>
          <w:color w:val="000000"/>
          <w:szCs w:val="21"/>
          <w:lang w:bidi="en-US"/>
        </w:rPr>
        <w:t xml:space="preserve"> (2022)</w:t>
      </w:r>
      <w:r w:rsidRPr="00413F8F">
        <w:rPr>
          <w:snapToGrid w:val="0"/>
          <w:color w:val="000000"/>
          <w:szCs w:val="21"/>
          <w:lang w:bidi="en-US"/>
        </w:rPr>
        <w:t>.</w:t>
      </w:r>
    </w:p>
    <w:p w14:paraId="41E9B05C" w14:textId="77777777" w:rsidR="00281A2D" w:rsidRPr="00413F8F" w:rsidRDefault="00281A2D" w:rsidP="00281A2D">
      <w:pPr>
        <w:spacing w:after="80"/>
        <w:ind w:left="480" w:hangingChars="200" w:hanging="480"/>
        <w:rPr>
          <w:snapToGrid w:val="0"/>
          <w:color w:val="000000"/>
          <w:szCs w:val="21"/>
          <w:lang w:bidi="en-US"/>
        </w:rPr>
      </w:pPr>
      <w:r w:rsidRPr="00413F8F">
        <w:rPr>
          <w:snapToGrid w:val="0"/>
          <w:color w:val="000000"/>
          <w:szCs w:val="21"/>
          <w:lang w:bidi="en-US"/>
        </w:rPr>
        <w:t>Chen, A., Partridge, M. D.</w:t>
      </w:r>
      <w:r>
        <w:rPr>
          <w:snapToGrid w:val="0"/>
          <w:color w:val="000000"/>
          <w:szCs w:val="21"/>
          <w:lang w:bidi="en-US"/>
        </w:rPr>
        <w:t>:</w:t>
      </w:r>
      <w:r w:rsidRPr="00413F8F">
        <w:rPr>
          <w:snapToGrid w:val="0"/>
          <w:color w:val="000000"/>
          <w:szCs w:val="21"/>
          <w:lang w:bidi="en-US"/>
        </w:rPr>
        <w:t xml:space="preserve"> When are cities engines of growth</w:t>
      </w:r>
      <w:r w:rsidRPr="00413F8F">
        <w:rPr>
          <w:rFonts w:hint="eastAsia"/>
          <w:snapToGrid w:val="0"/>
          <w:color w:val="000000"/>
          <w:szCs w:val="21"/>
          <w:lang w:bidi="en-US"/>
        </w:rPr>
        <w:t xml:space="preserve"> </w:t>
      </w:r>
      <w:r w:rsidRPr="00413F8F">
        <w:rPr>
          <w:snapToGrid w:val="0"/>
          <w:color w:val="000000"/>
          <w:szCs w:val="21"/>
          <w:lang w:bidi="en-US"/>
        </w:rPr>
        <w:t>in China? Spread and backwash effects across the urban hierarchy.</w:t>
      </w:r>
      <w:r w:rsidRPr="00413F8F">
        <w:rPr>
          <w:rFonts w:hint="eastAsia"/>
          <w:snapToGrid w:val="0"/>
          <w:color w:val="000000"/>
          <w:szCs w:val="21"/>
          <w:lang w:bidi="en-US"/>
        </w:rPr>
        <w:t xml:space="preserve"> </w:t>
      </w:r>
      <w:r w:rsidRPr="00281A2D">
        <w:rPr>
          <w:i/>
          <w:iCs/>
          <w:snapToGrid w:val="0"/>
          <w:color w:val="000000"/>
          <w:szCs w:val="21"/>
          <w:lang w:bidi="en-US"/>
        </w:rPr>
        <w:t>Regional Studies</w:t>
      </w:r>
      <w:r>
        <w:rPr>
          <w:snapToGrid w:val="0"/>
          <w:color w:val="000000"/>
          <w:szCs w:val="21"/>
          <w:lang w:bidi="en-US"/>
        </w:rPr>
        <w:t>.</w:t>
      </w:r>
      <w:r w:rsidRPr="00413F8F">
        <w:rPr>
          <w:snapToGrid w:val="0"/>
          <w:color w:val="000000"/>
          <w:szCs w:val="21"/>
          <w:lang w:bidi="en-US"/>
        </w:rPr>
        <w:t xml:space="preserve"> </w:t>
      </w:r>
      <w:r w:rsidRPr="0075221F">
        <w:rPr>
          <w:b/>
          <w:bCs/>
          <w:snapToGrid w:val="0"/>
          <w:color w:val="000000"/>
          <w:szCs w:val="21"/>
          <w:lang w:bidi="en-US"/>
        </w:rPr>
        <w:t>47</w:t>
      </w:r>
      <w:r w:rsidRPr="00413F8F">
        <w:rPr>
          <w:snapToGrid w:val="0"/>
          <w:color w:val="000000"/>
          <w:szCs w:val="21"/>
          <w:lang w:bidi="en-US"/>
        </w:rPr>
        <w:t>(8), 1313-1331 (2013)</w:t>
      </w:r>
    </w:p>
    <w:p w14:paraId="7C61C58A" w14:textId="77777777" w:rsidR="00281A2D" w:rsidRPr="00413F8F" w:rsidRDefault="00281A2D" w:rsidP="00281A2D">
      <w:pPr>
        <w:spacing w:after="80"/>
        <w:ind w:left="480" w:hangingChars="200" w:hanging="480"/>
        <w:rPr>
          <w:snapToGrid w:val="0"/>
          <w:color w:val="000000"/>
          <w:szCs w:val="21"/>
          <w:lang w:bidi="en-US"/>
        </w:rPr>
      </w:pPr>
      <w:r w:rsidRPr="00413F8F">
        <w:rPr>
          <w:snapToGrid w:val="0"/>
          <w:color w:val="000000"/>
          <w:szCs w:val="21"/>
          <w:lang w:bidi="en-US"/>
        </w:rPr>
        <w:t>Chen, Y., Wang, K., Wang, F.</w:t>
      </w:r>
      <w:r>
        <w:rPr>
          <w:snapToGrid w:val="0"/>
          <w:color w:val="000000"/>
          <w:szCs w:val="21"/>
          <w:lang w:bidi="en-US"/>
        </w:rPr>
        <w:t>:</w:t>
      </w:r>
      <w:r w:rsidRPr="00413F8F">
        <w:rPr>
          <w:snapToGrid w:val="0"/>
          <w:color w:val="000000"/>
          <w:szCs w:val="21"/>
          <w:lang w:bidi="en-US"/>
        </w:rPr>
        <w:t xml:space="preserve"> Economic growth mechanism of county-to-district conversion and its dialectical relationship with city shrinkage: Case study of county-to-district conversion in Hangzhou, China. </w:t>
      </w:r>
      <w:r w:rsidRPr="00281A2D">
        <w:rPr>
          <w:i/>
          <w:iCs/>
          <w:snapToGrid w:val="0"/>
          <w:color w:val="000000"/>
          <w:szCs w:val="21"/>
          <w:lang w:bidi="en-US"/>
        </w:rPr>
        <w:t>Journal of Urban Planning and Development</w:t>
      </w:r>
      <w:r>
        <w:rPr>
          <w:snapToGrid w:val="0"/>
          <w:color w:val="000000"/>
          <w:szCs w:val="21"/>
          <w:lang w:bidi="en-US"/>
        </w:rPr>
        <w:t>.</w:t>
      </w:r>
      <w:r w:rsidRPr="00413F8F">
        <w:rPr>
          <w:snapToGrid w:val="0"/>
          <w:color w:val="000000"/>
          <w:szCs w:val="21"/>
          <w:lang w:bidi="en-US"/>
        </w:rPr>
        <w:t xml:space="preserve"> </w:t>
      </w:r>
      <w:r w:rsidRPr="00153A53">
        <w:rPr>
          <w:b/>
          <w:bCs/>
          <w:snapToGrid w:val="0"/>
          <w:color w:val="000000"/>
          <w:szCs w:val="21"/>
          <w:lang w:bidi="en-US"/>
        </w:rPr>
        <w:t>146</w:t>
      </w:r>
      <w:r w:rsidRPr="00413F8F">
        <w:rPr>
          <w:snapToGrid w:val="0"/>
          <w:color w:val="000000"/>
          <w:szCs w:val="21"/>
          <w:lang w:bidi="en-US"/>
        </w:rPr>
        <w:t>(4), 05020029</w:t>
      </w:r>
      <w:r>
        <w:rPr>
          <w:snapToGrid w:val="0"/>
          <w:color w:val="000000"/>
          <w:szCs w:val="21"/>
          <w:lang w:bidi="en-US"/>
        </w:rPr>
        <w:t xml:space="preserve"> (</w:t>
      </w:r>
      <w:r w:rsidRPr="00413F8F">
        <w:rPr>
          <w:snapToGrid w:val="0"/>
          <w:color w:val="000000"/>
          <w:szCs w:val="21"/>
          <w:lang w:bidi="en-US"/>
        </w:rPr>
        <w:t>2020</w:t>
      </w:r>
      <w:r>
        <w:rPr>
          <w:snapToGrid w:val="0"/>
          <w:color w:val="000000"/>
          <w:szCs w:val="21"/>
          <w:lang w:bidi="en-US"/>
        </w:rPr>
        <w:t>)</w:t>
      </w:r>
      <w:r w:rsidRPr="00413F8F">
        <w:rPr>
          <w:snapToGrid w:val="0"/>
          <w:color w:val="000000"/>
          <w:szCs w:val="21"/>
          <w:lang w:bidi="en-US"/>
        </w:rPr>
        <w:t xml:space="preserve">. </w:t>
      </w:r>
    </w:p>
    <w:p w14:paraId="4DE432AC" w14:textId="0DDB0C9B" w:rsidR="00281A2D" w:rsidRDefault="00281A2D" w:rsidP="00281A2D">
      <w:pPr>
        <w:spacing w:after="80"/>
        <w:ind w:left="480" w:hangingChars="200" w:hanging="480"/>
        <w:rPr>
          <w:snapToGrid w:val="0"/>
          <w:color w:val="000000"/>
          <w:szCs w:val="21"/>
          <w:lang w:bidi="en-US"/>
        </w:rPr>
      </w:pPr>
      <w:r w:rsidRPr="000F582A">
        <w:rPr>
          <w:snapToGrid w:val="0"/>
          <w:color w:val="000000"/>
          <w:szCs w:val="21"/>
          <w:lang w:bidi="en-US"/>
        </w:rPr>
        <w:t xml:space="preserve">Chung, J. H., Lam, T. C.: China's “city system” in flux: explaining post-Mao administrative changes. </w:t>
      </w:r>
      <w:r w:rsidRPr="00281A2D">
        <w:rPr>
          <w:i/>
          <w:iCs/>
          <w:snapToGrid w:val="0"/>
          <w:color w:val="000000"/>
          <w:szCs w:val="21"/>
          <w:lang w:bidi="en-US"/>
        </w:rPr>
        <w:t>The China Quarterly</w:t>
      </w:r>
      <w:r w:rsidRPr="000F582A">
        <w:rPr>
          <w:snapToGrid w:val="0"/>
          <w:color w:val="000000"/>
          <w:szCs w:val="21"/>
          <w:lang w:bidi="en-US"/>
        </w:rPr>
        <w:t xml:space="preserve">. </w:t>
      </w:r>
      <w:r w:rsidRPr="000F582A">
        <w:rPr>
          <w:b/>
          <w:bCs/>
          <w:snapToGrid w:val="0"/>
          <w:color w:val="000000"/>
          <w:szCs w:val="21"/>
          <w:lang w:bidi="en-US"/>
        </w:rPr>
        <w:t>180</w:t>
      </w:r>
      <w:r w:rsidRPr="000F582A">
        <w:rPr>
          <w:snapToGrid w:val="0"/>
          <w:color w:val="000000"/>
          <w:szCs w:val="21"/>
          <w:lang w:bidi="en-US"/>
        </w:rPr>
        <w:t xml:space="preserve">, 945-964 (2004). </w:t>
      </w:r>
    </w:p>
    <w:p w14:paraId="277F4810" w14:textId="5A3ABC38" w:rsidR="00FE0DDF" w:rsidRDefault="00FE0DDF" w:rsidP="00281A2D">
      <w:pPr>
        <w:spacing w:after="80"/>
        <w:ind w:left="480" w:hangingChars="200" w:hanging="480"/>
        <w:rPr>
          <w:snapToGrid w:val="0"/>
          <w:color w:val="000000"/>
          <w:szCs w:val="21"/>
          <w:lang w:bidi="en-US"/>
        </w:rPr>
      </w:pPr>
      <w:r w:rsidRPr="00A072E5">
        <w:rPr>
          <w:snapToGrid w:val="0"/>
          <w:color w:val="000000"/>
          <w:szCs w:val="21"/>
          <w:lang w:bidi="en-US"/>
        </w:rPr>
        <w:lastRenderedPageBreak/>
        <w:t>Delgado, M. S., Florax, R. J.</w:t>
      </w:r>
      <w:r>
        <w:rPr>
          <w:snapToGrid w:val="0"/>
          <w:color w:val="000000"/>
          <w:szCs w:val="21"/>
          <w:lang w:bidi="en-US"/>
        </w:rPr>
        <w:t>:</w:t>
      </w:r>
      <w:r w:rsidRPr="00A072E5">
        <w:rPr>
          <w:snapToGrid w:val="0"/>
          <w:color w:val="000000"/>
          <w:szCs w:val="21"/>
          <w:lang w:bidi="en-US"/>
        </w:rPr>
        <w:t xml:space="preserve"> Difference-in-differences techniques for spatial data: Local autocorrelation and spatial interaction. </w:t>
      </w:r>
      <w:r w:rsidRPr="00FE0DDF">
        <w:rPr>
          <w:i/>
          <w:iCs/>
          <w:snapToGrid w:val="0"/>
          <w:color w:val="000000"/>
          <w:szCs w:val="21"/>
          <w:lang w:bidi="en-US"/>
        </w:rPr>
        <w:t>Economics Letters</w:t>
      </w:r>
      <w:r>
        <w:rPr>
          <w:snapToGrid w:val="0"/>
          <w:color w:val="000000"/>
          <w:szCs w:val="21"/>
          <w:lang w:bidi="en-US"/>
        </w:rPr>
        <w:t>.</w:t>
      </w:r>
      <w:r w:rsidRPr="00A072E5">
        <w:rPr>
          <w:snapToGrid w:val="0"/>
          <w:color w:val="000000"/>
          <w:szCs w:val="21"/>
          <w:lang w:bidi="en-US"/>
        </w:rPr>
        <w:t xml:space="preserve"> </w:t>
      </w:r>
      <w:r w:rsidRPr="00CF3518">
        <w:rPr>
          <w:b/>
          <w:bCs/>
          <w:snapToGrid w:val="0"/>
          <w:color w:val="000000"/>
          <w:szCs w:val="21"/>
          <w:lang w:bidi="en-US"/>
        </w:rPr>
        <w:t>137</w:t>
      </w:r>
      <w:r>
        <w:rPr>
          <w:snapToGrid w:val="0"/>
          <w:color w:val="000000"/>
          <w:szCs w:val="21"/>
          <w:lang w:bidi="en-US"/>
        </w:rPr>
        <w:t>:</w:t>
      </w:r>
      <w:r w:rsidRPr="00A072E5">
        <w:rPr>
          <w:snapToGrid w:val="0"/>
          <w:color w:val="000000"/>
          <w:szCs w:val="21"/>
          <w:lang w:bidi="en-US"/>
        </w:rPr>
        <w:t xml:space="preserve"> 123-126</w:t>
      </w:r>
      <w:r w:rsidRPr="00164572">
        <w:rPr>
          <w:snapToGrid w:val="0"/>
          <w:color w:val="000000"/>
          <w:szCs w:val="21"/>
          <w:lang w:bidi="en-US"/>
        </w:rPr>
        <w:t xml:space="preserve"> </w:t>
      </w:r>
      <w:r w:rsidRPr="00A072E5">
        <w:rPr>
          <w:snapToGrid w:val="0"/>
          <w:color w:val="000000"/>
          <w:szCs w:val="21"/>
          <w:lang w:bidi="en-US"/>
        </w:rPr>
        <w:t>(2015)</w:t>
      </w:r>
    </w:p>
    <w:p w14:paraId="4678CDEB" w14:textId="77777777" w:rsidR="00281A2D" w:rsidRPr="003B4DE2" w:rsidRDefault="00281A2D" w:rsidP="00281A2D">
      <w:pPr>
        <w:spacing w:after="80"/>
        <w:ind w:left="480" w:hangingChars="200" w:hanging="480"/>
        <w:rPr>
          <w:snapToGrid w:val="0"/>
          <w:color w:val="000000"/>
          <w:szCs w:val="21"/>
          <w:lang w:bidi="en-US"/>
        </w:rPr>
      </w:pPr>
      <w:bookmarkStart w:id="0" w:name="OLE_LINK3"/>
      <w:r w:rsidRPr="003B4DE2">
        <w:rPr>
          <w:snapToGrid w:val="0"/>
          <w:color w:val="000000"/>
          <w:szCs w:val="21"/>
          <w:lang w:bidi="en-US"/>
        </w:rPr>
        <w:t xml:space="preserve">Deng, N., Feng, B., Partridge, M. D.: A blessing or curse: the spillover effects of city–county consolidation on local economies. </w:t>
      </w:r>
      <w:r w:rsidRPr="00281A2D">
        <w:rPr>
          <w:i/>
          <w:iCs/>
          <w:snapToGrid w:val="0"/>
          <w:color w:val="000000"/>
          <w:szCs w:val="21"/>
          <w:lang w:bidi="en-US"/>
        </w:rPr>
        <w:t>Regional Studies</w:t>
      </w:r>
      <w:r w:rsidRPr="003B4DE2">
        <w:rPr>
          <w:snapToGrid w:val="0"/>
          <w:color w:val="000000"/>
          <w:szCs w:val="21"/>
          <w:lang w:bidi="en-US"/>
        </w:rPr>
        <w:t xml:space="preserve">. </w:t>
      </w:r>
      <w:r w:rsidRPr="003B4DE2">
        <w:rPr>
          <w:b/>
          <w:bCs/>
          <w:snapToGrid w:val="0"/>
          <w:color w:val="000000"/>
          <w:szCs w:val="21"/>
          <w:lang w:bidi="en-US"/>
        </w:rPr>
        <w:t>56</w:t>
      </w:r>
      <w:r w:rsidRPr="003B4DE2">
        <w:rPr>
          <w:snapToGrid w:val="0"/>
          <w:color w:val="000000"/>
          <w:szCs w:val="21"/>
          <w:lang w:bidi="en-US"/>
        </w:rPr>
        <w:t xml:space="preserve">(9), 1571-1588 (2022) </w:t>
      </w:r>
    </w:p>
    <w:p w14:paraId="23809D9E" w14:textId="77777777" w:rsidR="00281A2D" w:rsidRPr="003B4DE2" w:rsidRDefault="00281A2D" w:rsidP="00281A2D">
      <w:pPr>
        <w:spacing w:after="80"/>
        <w:ind w:left="480" w:hangingChars="200" w:hanging="480"/>
        <w:rPr>
          <w:snapToGrid w:val="0"/>
          <w:color w:val="000000"/>
          <w:szCs w:val="21"/>
          <w:lang w:bidi="en-US"/>
        </w:rPr>
      </w:pPr>
      <w:r w:rsidRPr="003B4DE2">
        <w:rPr>
          <w:snapToGrid w:val="0"/>
          <w:color w:val="000000"/>
          <w:szCs w:val="21"/>
          <w:lang w:bidi="en-US"/>
        </w:rPr>
        <w:t>Drukker, D. M., Prucha, I. R., Raciborski, R.</w:t>
      </w:r>
      <w:r>
        <w:rPr>
          <w:snapToGrid w:val="0"/>
          <w:color w:val="000000"/>
          <w:szCs w:val="21"/>
          <w:lang w:bidi="en-US"/>
        </w:rPr>
        <w:t>:</w:t>
      </w:r>
      <w:r w:rsidRPr="003B4DE2">
        <w:rPr>
          <w:snapToGrid w:val="0"/>
          <w:color w:val="000000"/>
          <w:szCs w:val="21"/>
          <w:lang w:bidi="en-US"/>
        </w:rPr>
        <w:t xml:space="preserve"> Maximum</w:t>
      </w:r>
      <w:r w:rsidRPr="003B4DE2">
        <w:rPr>
          <w:rFonts w:hint="eastAsia"/>
          <w:snapToGrid w:val="0"/>
          <w:color w:val="000000"/>
          <w:szCs w:val="21"/>
          <w:lang w:bidi="en-US"/>
        </w:rPr>
        <w:t xml:space="preserve"> </w:t>
      </w:r>
      <w:r w:rsidRPr="003B4DE2">
        <w:rPr>
          <w:snapToGrid w:val="0"/>
          <w:color w:val="000000"/>
          <w:szCs w:val="21"/>
          <w:lang w:bidi="en-US"/>
        </w:rPr>
        <w:t>likelihood and generalized spatial two-stage least-squares estimators</w:t>
      </w:r>
      <w:r w:rsidRPr="003B4DE2">
        <w:rPr>
          <w:rFonts w:hint="eastAsia"/>
          <w:snapToGrid w:val="0"/>
          <w:color w:val="000000"/>
          <w:szCs w:val="21"/>
          <w:lang w:bidi="en-US"/>
        </w:rPr>
        <w:t xml:space="preserve"> </w:t>
      </w:r>
      <w:r w:rsidRPr="003B4DE2">
        <w:rPr>
          <w:snapToGrid w:val="0"/>
          <w:color w:val="000000"/>
          <w:szCs w:val="21"/>
          <w:lang w:bidi="en-US"/>
        </w:rPr>
        <w:t>for a spatial-autoregressive model with spatial-autoregressive</w:t>
      </w:r>
      <w:r w:rsidRPr="003B4DE2">
        <w:rPr>
          <w:rFonts w:hint="eastAsia"/>
          <w:snapToGrid w:val="0"/>
          <w:color w:val="000000"/>
          <w:szCs w:val="21"/>
          <w:lang w:bidi="en-US"/>
        </w:rPr>
        <w:t xml:space="preserve"> </w:t>
      </w:r>
      <w:r w:rsidRPr="003B4DE2">
        <w:rPr>
          <w:snapToGrid w:val="0"/>
          <w:color w:val="000000"/>
          <w:szCs w:val="21"/>
          <w:lang w:bidi="en-US"/>
        </w:rPr>
        <w:t xml:space="preserve">disturbances. </w:t>
      </w:r>
      <w:r w:rsidRPr="00281A2D">
        <w:rPr>
          <w:i/>
          <w:iCs/>
          <w:snapToGrid w:val="0"/>
          <w:color w:val="000000"/>
          <w:szCs w:val="21"/>
          <w:lang w:bidi="en-US"/>
        </w:rPr>
        <w:t>Stata Journal</w:t>
      </w:r>
      <w:r w:rsidRPr="003B4DE2">
        <w:rPr>
          <w:snapToGrid w:val="0"/>
          <w:color w:val="000000"/>
          <w:szCs w:val="21"/>
          <w:lang w:bidi="en-US"/>
        </w:rPr>
        <w:t xml:space="preserve">. </w:t>
      </w:r>
      <w:r w:rsidRPr="003B4DE2">
        <w:rPr>
          <w:b/>
          <w:bCs/>
          <w:snapToGrid w:val="0"/>
          <w:color w:val="000000"/>
          <w:szCs w:val="21"/>
          <w:lang w:bidi="en-US"/>
        </w:rPr>
        <w:t>13</w:t>
      </w:r>
      <w:r w:rsidRPr="003B4DE2">
        <w:rPr>
          <w:snapToGrid w:val="0"/>
          <w:color w:val="000000"/>
          <w:szCs w:val="21"/>
          <w:lang w:bidi="en-US"/>
        </w:rPr>
        <w:t>(2): 221-241 (2013)</w:t>
      </w:r>
    </w:p>
    <w:p w14:paraId="182B89CC" w14:textId="77777777" w:rsidR="00281A2D" w:rsidRPr="00046DD4" w:rsidRDefault="00281A2D" w:rsidP="00281A2D">
      <w:pPr>
        <w:spacing w:after="80"/>
        <w:ind w:left="480" w:hangingChars="200" w:hanging="480"/>
        <w:rPr>
          <w:snapToGrid w:val="0"/>
          <w:color w:val="000000"/>
          <w:szCs w:val="21"/>
          <w:lang w:bidi="en-US"/>
        </w:rPr>
      </w:pPr>
      <w:r w:rsidRPr="00046DD4">
        <w:rPr>
          <w:snapToGrid w:val="0"/>
          <w:color w:val="000000"/>
          <w:szCs w:val="21"/>
          <w:lang w:bidi="en-US"/>
        </w:rPr>
        <w:t>Elhorst, J. P.</w:t>
      </w:r>
      <w:r>
        <w:rPr>
          <w:snapToGrid w:val="0"/>
          <w:color w:val="000000"/>
          <w:szCs w:val="21"/>
          <w:lang w:bidi="en-US"/>
        </w:rPr>
        <w:t>:</w:t>
      </w:r>
      <w:r w:rsidRPr="00046DD4">
        <w:rPr>
          <w:snapToGrid w:val="0"/>
          <w:color w:val="000000"/>
          <w:szCs w:val="21"/>
          <w:lang w:bidi="en-US"/>
        </w:rPr>
        <w:t xml:space="preserve"> Dynamic spatial panels: models, methods, and</w:t>
      </w:r>
      <w:r w:rsidRPr="00046DD4">
        <w:rPr>
          <w:rFonts w:hint="eastAsia"/>
          <w:snapToGrid w:val="0"/>
          <w:color w:val="000000"/>
          <w:szCs w:val="21"/>
          <w:lang w:bidi="en-US"/>
        </w:rPr>
        <w:t xml:space="preserve"> </w:t>
      </w:r>
      <w:r w:rsidRPr="00046DD4">
        <w:rPr>
          <w:snapToGrid w:val="0"/>
          <w:color w:val="000000"/>
          <w:szCs w:val="21"/>
          <w:lang w:bidi="en-US"/>
        </w:rPr>
        <w:t xml:space="preserve">inferences. </w:t>
      </w:r>
      <w:r w:rsidRPr="00281A2D">
        <w:rPr>
          <w:i/>
          <w:iCs/>
          <w:snapToGrid w:val="0"/>
          <w:color w:val="000000"/>
          <w:szCs w:val="21"/>
          <w:lang w:bidi="en-US"/>
        </w:rPr>
        <w:t>Journal of Geographic Systems</w:t>
      </w:r>
      <w:r w:rsidRPr="00046DD4">
        <w:rPr>
          <w:snapToGrid w:val="0"/>
          <w:color w:val="000000"/>
          <w:szCs w:val="21"/>
          <w:lang w:bidi="en-US"/>
        </w:rPr>
        <w:t xml:space="preserve">. </w:t>
      </w:r>
      <w:r w:rsidRPr="00046DD4">
        <w:rPr>
          <w:b/>
          <w:bCs/>
          <w:snapToGrid w:val="0"/>
          <w:color w:val="000000"/>
          <w:szCs w:val="21"/>
          <w:lang w:bidi="en-US"/>
        </w:rPr>
        <w:t>14</w:t>
      </w:r>
      <w:r w:rsidRPr="00046DD4">
        <w:rPr>
          <w:snapToGrid w:val="0"/>
          <w:color w:val="000000"/>
          <w:szCs w:val="21"/>
          <w:lang w:bidi="en-US"/>
        </w:rPr>
        <w:t>(1): 5–28 (2012)</w:t>
      </w:r>
    </w:p>
    <w:p w14:paraId="595210F4" w14:textId="24EDC411" w:rsidR="00281A2D" w:rsidRPr="004E79B3" w:rsidRDefault="00281A2D" w:rsidP="00281A2D">
      <w:pPr>
        <w:spacing w:after="80"/>
        <w:ind w:left="480" w:hangingChars="200" w:hanging="480"/>
        <w:rPr>
          <w:snapToGrid w:val="0"/>
          <w:color w:val="000000"/>
          <w:szCs w:val="21"/>
          <w:lang w:bidi="en-US"/>
        </w:rPr>
      </w:pPr>
      <w:r w:rsidRPr="004E79B3">
        <w:rPr>
          <w:snapToGrid w:val="0"/>
          <w:color w:val="000000"/>
          <w:szCs w:val="21"/>
          <w:lang w:bidi="en-US"/>
        </w:rPr>
        <w:t>Fan, S., Li, L., Zhang, X.: Rethinking China's under</w:t>
      </w:r>
      <w:r w:rsidR="0025750D">
        <w:rPr>
          <w:snapToGrid w:val="0"/>
          <w:color w:val="000000"/>
          <w:szCs w:val="21"/>
          <w:lang w:bidi="en-US"/>
        </w:rPr>
        <w:t>-</w:t>
      </w:r>
      <w:r w:rsidRPr="004E79B3">
        <w:rPr>
          <w:snapToGrid w:val="0"/>
          <w:color w:val="000000"/>
          <w:szCs w:val="21"/>
          <w:lang w:bidi="en-US"/>
        </w:rPr>
        <w:t>urbanization: an evaluation of its county-to-city upgrading policy (No. 875). International Food Policy Research Institute (IFPRI)</w:t>
      </w:r>
      <w:r>
        <w:rPr>
          <w:snapToGrid w:val="0"/>
          <w:color w:val="000000"/>
          <w:szCs w:val="21"/>
          <w:lang w:bidi="en-US"/>
        </w:rPr>
        <w:t>,</w:t>
      </w:r>
      <w:r w:rsidRPr="004E79B3">
        <w:rPr>
          <w:snapToGrid w:val="0"/>
          <w:color w:val="000000"/>
          <w:szCs w:val="21"/>
          <w:lang w:bidi="en-US"/>
        </w:rPr>
        <w:t xml:space="preserve"> (2009) </w:t>
      </w:r>
    </w:p>
    <w:bookmarkEnd w:id="0"/>
    <w:p w14:paraId="5C5D3641" w14:textId="77777777" w:rsidR="00245BE4" w:rsidRDefault="00281A2D" w:rsidP="00245BE4">
      <w:pPr>
        <w:spacing w:after="80"/>
        <w:ind w:left="480" w:hangingChars="200" w:hanging="480"/>
        <w:rPr>
          <w:snapToGrid w:val="0"/>
          <w:color w:val="000000"/>
          <w:szCs w:val="21"/>
          <w:lang w:bidi="en-US"/>
        </w:rPr>
      </w:pPr>
      <w:r w:rsidRPr="00213854">
        <w:rPr>
          <w:snapToGrid w:val="0"/>
          <w:color w:val="000000"/>
          <w:szCs w:val="21"/>
          <w:lang w:bidi="en-US"/>
        </w:rPr>
        <w:t xml:space="preserve">Fan, S., Li, L., Zhang, X.: Challenges of creating cities in China: Lessons from a short-lived county-to-city upgrading policy. </w:t>
      </w:r>
      <w:r w:rsidRPr="00281A2D">
        <w:rPr>
          <w:i/>
          <w:iCs/>
          <w:snapToGrid w:val="0"/>
          <w:color w:val="000000"/>
          <w:szCs w:val="21"/>
          <w:lang w:bidi="en-US"/>
        </w:rPr>
        <w:t>Journal of Comparative Economics</w:t>
      </w:r>
      <w:r w:rsidRPr="00213854">
        <w:rPr>
          <w:snapToGrid w:val="0"/>
          <w:color w:val="000000"/>
          <w:szCs w:val="21"/>
          <w:lang w:bidi="en-US"/>
        </w:rPr>
        <w:t xml:space="preserve">. </w:t>
      </w:r>
      <w:r w:rsidRPr="00213854">
        <w:rPr>
          <w:b/>
          <w:bCs/>
          <w:snapToGrid w:val="0"/>
          <w:color w:val="000000"/>
          <w:szCs w:val="21"/>
          <w:lang w:bidi="en-US"/>
        </w:rPr>
        <w:t>40</w:t>
      </w:r>
      <w:r w:rsidRPr="00213854">
        <w:rPr>
          <w:snapToGrid w:val="0"/>
          <w:color w:val="000000"/>
          <w:szCs w:val="21"/>
          <w:lang w:bidi="en-US"/>
        </w:rPr>
        <w:t>(3), 476-491 (2012)</w:t>
      </w:r>
    </w:p>
    <w:p w14:paraId="1D19BBFA" w14:textId="2A06A7B9" w:rsidR="00245BE4" w:rsidRDefault="00245BE4" w:rsidP="00245BE4">
      <w:pPr>
        <w:spacing w:after="80"/>
        <w:ind w:left="480" w:hangingChars="200" w:hanging="480"/>
        <w:rPr>
          <w:snapToGrid w:val="0"/>
          <w:color w:val="000000"/>
          <w:szCs w:val="21"/>
          <w:lang w:bidi="en-US"/>
        </w:rPr>
      </w:pPr>
      <w:r w:rsidRPr="00AF45D6">
        <w:rPr>
          <w:snapToGrid w:val="0"/>
          <w:color w:val="000000"/>
          <w:szCs w:val="21"/>
          <w:lang w:bidi="en-US"/>
        </w:rPr>
        <w:t>Ghosh, T</w:t>
      </w:r>
      <w:r>
        <w:rPr>
          <w:snapToGrid w:val="0"/>
          <w:color w:val="000000"/>
          <w:szCs w:val="21"/>
          <w:lang w:bidi="en-US"/>
        </w:rPr>
        <w:t>.</w:t>
      </w:r>
      <w:r w:rsidRPr="00AF45D6">
        <w:rPr>
          <w:snapToGrid w:val="0"/>
          <w:color w:val="000000"/>
          <w:szCs w:val="21"/>
          <w:lang w:bidi="en-US"/>
        </w:rPr>
        <w:t>, Baugh</w:t>
      </w:r>
      <w:r>
        <w:rPr>
          <w:snapToGrid w:val="0"/>
          <w:color w:val="000000"/>
          <w:szCs w:val="21"/>
          <w:lang w:bidi="en-US"/>
        </w:rPr>
        <w:t xml:space="preserve"> K. E.</w:t>
      </w:r>
      <w:r w:rsidRPr="00AF45D6">
        <w:rPr>
          <w:snapToGrid w:val="0"/>
          <w:color w:val="000000"/>
          <w:szCs w:val="21"/>
          <w:lang w:bidi="en-US"/>
        </w:rPr>
        <w:t>, Elvidge</w:t>
      </w:r>
      <w:r>
        <w:rPr>
          <w:snapToGrid w:val="0"/>
          <w:color w:val="000000"/>
          <w:szCs w:val="21"/>
          <w:lang w:bidi="en-US"/>
        </w:rPr>
        <w:t xml:space="preserve"> C. D.</w:t>
      </w:r>
      <w:r w:rsidRPr="00AF45D6">
        <w:rPr>
          <w:snapToGrid w:val="0"/>
          <w:color w:val="000000"/>
          <w:szCs w:val="21"/>
          <w:lang w:bidi="en-US"/>
        </w:rPr>
        <w:t>, Zhizhin</w:t>
      </w:r>
      <w:r>
        <w:rPr>
          <w:snapToGrid w:val="0"/>
          <w:color w:val="000000"/>
          <w:szCs w:val="21"/>
          <w:lang w:bidi="en-US"/>
        </w:rPr>
        <w:t>, M.</w:t>
      </w:r>
      <w:r w:rsidRPr="00AF45D6">
        <w:rPr>
          <w:snapToGrid w:val="0"/>
          <w:color w:val="000000"/>
          <w:szCs w:val="21"/>
          <w:lang w:bidi="en-US"/>
        </w:rPr>
        <w:t>, Poyda</w:t>
      </w:r>
      <w:r>
        <w:rPr>
          <w:snapToGrid w:val="0"/>
          <w:color w:val="000000"/>
          <w:szCs w:val="21"/>
          <w:lang w:bidi="en-US"/>
        </w:rPr>
        <w:t>, A.</w:t>
      </w:r>
      <w:r w:rsidRPr="00AF45D6">
        <w:rPr>
          <w:snapToGrid w:val="0"/>
          <w:color w:val="000000"/>
          <w:szCs w:val="21"/>
          <w:lang w:bidi="en-US"/>
        </w:rPr>
        <w:t>, and Hsu</w:t>
      </w:r>
      <w:r>
        <w:rPr>
          <w:snapToGrid w:val="0"/>
          <w:color w:val="000000"/>
          <w:szCs w:val="21"/>
          <w:lang w:bidi="en-US"/>
        </w:rPr>
        <w:t>,</w:t>
      </w:r>
      <w:r w:rsidRPr="00AF45D6">
        <w:rPr>
          <w:snapToGrid w:val="0"/>
          <w:color w:val="000000"/>
          <w:szCs w:val="21"/>
          <w:lang w:bidi="en-US"/>
        </w:rPr>
        <w:t xml:space="preserve"> Feng-Chi</w:t>
      </w:r>
      <w:r>
        <w:rPr>
          <w:snapToGrid w:val="0"/>
          <w:color w:val="000000"/>
          <w:szCs w:val="21"/>
          <w:lang w:bidi="en-US"/>
        </w:rPr>
        <w:t>.:</w:t>
      </w:r>
      <w:r w:rsidRPr="00AF45D6">
        <w:rPr>
          <w:snapToGrid w:val="0"/>
          <w:color w:val="000000"/>
          <w:szCs w:val="21"/>
          <w:lang w:bidi="en-US"/>
        </w:rPr>
        <w:t xml:space="preserve"> Extending the DMSP</w:t>
      </w:r>
      <w:r>
        <w:rPr>
          <w:rFonts w:hint="eastAsia"/>
          <w:snapToGrid w:val="0"/>
          <w:color w:val="000000"/>
          <w:szCs w:val="21"/>
          <w:lang w:bidi="en-US"/>
        </w:rPr>
        <w:t xml:space="preserve"> </w:t>
      </w:r>
      <w:r w:rsidRPr="00AF45D6">
        <w:rPr>
          <w:snapToGrid w:val="0"/>
          <w:color w:val="000000"/>
          <w:szCs w:val="21"/>
          <w:lang w:bidi="en-US"/>
        </w:rPr>
        <w:t xml:space="preserve">nighttime lights time series beyond 2013. </w:t>
      </w:r>
      <w:r w:rsidRPr="00245BE4">
        <w:rPr>
          <w:i/>
          <w:iCs/>
          <w:snapToGrid w:val="0"/>
          <w:color w:val="000000"/>
          <w:szCs w:val="21"/>
          <w:lang w:bidi="en-US"/>
        </w:rPr>
        <w:t>Remote Sensing</w:t>
      </w:r>
      <w:r>
        <w:rPr>
          <w:snapToGrid w:val="0"/>
          <w:color w:val="000000"/>
          <w:szCs w:val="21"/>
          <w:lang w:bidi="en-US"/>
        </w:rPr>
        <w:t>.</w:t>
      </w:r>
      <w:r w:rsidRPr="00AF45D6">
        <w:rPr>
          <w:snapToGrid w:val="0"/>
          <w:color w:val="000000"/>
          <w:szCs w:val="21"/>
          <w:lang w:bidi="en-US"/>
        </w:rPr>
        <w:t xml:space="preserve"> </w:t>
      </w:r>
      <w:r w:rsidRPr="000F0151">
        <w:rPr>
          <w:b/>
          <w:bCs/>
          <w:snapToGrid w:val="0"/>
          <w:color w:val="000000"/>
          <w:szCs w:val="21"/>
          <w:lang w:bidi="en-US"/>
        </w:rPr>
        <w:t>13</w:t>
      </w:r>
      <w:r w:rsidRPr="00AF45D6">
        <w:rPr>
          <w:snapToGrid w:val="0"/>
          <w:color w:val="000000"/>
          <w:szCs w:val="21"/>
          <w:lang w:bidi="en-US"/>
        </w:rPr>
        <w:t>(24): 5004 (2021)</w:t>
      </w:r>
    </w:p>
    <w:p w14:paraId="7D8114EC" w14:textId="77777777" w:rsidR="0025750D" w:rsidRDefault="0025750D" w:rsidP="0025750D">
      <w:pPr>
        <w:spacing w:after="80"/>
        <w:ind w:left="480" w:hangingChars="200" w:hanging="480"/>
        <w:rPr>
          <w:snapToGrid w:val="0"/>
          <w:color w:val="000000"/>
          <w:szCs w:val="21"/>
          <w:lang w:bidi="en-US"/>
        </w:rPr>
      </w:pPr>
      <w:r w:rsidRPr="0025750D">
        <w:rPr>
          <w:snapToGrid w:val="0"/>
          <w:color w:val="000000"/>
          <w:szCs w:val="21"/>
          <w:lang w:bidi="en-US"/>
        </w:rPr>
        <w:t>Gibson, J., Jiang, Y., Susantono, B.: Revisiting the role of secondary towns: How different types</w:t>
      </w:r>
      <w:r>
        <w:rPr>
          <w:snapToGrid w:val="0"/>
          <w:color w:val="000000"/>
          <w:szCs w:val="21"/>
          <w:lang w:bidi="en-US"/>
        </w:rPr>
        <w:t xml:space="preserve"> </w:t>
      </w:r>
      <w:r w:rsidRPr="0025750D">
        <w:rPr>
          <w:snapToGrid w:val="0"/>
          <w:color w:val="000000"/>
          <w:szCs w:val="21"/>
          <w:lang w:bidi="en-US"/>
        </w:rPr>
        <w:t xml:space="preserve">of urban growth relate to poverty in Indonesia. </w:t>
      </w:r>
      <w:r w:rsidRPr="0025750D">
        <w:rPr>
          <w:i/>
          <w:iCs/>
          <w:snapToGrid w:val="0"/>
          <w:color w:val="000000"/>
          <w:szCs w:val="21"/>
          <w:lang w:bidi="en-US"/>
        </w:rPr>
        <w:t>World Development</w:t>
      </w:r>
      <w:r w:rsidRPr="0025750D">
        <w:rPr>
          <w:snapToGrid w:val="0"/>
          <w:color w:val="000000"/>
          <w:szCs w:val="21"/>
          <w:lang w:bidi="en-US"/>
        </w:rPr>
        <w:t xml:space="preserve">. </w:t>
      </w:r>
      <w:r w:rsidRPr="0025750D">
        <w:rPr>
          <w:b/>
          <w:bCs/>
          <w:snapToGrid w:val="0"/>
          <w:color w:val="000000"/>
          <w:szCs w:val="21"/>
          <w:lang w:bidi="en-US"/>
        </w:rPr>
        <w:t>169</w:t>
      </w:r>
      <w:r w:rsidRPr="0025750D">
        <w:rPr>
          <w:snapToGrid w:val="0"/>
          <w:color w:val="000000"/>
          <w:szCs w:val="21"/>
          <w:lang w:bidi="en-US"/>
        </w:rPr>
        <w:t>: 106281 (2023)</w:t>
      </w:r>
    </w:p>
    <w:p w14:paraId="55C47016" w14:textId="7EAE4480" w:rsidR="0025750D" w:rsidRDefault="0025750D" w:rsidP="0025750D">
      <w:pPr>
        <w:spacing w:after="80"/>
        <w:ind w:left="480" w:hangingChars="200" w:hanging="480"/>
        <w:rPr>
          <w:snapToGrid w:val="0"/>
          <w:color w:val="000000"/>
          <w:szCs w:val="21"/>
          <w:lang w:bidi="en-US"/>
        </w:rPr>
      </w:pPr>
      <w:r w:rsidRPr="0025750D">
        <w:rPr>
          <w:snapToGrid w:val="0"/>
          <w:color w:val="000000"/>
          <w:szCs w:val="21"/>
          <w:lang w:bidi="en-US"/>
        </w:rPr>
        <w:t>Gibson, J., Li, C.:</w:t>
      </w:r>
      <w:r>
        <w:rPr>
          <w:snapToGrid w:val="0"/>
          <w:color w:val="000000"/>
          <w:szCs w:val="21"/>
          <w:lang w:bidi="en-US"/>
        </w:rPr>
        <w:t xml:space="preserve"> The erroneous use of China’</w:t>
      </w:r>
      <w:r w:rsidRPr="0025750D">
        <w:rPr>
          <w:snapToGrid w:val="0"/>
          <w:color w:val="000000"/>
          <w:szCs w:val="21"/>
          <w:lang w:bidi="en-US"/>
        </w:rPr>
        <w:t>s population and per capita data: a structured review</w:t>
      </w:r>
      <w:r>
        <w:rPr>
          <w:snapToGrid w:val="0"/>
          <w:color w:val="000000"/>
          <w:szCs w:val="21"/>
          <w:lang w:bidi="en-US"/>
        </w:rPr>
        <w:t xml:space="preserve"> </w:t>
      </w:r>
      <w:r w:rsidRPr="0025750D">
        <w:rPr>
          <w:snapToGrid w:val="0"/>
          <w:color w:val="000000"/>
          <w:szCs w:val="21"/>
          <w:lang w:bidi="en-US"/>
        </w:rPr>
        <w:t xml:space="preserve">and critical test. </w:t>
      </w:r>
      <w:r w:rsidRPr="0025750D">
        <w:rPr>
          <w:i/>
          <w:iCs/>
          <w:snapToGrid w:val="0"/>
          <w:color w:val="000000"/>
          <w:szCs w:val="21"/>
          <w:lang w:bidi="en-US"/>
        </w:rPr>
        <w:t>Journal of Economic Surveys</w:t>
      </w:r>
      <w:r w:rsidRPr="0025750D">
        <w:rPr>
          <w:snapToGrid w:val="0"/>
          <w:color w:val="000000"/>
          <w:szCs w:val="21"/>
          <w:lang w:bidi="en-US"/>
        </w:rPr>
        <w:t xml:space="preserve">. </w:t>
      </w:r>
      <w:r w:rsidRPr="0025750D">
        <w:rPr>
          <w:b/>
          <w:bCs/>
          <w:snapToGrid w:val="0"/>
          <w:color w:val="000000"/>
          <w:szCs w:val="21"/>
          <w:lang w:bidi="en-US"/>
        </w:rPr>
        <w:t>31</w:t>
      </w:r>
      <w:r w:rsidRPr="0025750D">
        <w:rPr>
          <w:snapToGrid w:val="0"/>
          <w:color w:val="000000"/>
          <w:szCs w:val="21"/>
          <w:lang w:bidi="en-US"/>
        </w:rPr>
        <w:t>(4): 905-922 (2017)</w:t>
      </w:r>
    </w:p>
    <w:p w14:paraId="7A5AC35A" w14:textId="38B613F1" w:rsidR="00281A2D" w:rsidRPr="001225CC" w:rsidRDefault="0025750D" w:rsidP="00281A2D">
      <w:pPr>
        <w:spacing w:after="80"/>
        <w:ind w:left="480" w:hangingChars="200" w:hanging="480"/>
        <w:rPr>
          <w:snapToGrid w:val="0"/>
          <w:color w:val="000000"/>
          <w:szCs w:val="21"/>
          <w:lang w:bidi="en-US"/>
        </w:rPr>
      </w:pPr>
      <w:r>
        <w:rPr>
          <w:snapToGrid w:val="0"/>
          <w:color w:val="000000"/>
          <w:szCs w:val="21"/>
          <w:lang w:bidi="en-US"/>
        </w:rPr>
        <w:t>He, J., Jaros, K.: The m</w:t>
      </w:r>
      <w:r w:rsidR="00281A2D" w:rsidRPr="001225CC">
        <w:rPr>
          <w:snapToGrid w:val="0"/>
          <w:color w:val="000000"/>
          <w:szCs w:val="21"/>
          <w:lang w:bidi="en-US"/>
        </w:rPr>
        <w:t xml:space="preserve">ultilevel </w:t>
      </w:r>
      <w:r>
        <w:rPr>
          <w:snapToGrid w:val="0"/>
          <w:color w:val="000000"/>
          <w:szCs w:val="21"/>
          <w:lang w:bidi="en-US"/>
        </w:rPr>
        <w:t>politics of County-to-District m</w:t>
      </w:r>
      <w:r w:rsidR="00281A2D" w:rsidRPr="001225CC">
        <w:rPr>
          <w:snapToGrid w:val="0"/>
          <w:color w:val="000000"/>
          <w:szCs w:val="21"/>
          <w:lang w:bidi="en-US"/>
        </w:rPr>
        <w:t xml:space="preserve">ergers in China. </w:t>
      </w:r>
      <w:r w:rsidR="00281A2D" w:rsidRPr="00281A2D">
        <w:rPr>
          <w:i/>
          <w:iCs/>
          <w:snapToGrid w:val="0"/>
          <w:color w:val="000000"/>
          <w:szCs w:val="21"/>
          <w:lang w:bidi="en-US"/>
        </w:rPr>
        <w:t>Journal of Contemporary China</w:t>
      </w:r>
      <w:r w:rsidR="00281A2D" w:rsidRPr="001225CC">
        <w:rPr>
          <w:snapToGrid w:val="0"/>
          <w:color w:val="000000"/>
          <w:szCs w:val="21"/>
          <w:lang w:bidi="en-US"/>
        </w:rPr>
        <w:t>. 1-19 (2022)</w:t>
      </w:r>
    </w:p>
    <w:p w14:paraId="070541C5" w14:textId="77777777" w:rsidR="00281A2D" w:rsidRPr="00023598" w:rsidRDefault="00281A2D" w:rsidP="00281A2D">
      <w:pPr>
        <w:spacing w:after="80"/>
        <w:ind w:left="480" w:hangingChars="200" w:hanging="480"/>
        <w:rPr>
          <w:snapToGrid w:val="0"/>
          <w:color w:val="000000"/>
          <w:szCs w:val="21"/>
          <w:lang w:bidi="en-US"/>
        </w:rPr>
      </w:pPr>
      <w:r w:rsidRPr="00023598">
        <w:rPr>
          <w:snapToGrid w:val="0"/>
          <w:color w:val="000000"/>
          <w:szCs w:val="21"/>
          <w:lang w:bidi="en-US"/>
        </w:rPr>
        <w:t xml:space="preserve">Jiang, M., Chen, W., Yu, X., Zhong, G., Dai, M., Shen, X.: How can urban administrative boundary expansion affect air pollution? Mechanism analysis and empirical test. </w:t>
      </w:r>
      <w:r w:rsidRPr="00281A2D">
        <w:rPr>
          <w:i/>
          <w:iCs/>
          <w:snapToGrid w:val="0"/>
          <w:color w:val="000000"/>
          <w:szCs w:val="21"/>
          <w:lang w:bidi="en-US"/>
        </w:rPr>
        <w:t>Journal of Environmental Management</w:t>
      </w:r>
      <w:r w:rsidRPr="00023598">
        <w:rPr>
          <w:snapToGrid w:val="0"/>
          <w:color w:val="000000"/>
          <w:szCs w:val="21"/>
          <w:lang w:bidi="en-US"/>
        </w:rPr>
        <w:t xml:space="preserve">. </w:t>
      </w:r>
      <w:r w:rsidRPr="00023598">
        <w:rPr>
          <w:b/>
          <w:bCs/>
          <w:snapToGrid w:val="0"/>
          <w:color w:val="000000"/>
          <w:szCs w:val="21"/>
          <w:lang w:bidi="en-US"/>
        </w:rPr>
        <w:t>322</w:t>
      </w:r>
      <w:r w:rsidRPr="00023598">
        <w:rPr>
          <w:snapToGrid w:val="0"/>
          <w:color w:val="000000"/>
          <w:szCs w:val="21"/>
          <w:lang w:bidi="en-US"/>
        </w:rPr>
        <w:t>, 116075 (2022)</w:t>
      </w:r>
    </w:p>
    <w:p w14:paraId="6FB8CF99" w14:textId="77777777" w:rsidR="00281A2D" w:rsidRPr="00732687" w:rsidRDefault="00281A2D" w:rsidP="00281A2D">
      <w:pPr>
        <w:spacing w:after="80"/>
        <w:ind w:left="480" w:hangingChars="200" w:hanging="480"/>
        <w:rPr>
          <w:snapToGrid w:val="0"/>
          <w:color w:val="000000"/>
          <w:szCs w:val="21"/>
          <w:lang w:bidi="en-US"/>
        </w:rPr>
      </w:pPr>
      <w:r w:rsidRPr="00732687">
        <w:rPr>
          <w:snapToGrid w:val="0"/>
          <w:color w:val="000000"/>
          <w:szCs w:val="21"/>
          <w:lang w:bidi="en-US"/>
        </w:rPr>
        <w:t xml:space="preserve">Krisztin, T., </w:t>
      </w:r>
      <w:r w:rsidRPr="004B1E89">
        <w:rPr>
          <w:snapToGrid w:val="0"/>
          <w:color w:val="000000"/>
          <w:szCs w:val="21"/>
          <w:lang w:bidi="en-US"/>
        </w:rPr>
        <w:t>Piribauer</w:t>
      </w:r>
      <w:r>
        <w:rPr>
          <w:snapToGrid w:val="0"/>
          <w:color w:val="000000"/>
          <w:szCs w:val="21"/>
          <w:lang w:bidi="en-US"/>
        </w:rPr>
        <w:t>,</w:t>
      </w:r>
      <w:r w:rsidRPr="004B1E89">
        <w:rPr>
          <w:snapToGrid w:val="0"/>
          <w:color w:val="000000"/>
          <w:szCs w:val="21"/>
          <w:lang w:bidi="en-US"/>
        </w:rPr>
        <w:t xml:space="preserve"> P</w:t>
      </w:r>
      <w:r>
        <w:rPr>
          <w:snapToGrid w:val="0"/>
          <w:color w:val="000000"/>
          <w:szCs w:val="21"/>
          <w:lang w:bidi="en-US"/>
        </w:rPr>
        <w:t>.</w:t>
      </w:r>
      <w:r w:rsidRPr="004B1E89">
        <w:rPr>
          <w:snapToGrid w:val="0"/>
          <w:color w:val="000000"/>
          <w:szCs w:val="21"/>
          <w:lang w:bidi="en-US"/>
        </w:rPr>
        <w:t>, Wögerer</w:t>
      </w:r>
      <w:r>
        <w:rPr>
          <w:snapToGrid w:val="0"/>
          <w:color w:val="000000"/>
          <w:szCs w:val="21"/>
          <w:lang w:bidi="en-US"/>
        </w:rPr>
        <w:t>,</w:t>
      </w:r>
      <w:r w:rsidRPr="004B1E89">
        <w:rPr>
          <w:snapToGrid w:val="0"/>
          <w:color w:val="000000"/>
          <w:szCs w:val="21"/>
          <w:lang w:bidi="en-US"/>
        </w:rPr>
        <w:t xml:space="preserve"> M</w:t>
      </w:r>
      <w:r w:rsidRPr="00732687">
        <w:rPr>
          <w:snapToGrid w:val="0"/>
          <w:color w:val="000000"/>
          <w:szCs w:val="21"/>
          <w:lang w:bidi="en-US"/>
        </w:rPr>
        <w:t>.: The</w:t>
      </w:r>
      <w:r w:rsidRPr="00732687">
        <w:rPr>
          <w:rFonts w:hint="eastAsia"/>
          <w:snapToGrid w:val="0"/>
          <w:color w:val="000000"/>
          <w:szCs w:val="21"/>
          <w:lang w:bidi="en-US"/>
        </w:rPr>
        <w:t xml:space="preserve"> </w:t>
      </w:r>
      <w:r w:rsidRPr="00732687">
        <w:rPr>
          <w:snapToGrid w:val="0"/>
          <w:color w:val="000000"/>
          <w:szCs w:val="21"/>
          <w:lang w:bidi="en-US"/>
        </w:rPr>
        <w:t xml:space="preserve">spatial econometrics of the coronavirus pandemic. </w:t>
      </w:r>
      <w:r w:rsidRPr="00281A2D">
        <w:rPr>
          <w:i/>
          <w:iCs/>
          <w:snapToGrid w:val="0"/>
          <w:color w:val="000000"/>
          <w:szCs w:val="21"/>
          <w:lang w:bidi="en-US"/>
        </w:rPr>
        <w:t>Letters in Spatial</w:t>
      </w:r>
      <w:r w:rsidRPr="00281A2D">
        <w:rPr>
          <w:rFonts w:hint="eastAsia"/>
          <w:i/>
          <w:iCs/>
          <w:snapToGrid w:val="0"/>
          <w:color w:val="000000"/>
          <w:szCs w:val="21"/>
          <w:lang w:bidi="en-US"/>
        </w:rPr>
        <w:t xml:space="preserve"> </w:t>
      </w:r>
      <w:r w:rsidRPr="00281A2D">
        <w:rPr>
          <w:i/>
          <w:iCs/>
          <w:snapToGrid w:val="0"/>
          <w:color w:val="000000"/>
          <w:szCs w:val="21"/>
          <w:lang w:bidi="en-US"/>
        </w:rPr>
        <w:t>and Resource Sciences</w:t>
      </w:r>
      <w:r w:rsidRPr="00732687">
        <w:rPr>
          <w:snapToGrid w:val="0"/>
          <w:color w:val="000000"/>
          <w:szCs w:val="21"/>
          <w:lang w:bidi="en-US"/>
        </w:rPr>
        <w:t xml:space="preserve">. </w:t>
      </w:r>
      <w:r w:rsidRPr="00732687">
        <w:rPr>
          <w:b/>
          <w:bCs/>
          <w:snapToGrid w:val="0"/>
          <w:color w:val="000000"/>
          <w:szCs w:val="21"/>
          <w:lang w:bidi="en-US"/>
        </w:rPr>
        <w:t>13</w:t>
      </w:r>
      <w:r w:rsidRPr="00732687">
        <w:rPr>
          <w:snapToGrid w:val="0"/>
          <w:color w:val="000000"/>
          <w:szCs w:val="21"/>
          <w:lang w:bidi="en-US"/>
        </w:rPr>
        <w:t>(1), 209-218 (2020)</w:t>
      </w:r>
    </w:p>
    <w:p w14:paraId="200100CB" w14:textId="23FCFC92" w:rsidR="00281A2D" w:rsidRPr="00CD48EF" w:rsidRDefault="003442F8" w:rsidP="00281A2D">
      <w:pPr>
        <w:spacing w:after="80"/>
        <w:ind w:left="480" w:hangingChars="200" w:hanging="480"/>
        <w:rPr>
          <w:snapToGrid w:val="0"/>
          <w:color w:val="000000"/>
          <w:szCs w:val="21"/>
          <w:lang w:bidi="en-US"/>
        </w:rPr>
      </w:pPr>
      <w:r>
        <w:rPr>
          <w:snapToGrid w:val="0"/>
          <w:color w:val="000000"/>
          <w:szCs w:val="21"/>
          <w:lang w:bidi="en-US"/>
        </w:rPr>
        <w:t>Landry, P. F.: Decentralized a</w:t>
      </w:r>
      <w:r w:rsidR="00281A2D" w:rsidRPr="00CD48EF">
        <w:rPr>
          <w:snapToGrid w:val="0"/>
          <w:color w:val="000000"/>
          <w:szCs w:val="21"/>
          <w:lang w:bidi="en-US"/>
        </w:rPr>
        <w:t>uthoritarianism in China: the Communist Party's control of local elites in the post-Mao era, vol. 1. Cambridge University Press New York</w:t>
      </w:r>
      <w:r w:rsidR="00281A2D">
        <w:rPr>
          <w:snapToGrid w:val="0"/>
          <w:color w:val="000000"/>
          <w:szCs w:val="21"/>
          <w:lang w:bidi="en-US"/>
        </w:rPr>
        <w:t>,</w:t>
      </w:r>
      <w:r w:rsidR="00281A2D" w:rsidRPr="00CD48EF">
        <w:rPr>
          <w:snapToGrid w:val="0"/>
          <w:color w:val="000000"/>
          <w:szCs w:val="21"/>
          <w:lang w:bidi="en-US"/>
        </w:rPr>
        <w:t xml:space="preserve"> (2008)</w:t>
      </w:r>
    </w:p>
    <w:p w14:paraId="618827E9" w14:textId="77777777" w:rsidR="00281A2D" w:rsidRPr="00D546A9" w:rsidRDefault="00281A2D" w:rsidP="00281A2D">
      <w:pPr>
        <w:spacing w:after="80"/>
        <w:ind w:left="480" w:hangingChars="200" w:hanging="480"/>
        <w:rPr>
          <w:snapToGrid w:val="0"/>
          <w:color w:val="000000"/>
          <w:szCs w:val="21"/>
          <w:lang w:bidi="en-US"/>
        </w:rPr>
      </w:pPr>
      <w:r w:rsidRPr="00D546A9">
        <w:rPr>
          <w:snapToGrid w:val="0"/>
          <w:color w:val="000000"/>
          <w:szCs w:val="21"/>
          <w:lang w:bidi="en-US"/>
        </w:rPr>
        <w:t>Lee, L., Yu, J.: Estimation of spatial autoregressive</w:t>
      </w:r>
      <w:r w:rsidRPr="00D546A9">
        <w:rPr>
          <w:rFonts w:hint="eastAsia"/>
          <w:snapToGrid w:val="0"/>
          <w:color w:val="000000"/>
          <w:szCs w:val="21"/>
          <w:lang w:bidi="en-US"/>
        </w:rPr>
        <w:t xml:space="preserve"> </w:t>
      </w:r>
      <w:r w:rsidRPr="00D546A9">
        <w:rPr>
          <w:snapToGrid w:val="0"/>
          <w:color w:val="000000"/>
          <w:szCs w:val="21"/>
          <w:lang w:bidi="en-US"/>
        </w:rPr>
        <w:t xml:space="preserve">panel data models with fixed effects. </w:t>
      </w:r>
      <w:r w:rsidRPr="00281A2D">
        <w:rPr>
          <w:i/>
          <w:iCs/>
          <w:snapToGrid w:val="0"/>
          <w:color w:val="000000"/>
          <w:szCs w:val="21"/>
          <w:lang w:bidi="en-US"/>
        </w:rPr>
        <w:t>Journal of Econometrics</w:t>
      </w:r>
      <w:r w:rsidRPr="00D546A9">
        <w:rPr>
          <w:snapToGrid w:val="0"/>
          <w:color w:val="000000"/>
          <w:szCs w:val="21"/>
          <w:lang w:bidi="en-US"/>
        </w:rPr>
        <w:t xml:space="preserve">. </w:t>
      </w:r>
      <w:r w:rsidRPr="00D546A9">
        <w:rPr>
          <w:b/>
          <w:bCs/>
          <w:snapToGrid w:val="0"/>
          <w:color w:val="000000"/>
          <w:szCs w:val="21"/>
          <w:lang w:bidi="en-US"/>
        </w:rPr>
        <w:t>154</w:t>
      </w:r>
      <w:r w:rsidRPr="00D546A9">
        <w:rPr>
          <w:snapToGrid w:val="0"/>
          <w:color w:val="000000"/>
          <w:szCs w:val="21"/>
          <w:lang w:bidi="en-US"/>
        </w:rPr>
        <w:t>(1):</w:t>
      </w:r>
      <w:r w:rsidRPr="00D546A9">
        <w:rPr>
          <w:rFonts w:hint="eastAsia"/>
          <w:snapToGrid w:val="0"/>
          <w:color w:val="000000"/>
          <w:szCs w:val="21"/>
          <w:lang w:bidi="en-US"/>
        </w:rPr>
        <w:t xml:space="preserve"> </w:t>
      </w:r>
      <w:r w:rsidRPr="00D546A9">
        <w:rPr>
          <w:snapToGrid w:val="0"/>
          <w:color w:val="000000"/>
          <w:szCs w:val="21"/>
          <w:lang w:bidi="en-US"/>
        </w:rPr>
        <w:t>165–185 (2010)</w:t>
      </w:r>
    </w:p>
    <w:p w14:paraId="3F701061" w14:textId="77777777" w:rsidR="00281A2D" w:rsidRPr="00B3122A" w:rsidRDefault="00281A2D" w:rsidP="00281A2D">
      <w:pPr>
        <w:spacing w:after="80"/>
        <w:ind w:left="480" w:hangingChars="200" w:hanging="480"/>
        <w:rPr>
          <w:snapToGrid w:val="0"/>
          <w:color w:val="000000"/>
          <w:szCs w:val="21"/>
          <w:lang w:bidi="en-US"/>
        </w:rPr>
      </w:pPr>
      <w:r w:rsidRPr="00B3122A">
        <w:rPr>
          <w:snapToGrid w:val="0"/>
          <w:color w:val="000000"/>
          <w:szCs w:val="21"/>
          <w:lang w:bidi="en-US"/>
        </w:rPr>
        <w:t xml:space="preserve">LeSage, J., Pace, R. K.: </w:t>
      </w:r>
      <w:r w:rsidRPr="003442F8">
        <w:rPr>
          <w:i/>
          <w:iCs/>
          <w:snapToGrid w:val="0"/>
          <w:color w:val="000000"/>
          <w:szCs w:val="21"/>
          <w:lang w:bidi="en-US"/>
        </w:rPr>
        <w:t>Introduction to Spatial</w:t>
      </w:r>
      <w:r w:rsidRPr="003442F8">
        <w:rPr>
          <w:rFonts w:hint="eastAsia"/>
          <w:i/>
          <w:iCs/>
          <w:snapToGrid w:val="0"/>
          <w:color w:val="000000"/>
          <w:szCs w:val="21"/>
          <w:lang w:bidi="en-US"/>
        </w:rPr>
        <w:t xml:space="preserve"> </w:t>
      </w:r>
      <w:r w:rsidRPr="003442F8">
        <w:rPr>
          <w:i/>
          <w:iCs/>
          <w:snapToGrid w:val="0"/>
          <w:color w:val="000000"/>
          <w:szCs w:val="21"/>
          <w:lang w:bidi="en-US"/>
        </w:rPr>
        <w:t>Econometrics</w:t>
      </w:r>
      <w:r w:rsidRPr="00B3122A">
        <w:rPr>
          <w:snapToGrid w:val="0"/>
          <w:color w:val="000000"/>
          <w:szCs w:val="21"/>
          <w:lang w:bidi="en-US"/>
        </w:rPr>
        <w:t>. Chapman and Hall and CRC Press, Boca Raton, (2009)</w:t>
      </w:r>
    </w:p>
    <w:p w14:paraId="493120F2" w14:textId="77777777" w:rsidR="00281A2D" w:rsidRPr="006342B2" w:rsidRDefault="00281A2D" w:rsidP="00281A2D">
      <w:pPr>
        <w:spacing w:after="80"/>
        <w:ind w:left="480" w:hangingChars="200" w:hanging="480"/>
        <w:rPr>
          <w:snapToGrid w:val="0"/>
          <w:color w:val="000000"/>
          <w:szCs w:val="21"/>
          <w:highlight w:val="yellow"/>
          <w:lang w:bidi="en-US"/>
        </w:rPr>
      </w:pPr>
      <w:r w:rsidRPr="00F52F73">
        <w:rPr>
          <w:snapToGrid w:val="0"/>
          <w:color w:val="000000"/>
          <w:szCs w:val="21"/>
          <w:lang w:bidi="en-US"/>
        </w:rPr>
        <w:t xml:space="preserve">Li, L.: The incentive role of creating “cities” in China. </w:t>
      </w:r>
      <w:r w:rsidRPr="00281A2D">
        <w:rPr>
          <w:i/>
          <w:iCs/>
          <w:snapToGrid w:val="0"/>
          <w:color w:val="000000"/>
          <w:szCs w:val="21"/>
          <w:lang w:bidi="en-US"/>
        </w:rPr>
        <w:t>China Economic Review</w:t>
      </w:r>
      <w:r w:rsidRPr="00F52F73">
        <w:rPr>
          <w:snapToGrid w:val="0"/>
          <w:color w:val="000000"/>
          <w:szCs w:val="21"/>
          <w:lang w:bidi="en-US"/>
        </w:rPr>
        <w:t xml:space="preserve">. </w:t>
      </w:r>
      <w:r w:rsidRPr="00F52F73">
        <w:rPr>
          <w:b/>
          <w:bCs/>
          <w:snapToGrid w:val="0"/>
          <w:color w:val="000000"/>
          <w:szCs w:val="21"/>
          <w:lang w:bidi="en-US"/>
        </w:rPr>
        <w:t>22</w:t>
      </w:r>
      <w:r w:rsidRPr="00F52F73">
        <w:rPr>
          <w:snapToGrid w:val="0"/>
          <w:color w:val="000000"/>
          <w:szCs w:val="21"/>
          <w:lang w:bidi="en-US"/>
        </w:rPr>
        <w:t>(1), 172-181. (2011)</w:t>
      </w:r>
    </w:p>
    <w:p w14:paraId="7CC9B73B" w14:textId="77777777" w:rsidR="00281A2D" w:rsidRPr="00AA6046" w:rsidRDefault="00281A2D" w:rsidP="00281A2D">
      <w:pPr>
        <w:spacing w:after="80"/>
        <w:ind w:left="480" w:hangingChars="200" w:hanging="480"/>
        <w:rPr>
          <w:snapToGrid w:val="0"/>
          <w:color w:val="000000"/>
          <w:szCs w:val="21"/>
          <w:lang w:bidi="en-US"/>
        </w:rPr>
      </w:pPr>
      <w:r w:rsidRPr="00AA6046">
        <w:rPr>
          <w:snapToGrid w:val="0"/>
          <w:color w:val="000000"/>
          <w:szCs w:val="21"/>
          <w:lang w:bidi="en-US"/>
        </w:rPr>
        <w:t xml:space="preserve">Lichtenberg, E., Ding, C.: Local officials as land developers: Urban spatial expansion in China. </w:t>
      </w:r>
      <w:r w:rsidRPr="00281A2D">
        <w:rPr>
          <w:i/>
          <w:iCs/>
          <w:snapToGrid w:val="0"/>
          <w:color w:val="000000"/>
          <w:szCs w:val="21"/>
          <w:lang w:bidi="en-US"/>
        </w:rPr>
        <w:t>Journal of Urban Economics</w:t>
      </w:r>
      <w:r w:rsidRPr="00AA6046">
        <w:rPr>
          <w:snapToGrid w:val="0"/>
          <w:color w:val="000000"/>
          <w:szCs w:val="21"/>
          <w:lang w:bidi="en-US"/>
        </w:rPr>
        <w:t xml:space="preserve">. </w:t>
      </w:r>
      <w:r w:rsidRPr="00AA6046">
        <w:rPr>
          <w:b/>
          <w:bCs/>
          <w:snapToGrid w:val="0"/>
          <w:color w:val="000000"/>
          <w:szCs w:val="21"/>
          <w:lang w:bidi="en-US"/>
        </w:rPr>
        <w:t>66</w:t>
      </w:r>
      <w:r w:rsidRPr="00AA6046">
        <w:rPr>
          <w:snapToGrid w:val="0"/>
          <w:color w:val="000000"/>
          <w:szCs w:val="21"/>
          <w:lang w:bidi="en-US"/>
        </w:rPr>
        <w:t>(1), 57-64 (2009)</w:t>
      </w:r>
    </w:p>
    <w:p w14:paraId="61875209" w14:textId="77777777" w:rsidR="00281A2D" w:rsidRPr="00E87146" w:rsidRDefault="00281A2D" w:rsidP="00281A2D">
      <w:pPr>
        <w:spacing w:after="80"/>
        <w:ind w:left="480" w:hangingChars="200" w:hanging="480"/>
        <w:rPr>
          <w:snapToGrid w:val="0"/>
          <w:color w:val="000000"/>
          <w:szCs w:val="21"/>
          <w:lang w:bidi="en-US"/>
        </w:rPr>
      </w:pPr>
      <w:r w:rsidRPr="00E87146">
        <w:rPr>
          <w:snapToGrid w:val="0"/>
          <w:color w:val="000000"/>
          <w:szCs w:val="21"/>
          <w:lang w:bidi="en-US"/>
        </w:rPr>
        <w:lastRenderedPageBreak/>
        <w:t xml:space="preserve">Liu, X., Zeng, J., Zhou, Q.: The chosen fortunate in the urbanization process in China? Evidence from a geographic regression discontinuity study. </w:t>
      </w:r>
      <w:r w:rsidRPr="00281A2D">
        <w:rPr>
          <w:i/>
          <w:iCs/>
          <w:snapToGrid w:val="0"/>
          <w:color w:val="000000"/>
          <w:szCs w:val="21"/>
          <w:lang w:bidi="en-US"/>
        </w:rPr>
        <w:t>Review of Development Economics</w:t>
      </w:r>
      <w:r w:rsidRPr="00E87146">
        <w:rPr>
          <w:snapToGrid w:val="0"/>
          <w:color w:val="000000"/>
          <w:szCs w:val="21"/>
          <w:lang w:bidi="en-US"/>
        </w:rPr>
        <w:t xml:space="preserve">. </w:t>
      </w:r>
      <w:r w:rsidRPr="00E87146">
        <w:rPr>
          <w:b/>
          <w:bCs/>
          <w:snapToGrid w:val="0"/>
          <w:color w:val="000000"/>
          <w:szCs w:val="21"/>
          <w:lang w:bidi="en-US"/>
        </w:rPr>
        <w:t>23</w:t>
      </w:r>
      <w:r w:rsidRPr="00E87146">
        <w:rPr>
          <w:snapToGrid w:val="0"/>
          <w:color w:val="000000"/>
          <w:szCs w:val="21"/>
          <w:lang w:bidi="en-US"/>
        </w:rPr>
        <w:t>(4), 1768-1787 (2019)</w:t>
      </w:r>
    </w:p>
    <w:p w14:paraId="1F630A00" w14:textId="07BD56F4" w:rsidR="00281A2D" w:rsidRPr="00527B40" w:rsidRDefault="003442F8" w:rsidP="00281A2D">
      <w:pPr>
        <w:spacing w:after="80"/>
        <w:ind w:left="480" w:hangingChars="200" w:hanging="480"/>
        <w:rPr>
          <w:snapToGrid w:val="0"/>
          <w:color w:val="000000"/>
          <w:szCs w:val="21"/>
          <w:lang w:bidi="en-US"/>
        </w:rPr>
      </w:pPr>
      <w:r>
        <w:rPr>
          <w:snapToGrid w:val="0"/>
          <w:color w:val="000000"/>
          <w:szCs w:val="21"/>
          <w:lang w:bidi="en-US"/>
        </w:rPr>
        <w:t>Lu, S., Wang, H.: Regional integration by a</w:t>
      </w:r>
      <w:r w:rsidR="00281A2D" w:rsidRPr="00527B40">
        <w:rPr>
          <w:snapToGrid w:val="0"/>
          <w:color w:val="000000"/>
          <w:szCs w:val="21"/>
          <w:lang w:bidi="en-US"/>
        </w:rPr>
        <w:t>dminist</w:t>
      </w:r>
      <w:r>
        <w:rPr>
          <w:snapToGrid w:val="0"/>
          <w:color w:val="000000"/>
          <w:szCs w:val="21"/>
          <w:lang w:bidi="en-US"/>
        </w:rPr>
        <w:t>rative division adjustment: City–County consolidation and layout of land d</w:t>
      </w:r>
      <w:r w:rsidR="00281A2D" w:rsidRPr="00527B40">
        <w:rPr>
          <w:snapToGrid w:val="0"/>
          <w:color w:val="000000"/>
          <w:szCs w:val="21"/>
          <w:lang w:bidi="en-US"/>
        </w:rPr>
        <w:t xml:space="preserve">evelopment in China. </w:t>
      </w:r>
      <w:r w:rsidR="00281A2D" w:rsidRPr="00281A2D">
        <w:rPr>
          <w:i/>
          <w:iCs/>
          <w:snapToGrid w:val="0"/>
          <w:color w:val="000000"/>
          <w:szCs w:val="21"/>
          <w:lang w:bidi="en-US"/>
        </w:rPr>
        <w:t>Journal of Urban Planning and Development</w:t>
      </w:r>
      <w:r w:rsidR="00281A2D" w:rsidRPr="00527B40">
        <w:rPr>
          <w:snapToGrid w:val="0"/>
          <w:color w:val="000000"/>
          <w:szCs w:val="21"/>
          <w:lang w:bidi="en-US"/>
        </w:rPr>
        <w:t xml:space="preserve">. </w:t>
      </w:r>
      <w:r w:rsidR="00281A2D" w:rsidRPr="00527B40">
        <w:rPr>
          <w:b/>
          <w:bCs/>
          <w:snapToGrid w:val="0"/>
          <w:color w:val="000000"/>
          <w:szCs w:val="21"/>
          <w:lang w:bidi="en-US"/>
        </w:rPr>
        <w:t>149</w:t>
      </w:r>
      <w:r w:rsidR="00281A2D" w:rsidRPr="00527B40">
        <w:rPr>
          <w:snapToGrid w:val="0"/>
          <w:color w:val="000000"/>
          <w:szCs w:val="21"/>
          <w:lang w:bidi="en-US"/>
        </w:rPr>
        <w:t xml:space="preserve">(3), 04023017 (2023)  </w:t>
      </w:r>
    </w:p>
    <w:p w14:paraId="3583569A" w14:textId="77777777" w:rsidR="00281A2D" w:rsidRPr="00DE28E5" w:rsidRDefault="00281A2D" w:rsidP="00281A2D">
      <w:pPr>
        <w:spacing w:after="80"/>
        <w:ind w:left="480" w:hangingChars="200" w:hanging="480"/>
        <w:rPr>
          <w:snapToGrid w:val="0"/>
          <w:color w:val="000000"/>
          <w:szCs w:val="21"/>
          <w:lang w:bidi="en-US"/>
        </w:rPr>
      </w:pPr>
      <w:r w:rsidRPr="00DE28E5">
        <w:rPr>
          <w:snapToGrid w:val="0"/>
          <w:color w:val="000000"/>
          <w:szCs w:val="21"/>
          <w:lang w:bidi="en-US"/>
        </w:rPr>
        <w:t xml:space="preserve">Ma, L. J.: Urban administrative restructuring, changing scale relations and local economic development in China. </w:t>
      </w:r>
      <w:r w:rsidRPr="00281A2D">
        <w:rPr>
          <w:i/>
          <w:iCs/>
          <w:snapToGrid w:val="0"/>
          <w:color w:val="000000"/>
          <w:szCs w:val="21"/>
          <w:lang w:bidi="en-US"/>
        </w:rPr>
        <w:t>Political Geography</w:t>
      </w:r>
      <w:r w:rsidRPr="00DE28E5">
        <w:rPr>
          <w:snapToGrid w:val="0"/>
          <w:color w:val="000000"/>
          <w:szCs w:val="21"/>
          <w:lang w:bidi="en-US"/>
        </w:rPr>
        <w:t xml:space="preserve">. </w:t>
      </w:r>
      <w:r w:rsidRPr="00DE28E5">
        <w:rPr>
          <w:b/>
          <w:bCs/>
          <w:snapToGrid w:val="0"/>
          <w:color w:val="000000"/>
          <w:szCs w:val="21"/>
          <w:lang w:bidi="en-US"/>
        </w:rPr>
        <w:t>24</w:t>
      </w:r>
      <w:r w:rsidRPr="00DE28E5">
        <w:rPr>
          <w:snapToGrid w:val="0"/>
          <w:color w:val="000000"/>
          <w:szCs w:val="21"/>
          <w:lang w:bidi="en-US"/>
        </w:rPr>
        <w:t>(4), 477-497 (2005)</w:t>
      </w:r>
    </w:p>
    <w:p w14:paraId="0A9E190E" w14:textId="185CE942" w:rsidR="00281A2D" w:rsidRPr="00551543" w:rsidRDefault="00281A2D" w:rsidP="00281A2D">
      <w:pPr>
        <w:spacing w:after="80"/>
        <w:ind w:left="480" w:hangingChars="200" w:hanging="480"/>
        <w:rPr>
          <w:snapToGrid w:val="0"/>
          <w:color w:val="000000"/>
          <w:szCs w:val="21"/>
          <w:lang w:bidi="en-US"/>
        </w:rPr>
      </w:pPr>
      <w:r w:rsidRPr="00551543">
        <w:rPr>
          <w:snapToGrid w:val="0"/>
          <w:color w:val="000000"/>
          <w:szCs w:val="21"/>
          <w:lang w:bidi="en-US"/>
        </w:rPr>
        <w:t>Muk</w:t>
      </w:r>
      <w:r w:rsidR="003442F8">
        <w:rPr>
          <w:snapToGrid w:val="0"/>
          <w:color w:val="000000"/>
          <w:szCs w:val="21"/>
          <w:lang w:bidi="en-US"/>
        </w:rPr>
        <w:t>im, M., Zhu, T. J.: Empowering cities: Good for g</w:t>
      </w:r>
      <w:r w:rsidRPr="00551543">
        <w:rPr>
          <w:snapToGrid w:val="0"/>
          <w:color w:val="000000"/>
          <w:szCs w:val="21"/>
          <w:lang w:bidi="en-US"/>
        </w:rPr>
        <w:t xml:space="preserve">rowth? Evidence from the People's Republic of China. </w:t>
      </w:r>
      <w:r w:rsidRPr="00281A2D">
        <w:rPr>
          <w:i/>
          <w:iCs/>
          <w:snapToGrid w:val="0"/>
          <w:color w:val="000000"/>
          <w:szCs w:val="21"/>
          <w:lang w:bidi="en-US"/>
        </w:rPr>
        <w:t>Asian Development Review</w:t>
      </w:r>
      <w:r w:rsidRPr="00551543">
        <w:rPr>
          <w:snapToGrid w:val="0"/>
          <w:color w:val="000000"/>
          <w:szCs w:val="21"/>
          <w:lang w:bidi="en-US"/>
        </w:rPr>
        <w:t xml:space="preserve">. </w:t>
      </w:r>
      <w:r w:rsidRPr="00551543">
        <w:rPr>
          <w:b/>
          <w:bCs/>
          <w:snapToGrid w:val="0"/>
          <w:color w:val="000000"/>
          <w:szCs w:val="21"/>
          <w:lang w:bidi="en-US"/>
        </w:rPr>
        <w:t>35</w:t>
      </w:r>
      <w:r w:rsidRPr="00551543">
        <w:rPr>
          <w:snapToGrid w:val="0"/>
          <w:color w:val="000000"/>
          <w:szCs w:val="21"/>
          <w:lang w:bidi="en-US"/>
        </w:rPr>
        <w:t>(1), 175-195 (2018)</w:t>
      </w:r>
    </w:p>
    <w:p w14:paraId="6A025380" w14:textId="77777777" w:rsidR="00245BE4" w:rsidRDefault="00281A2D" w:rsidP="00245BE4">
      <w:pPr>
        <w:spacing w:after="80"/>
        <w:ind w:left="480" w:hangingChars="200" w:hanging="480"/>
        <w:rPr>
          <w:snapToGrid w:val="0"/>
          <w:color w:val="000000"/>
          <w:szCs w:val="21"/>
          <w:lang w:bidi="en-US"/>
        </w:rPr>
      </w:pPr>
      <w:r w:rsidRPr="0068403F">
        <w:rPr>
          <w:snapToGrid w:val="0"/>
          <w:color w:val="000000"/>
          <w:szCs w:val="21"/>
          <w:lang w:bidi="en-US"/>
        </w:rPr>
        <w:t>Mur, J., Angulo A.: Model selection strategies in a</w:t>
      </w:r>
      <w:r w:rsidRPr="0068403F">
        <w:rPr>
          <w:rFonts w:hint="eastAsia"/>
          <w:snapToGrid w:val="0"/>
          <w:color w:val="000000"/>
          <w:szCs w:val="21"/>
          <w:lang w:bidi="en-US"/>
        </w:rPr>
        <w:t xml:space="preserve"> </w:t>
      </w:r>
      <w:r w:rsidRPr="0068403F">
        <w:rPr>
          <w:snapToGrid w:val="0"/>
          <w:color w:val="000000"/>
          <w:szCs w:val="21"/>
          <w:lang w:bidi="en-US"/>
        </w:rPr>
        <w:t xml:space="preserve">spatial setting: Some additional results. </w:t>
      </w:r>
      <w:r w:rsidRPr="00281A2D">
        <w:rPr>
          <w:i/>
          <w:iCs/>
          <w:snapToGrid w:val="0"/>
          <w:color w:val="000000"/>
          <w:szCs w:val="21"/>
          <w:lang w:bidi="en-US"/>
        </w:rPr>
        <w:t>Regional Science and Urban</w:t>
      </w:r>
      <w:r w:rsidRPr="00281A2D">
        <w:rPr>
          <w:rFonts w:hint="eastAsia"/>
          <w:i/>
          <w:iCs/>
          <w:snapToGrid w:val="0"/>
          <w:color w:val="000000"/>
          <w:szCs w:val="21"/>
          <w:lang w:bidi="en-US"/>
        </w:rPr>
        <w:t xml:space="preserve"> </w:t>
      </w:r>
      <w:r w:rsidRPr="00281A2D">
        <w:rPr>
          <w:i/>
          <w:iCs/>
          <w:snapToGrid w:val="0"/>
          <w:color w:val="000000"/>
          <w:szCs w:val="21"/>
          <w:lang w:bidi="en-US"/>
        </w:rPr>
        <w:t>Economics</w:t>
      </w:r>
      <w:r w:rsidRPr="0068403F">
        <w:rPr>
          <w:snapToGrid w:val="0"/>
          <w:color w:val="000000"/>
          <w:szCs w:val="21"/>
          <w:lang w:bidi="en-US"/>
        </w:rPr>
        <w:t xml:space="preserve">. </w:t>
      </w:r>
      <w:r w:rsidRPr="0068403F">
        <w:rPr>
          <w:b/>
          <w:bCs/>
          <w:snapToGrid w:val="0"/>
          <w:color w:val="000000"/>
          <w:szCs w:val="21"/>
          <w:lang w:bidi="en-US"/>
        </w:rPr>
        <w:t>39</w:t>
      </w:r>
      <w:r w:rsidRPr="0068403F">
        <w:rPr>
          <w:snapToGrid w:val="0"/>
          <w:color w:val="000000"/>
          <w:szCs w:val="21"/>
          <w:lang w:bidi="en-US"/>
        </w:rPr>
        <w:t>(2), 200-213 (2009)</w:t>
      </w:r>
    </w:p>
    <w:p w14:paraId="3C5C5F91" w14:textId="77777777" w:rsidR="00245BE4" w:rsidRDefault="00245BE4" w:rsidP="00245BE4">
      <w:pPr>
        <w:spacing w:after="80"/>
        <w:ind w:left="480" w:hangingChars="200" w:hanging="480"/>
        <w:rPr>
          <w:snapToGrid w:val="0"/>
          <w:color w:val="000000"/>
          <w:szCs w:val="21"/>
          <w:lang w:bidi="en-US"/>
        </w:rPr>
      </w:pPr>
      <w:r w:rsidRPr="00AF45D6">
        <w:rPr>
          <w:snapToGrid w:val="0"/>
          <w:color w:val="000000"/>
          <w:szCs w:val="21"/>
          <w:lang w:bidi="en-US"/>
        </w:rPr>
        <w:t xml:space="preserve">National Bureau of Statistics [NBS]. </w:t>
      </w:r>
      <w:r w:rsidRPr="00245BE4">
        <w:rPr>
          <w:i/>
          <w:iCs/>
          <w:snapToGrid w:val="0"/>
          <w:color w:val="000000"/>
          <w:szCs w:val="21"/>
          <w:lang w:bidi="en-US"/>
        </w:rPr>
        <w:t>China Statistical Yearbook</w:t>
      </w:r>
      <w:r w:rsidRPr="00245BE4">
        <w:rPr>
          <w:rFonts w:hint="eastAsia"/>
          <w:i/>
          <w:iCs/>
          <w:snapToGrid w:val="0"/>
          <w:color w:val="000000"/>
          <w:szCs w:val="21"/>
          <w:lang w:bidi="en-US"/>
        </w:rPr>
        <w:t xml:space="preserve"> </w:t>
      </w:r>
      <w:r w:rsidRPr="00245BE4">
        <w:rPr>
          <w:i/>
          <w:iCs/>
          <w:snapToGrid w:val="0"/>
          <w:color w:val="000000"/>
          <w:szCs w:val="21"/>
          <w:lang w:bidi="en-US"/>
        </w:rPr>
        <w:t>(county-level)</w:t>
      </w:r>
      <w:r w:rsidRPr="00AF45D6">
        <w:rPr>
          <w:snapToGrid w:val="0"/>
          <w:color w:val="000000"/>
          <w:szCs w:val="21"/>
          <w:lang w:bidi="en-US"/>
        </w:rPr>
        <w:t xml:space="preserve">. China Statistics Press, </w:t>
      </w:r>
      <w:r w:rsidRPr="00AC323F">
        <w:rPr>
          <w:snapToGrid w:val="0"/>
          <w:color w:val="000000"/>
          <w:szCs w:val="21"/>
          <w:lang w:bidi="en-US"/>
        </w:rPr>
        <w:t>Beijing</w:t>
      </w:r>
      <w:r>
        <w:rPr>
          <w:snapToGrid w:val="0"/>
          <w:color w:val="000000"/>
          <w:szCs w:val="21"/>
          <w:lang w:bidi="en-US"/>
        </w:rPr>
        <w:t xml:space="preserve"> (</w:t>
      </w:r>
      <w:r w:rsidRPr="00AF45D6">
        <w:rPr>
          <w:snapToGrid w:val="0"/>
          <w:color w:val="000000"/>
          <w:szCs w:val="21"/>
          <w:lang w:bidi="en-US"/>
        </w:rPr>
        <w:t>2001-2020</w:t>
      </w:r>
      <w:r>
        <w:rPr>
          <w:snapToGrid w:val="0"/>
          <w:color w:val="000000"/>
          <w:szCs w:val="21"/>
          <w:lang w:bidi="en-US"/>
        </w:rPr>
        <w:t>)</w:t>
      </w:r>
    </w:p>
    <w:p w14:paraId="33D1BAC0" w14:textId="77777777" w:rsidR="00245BE4" w:rsidRDefault="00245BE4" w:rsidP="00245BE4">
      <w:pPr>
        <w:spacing w:after="80"/>
        <w:ind w:left="480" w:hangingChars="200" w:hanging="480"/>
        <w:rPr>
          <w:snapToGrid w:val="0"/>
          <w:color w:val="000000"/>
          <w:szCs w:val="21"/>
          <w:lang w:bidi="en-US"/>
        </w:rPr>
      </w:pPr>
      <w:r w:rsidRPr="00AF45D6">
        <w:rPr>
          <w:snapToGrid w:val="0"/>
          <w:color w:val="000000"/>
          <w:szCs w:val="21"/>
          <w:lang w:bidi="en-US"/>
        </w:rPr>
        <w:t xml:space="preserve">National Bureau of Statistics [NBS]. </w:t>
      </w:r>
      <w:r w:rsidRPr="00245BE4">
        <w:rPr>
          <w:i/>
          <w:iCs/>
          <w:snapToGrid w:val="0"/>
          <w:color w:val="000000"/>
          <w:szCs w:val="21"/>
          <w:lang w:bidi="en-US"/>
        </w:rPr>
        <w:t>China City Statistical</w:t>
      </w:r>
      <w:r w:rsidRPr="00245BE4">
        <w:rPr>
          <w:rFonts w:hint="eastAsia"/>
          <w:i/>
          <w:iCs/>
          <w:snapToGrid w:val="0"/>
          <w:color w:val="000000"/>
          <w:szCs w:val="21"/>
          <w:lang w:bidi="en-US"/>
        </w:rPr>
        <w:t xml:space="preserve"> </w:t>
      </w:r>
      <w:r w:rsidRPr="00245BE4">
        <w:rPr>
          <w:i/>
          <w:iCs/>
          <w:snapToGrid w:val="0"/>
          <w:color w:val="000000"/>
          <w:szCs w:val="21"/>
          <w:lang w:bidi="en-US"/>
        </w:rPr>
        <w:t>Yearbook</w:t>
      </w:r>
      <w:r w:rsidRPr="00AF45D6">
        <w:rPr>
          <w:snapToGrid w:val="0"/>
          <w:color w:val="000000"/>
          <w:szCs w:val="21"/>
          <w:lang w:bidi="en-US"/>
        </w:rPr>
        <w:t xml:space="preserve">. China Statistics Press, </w:t>
      </w:r>
      <w:r w:rsidRPr="00AC323F">
        <w:rPr>
          <w:snapToGrid w:val="0"/>
          <w:color w:val="000000"/>
          <w:szCs w:val="21"/>
          <w:lang w:bidi="en-US"/>
        </w:rPr>
        <w:t>Beijing</w:t>
      </w:r>
      <w:r>
        <w:rPr>
          <w:snapToGrid w:val="0"/>
          <w:color w:val="000000"/>
          <w:szCs w:val="21"/>
          <w:lang w:bidi="en-US"/>
        </w:rPr>
        <w:t xml:space="preserve"> (</w:t>
      </w:r>
      <w:r w:rsidRPr="00AF45D6">
        <w:rPr>
          <w:snapToGrid w:val="0"/>
          <w:color w:val="000000"/>
          <w:szCs w:val="21"/>
          <w:lang w:bidi="en-US"/>
        </w:rPr>
        <w:t>2001-2020</w:t>
      </w:r>
      <w:r>
        <w:rPr>
          <w:snapToGrid w:val="0"/>
          <w:color w:val="000000"/>
          <w:szCs w:val="21"/>
          <w:lang w:bidi="en-US"/>
        </w:rPr>
        <w:t>)</w:t>
      </w:r>
    </w:p>
    <w:p w14:paraId="2ED0FECA" w14:textId="77777777" w:rsidR="00245BE4" w:rsidRDefault="00245BE4" w:rsidP="00245BE4">
      <w:pPr>
        <w:spacing w:after="80"/>
        <w:ind w:left="480" w:hangingChars="200" w:hanging="480"/>
        <w:rPr>
          <w:snapToGrid w:val="0"/>
          <w:color w:val="000000"/>
          <w:szCs w:val="21"/>
          <w:lang w:bidi="en-US"/>
        </w:rPr>
      </w:pPr>
      <w:r w:rsidRPr="00AF45D6">
        <w:rPr>
          <w:snapToGrid w:val="0"/>
          <w:color w:val="000000"/>
          <w:szCs w:val="21"/>
          <w:lang w:bidi="en-US"/>
        </w:rPr>
        <w:t xml:space="preserve">National Bureau of Statistics [NBS]. </w:t>
      </w:r>
      <w:r w:rsidRPr="00245BE4">
        <w:rPr>
          <w:i/>
          <w:iCs/>
          <w:snapToGrid w:val="0"/>
          <w:color w:val="000000"/>
          <w:szCs w:val="21"/>
          <w:lang w:bidi="en-US"/>
        </w:rPr>
        <w:t>Beijing Statistical Yearbook</w:t>
      </w:r>
      <w:r w:rsidRPr="00AF45D6">
        <w:rPr>
          <w:snapToGrid w:val="0"/>
          <w:color w:val="000000"/>
          <w:szCs w:val="21"/>
          <w:lang w:bidi="en-US"/>
        </w:rPr>
        <w:t>.</w:t>
      </w:r>
      <w:r>
        <w:rPr>
          <w:rFonts w:hint="eastAsia"/>
          <w:snapToGrid w:val="0"/>
          <w:color w:val="000000"/>
          <w:szCs w:val="21"/>
          <w:lang w:bidi="en-US"/>
        </w:rPr>
        <w:t xml:space="preserve"> </w:t>
      </w:r>
      <w:r w:rsidRPr="00AF45D6">
        <w:rPr>
          <w:snapToGrid w:val="0"/>
          <w:color w:val="000000"/>
          <w:szCs w:val="21"/>
          <w:lang w:bidi="en-US"/>
        </w:rPr>
        <w:t xml:space="preserve">China Statistics Press, </w:t>
      </w:r>
      <w:r w:rsidRPr="00AC323F">
        <w:rPr>
          <w:snapToGrid w:val="0"/>
          <w:color w:val="000000"/>
          <w:szCs w:val="21"/>
          <w:lang w:bidi="en-US"/>
        </w:rPr>
        <w:t>Beijing</w:t>
      </w:r>
      <w:r>
        <w:rPr>
          <w:snapToGrid w:val="0"/>
          <w:color w:val="000000"/>
          <w:szCs w:val="21"/>
          <w:lang w:bidi="en-US"/>
        </w:rPr>
        <w:t xml:space="preserve"> (</w:t>
      </w:r>
      <w:r w:rsidRPr="00AF45D6">
        <w:rPr>
          <w:snapToGrid w:val="0"/>
          <w:color w:val="000000"/>
          <w:szCs w:val="21"/>
          <w:lang w:bidi="en-US"/>
        </w:rPr>
        <w:t>2001-2020</w:t>
      </w:r>
      <w:r>
        <w:rPr>
          <w:snapToGrid w:val="0"/>
          <w:color w:val="000000"/>
          <w:szCs w:val="21"/>
          <w:lang w:bidi="en-US"/>
        </w:rPr>
        <w:t>)</w:t>
      </w:r>
    </w:p>
    <w:p w14:paraId="22FE08D9" w14:textId="368531B7" w:rsidR="00FE0DDF" w:rsidRDefault="0025750D" w:rsidP="00245BE4">
      <w:pPr>
        <w:spacing w:after="80"/>
        <w:ind w:left="480" w:hangingChars="200" w:hanging="480"/>
        <w:rPr>
          <w:snapToGrid w:val="0"/>
          <w:color w:val="000000"/>
          <w:szCs w:val="21"/>
          <w:lang w:bidi="en-US"/>
        </w:rPr>
      </w:pPr>
      <w:r w:rsidRPr="0025750D">
        <w:rPr>
          <w:snapToGrid w:val="0"/>
          <w:color w:val="000000"/>
          <w:szCs w:val="21"/>
          <w:lang w:bidi="en-US"/>
        </w:rPr>
        <w:t>Park, A., Johnston, B.: Rural development and dyna</w:t>
      </w:r>
      <w:r>
        <w:rPr>
          <w:snapToGrid w:val="0"/>
          <w:color w:val="000000"/>
          <w:szCs w:val="21"/>
          <w:lang w:bidi="en-US"/>
        </w:rPr>
        <w:t>mic externalities in Taiwan’</w:t>
      </w:r>
      <w:r w:rsidRPr="0025750D">
        <w:rPr>
          <w:snapToGrid w:val="0"/>
          <w:color w:val="000000"/>
          <w:szCs w:val="21"/>
          <w:lang w:bidi="en-US"/>
        </w:rPr>
        <w:t>s structural</w:t>
      </w:r>
      <w:r>
        <w:rPr>
          <w:snapToGrid w:val="0"/>
          <w:color w:val="000000"/>
          <w:szCs w:val="21"/>
          <w:lang w:bidi="en-US"/>
        </w:rPr>
        <w:t xml:space="preserve"> </w:t>
      </w:r>
      <w:r w:rsidRPr="0025750D">
        <w:rPr>
          <w:snapToGrid w:val="0"/>
          <w:color w:val="000000"/>
          <w:szCs w:val="21"/>
          <w:lang w:bidi="en-US"/>
        </w:rPr>
        <w:t xml:space="preserve">transformation. </w:t>
      </w:r>
      <w:r w:rsidRPr="0025750D">
        <w:rPr>
          <w:i/>
          <w:iCs/>
          <w:snapToGrid w:val="0"/>
          <w:color w:val="000000"/>
          <w:szCs w:val="21"/>
          <w:lang w:bidi="en-US"/>
        </w:rPr>
        <w:t>Economic Development and Cultural Change</w:t>
      </w:r>
      <w:r w:rsidRPr="0025750D">
        <w:rPr>
          <w:snapToGrid w:val="0"/>
          <w:color w:val="000000"/>
          <w:szCs w:val="21"/>
          <w:lang w:bidi="en-US"/>
        </w:rPr>
        <w:t xml:space="preserve">. </w:t>
      </w:r>
      <w:r w:rsidRPr="0025750D">
        <w:rPr>
          <w:b/>
          <w:bCs/>
          <w:snapToGrid w:val="0"/>
          <w:color w:val="000000"/>
          <w:szCs w:val="21"/>
          <w:lang w:bidi="en-US"/>
        </w:rPr>
        <w:t>44</w:t>
      </w:r>
      <w:r w:rsidRPr="0025750D">
        <w:rPr>
          <w:snapToGrid w:val="0"/>
          <w:color w:val="000000"/>
          <w:szCs w:val="21"/>
          <w:lang w:bidi="en-US"/>
        </w:rPr>
        <w:t>(1): 181-208 (1995)</w:t>
      </w:r>
    </w:p>
    <w:p w14:paraId="3E148D43" w14:textId="2B14EA20" w:rsidR="00FE0DDF" w:rsidRDefault="00FE0DDF" w:rsidP="00FE0DDF">
      <w:pPr>
        <w:spacing w:after="80"/>
        <w:ind w:left="480" w:hangingChars="200" w:hanging="480"/>
        <w:rPr>
          <w:snapToGrid w:val="0"/>
          <w:color w:val="000000"/>
          <w:szCs w:val="21"/>
          <w:lang w:bidi="en-US"/>
        </w:rPr>
      </w:pPr>
      <w:r w:rsidRPr="00186836">
        <w:rPr>
          <w:snapToGrid w:val="0"/>
          <w:color w:val="000000"/>
          <w:szCs w:val="21"/>
          <w:lang w:bidi="en-US"/>
        </w:rPr>
        <w:t>Ravallion, M.</w:t>
      </w:r>
      <w:r>
        <w:rPr>
          <w:snapToGrid w:val="0"/>
          <w:color w:val="000000"/>
          <w:szCs w:val="21"/>
          <w:lang w:bidi="en-US"/>
        </w:rPr>
        <w:t>:</w:t>
      </w:r>
      <w:r w:rsidRPr="00186836">
        <w:rPr>
          <w:snapToGrid w:val="0"/>
          <w:color w:val="000000"/>
          <w:szCs w:val="21"/>
          <w:lang w:bidi="en-US"/>
        </w:rPr>
        <w:t xml:space="preserve"> Externalities in rural development: Evidence for</w:t>
      </w:r>
      <w:r>
        <w:rPr>
          <w:rFonts w:hint="eastAsia"/>
          <w:snapToGrid w:val="0"/>
          <w:color w:val="000000"/>
          <w:szCs w:val="21"/>
          <w:lang w:bidi="en-US"/>
        </w:rPr>
        <w:t xml:space="preserve"> </w:t>
      </w:r>
      <w:r w:rsidRPr="00186836">
        <w:rPr>
          <w:snapToGrid w:val="0"/>
          <w:color w:val="000000"/>
          <w:szCs w:val="21"/>
          <w:lang w:bidi="en-US"/>
        </w:rPr>
        <w:t xml:space="preserve">China. In R. Kanbur and A. Venables (editors) </w:t>
      </w:r>
      <w:r w:rsidRPr="00FE0DDF">
        <w:rPr>
          <w:i/>
          <w:iCs/>
          <w:snapToGrid w:val="0"/>
          <w:color w:val="000000"/>
          <w:szCs w:val="21"/>
          <w:lang w:bidi="en-US"/>
        </w:rPr>
        <w:t>Spatial Inequality and</w:t>
      </w:r>
      <w:r w:rsidRPr="00FE0DDF">
        <w:rPr>
          <w:rFonts w:hint="eastAsia"/>
          <w:i/>
          <w:iCs/>
          <w:snapToGrid w:val="0"/>
          <w:color w:val="000000"/>
          <w:szCs w:val="21"/>
          <w:lang w:bidi="en-US"/>
        </w:rPr>
        <w:t xml:space="preserve"> </w:t>
      </w:r>
      <w:r w:rsidRPr="00FE0DDF">
        <w:rPr>
          <w:i/>
          <w:iCs/>
          <w:snapToGrid w:val="0"/>
          <w:color w:val="000000"/>
          <w:szCs w:val="21"/>
          <w:lang w:bidi="en-US"/>
        </w:rPr>
        <w:t>Development</w:t>
      </w:r>
      <w:r>
        <w:rPr>
          <w:snapToGrid w:val="0"/>
          <w:color w:val="000000"/>
          <w:szCs w:val="21"/>
          <w:lang w:bidi="en-US"/>
        </w:rPr>
        <w:t>.</w:t>
      </w:r>
      <w:r w:rsidRPr="00186836">
        <w:rPr>
          <w:snapToGrid w:val="0"/>
          <w:color w:val="000000"/>
          <w:szCs w:val="21"/>
          <w:lang w:bidi="en-US"/>
        </w:rPr>
        <w:t xml:space="preserve"> Oxford University Press,</w:t>
      </w:r>
      <w:r>
        <w:rPr>
          <w:snapToGrid w:val="0"/>
          <w:color w:val="000000"/>
          <w:szCs w:val="21"/>
          <w:lang w:bidi="en-US"/>
        </w:rPr>
        <w:t xml:space="preserve"> </w:t>
      </w:r>
      <w:r w:rsidRPr="00186836">
        <w:rPr>
          <w:snapToGrid w:val="0"/>
          <w:color w:val="000000"/>
          <w:szCs w:val="21"/>
          <w:lang w:bidi="en-US"/>
        </w:rPr>
        <w:t>Oxford</w:t>
      </w:r>
      <w:r w:rsidR="00E1348F">
        <w:rPr>
          <w:snapToGrid w:val="0"/>
          <w:color w:val="000000"/>
          <w:szCs w:val="21"/>
          <w:lang w:bidi="en-US"/>
        </w:rPr>
        <w:t>, pp. 137-162</w:t>
      </w:r>
      <w:r>
        <w:rPr>
          <w:snapToGrid w:val="0"/>
          <w:color w:val="000000"/>
          <w:szCs w:val="21"/>
          <w:lang w:bidi="en-US"/>
        </w:rPr>
        <w:t xml:space="preserve"> </w:t>
      </w:r>
      <w:r w:rsidRPr="00186836">
        <w:rPr>
          <w:snapToGrid w:val="0"/>
          <w:color w:val="000000"/>
          <w:szCs w:val="21"/>
          <w:lang w:bidi="en-US"/>
        </w:rPr>
        <w:t>(2005)</w:t>
      </w:r>
    </w:p>
    <w:p w14:paraId="6C6753A4" w14:textId="6A684B10" w:rsidR="0025750D" w:rsidRDefault="0025750D" w:rsidP="00FE0DDF">
      <w:pPr>
        <w:spacing w:after="80"/>
        <w:ind w:left="480" w:hangingChars="200" w:hanging="480"/>
        <w:rPr>
          <w:snapToGrid w:val="0"/>
          <w:color w:val="000000"/>
          <w:szCs w:val="21"/>
          <w:lang w:bidi="en-US"/>
        </w:rPr>
      </w:pPr>
      <w:r w:rsidRPr="0025750D">
        <w:rPr>
          <w:snapToGrid w:val="0"/>
          <w:color w:val="000000"/>
          <w:szCs w:val="21"/>
          <w:lang w:bidi="en-US"/>
        </w:rPr>
        <w:t xml:space="preserve">Rosenstein-Rodan, P. N.: Problems of industrialisation of eastern and south-eastern Europe. </w:t>
      </w:r>
      <w:r w:rsidRPr="0025750D">
        <w:rPr>
          <w:i/>
          <w:iCs/>
          <w:snapToGrid w:val="0"/>
          <w:color w:val="000000"/>
          <w:szCs w:val="21"/>
          <w:lang w:bidi="en-US"/>
        </w:rPr>
        <w:t>The Economic Journal</w:t>
      </w:r>
      <w:r w:rsidRPr="0025750D">
        <w:rPr>
          <w:snapToGrid w:val="0"/>
          <w:color w:val="000000"/>
          <w:szCs w:val="21"/>
          <w:lang w:bidi="en-US"/>
        </w:rPr>
        <w:t xml:space="preserve">. </w:t>
      </w:r>
      <w:r w:rsidRPr="0025750D">
        <w:rPr>
          <w:b/>
          <w:bCs/>
          <w:snapToGrid w:val="0"/>
          <w:color w:val="000000"/>
          <w:szCs w:val="21"/>
          <w:lang w:bidi="en-US"/>
        </w:rPr>
        <w:t>53</w:t>
      </w:r>
      <w:r w:rsidRPr="0025750D">
        <w:rPr>
          <w:snapToGrid w:val="0"/>
          <w:color w:val="000000"/>
          <w:szCs w:val="21"/>
          <w:lang w:bidi="en-US"/>
        </w:rPr>
        <w:t>(210-211): 202-211 (1943).</w:t>
      </w:r>
    </w:p>
    <w:p w14:paraId="598BEA06" w14:textId="77777777" w:rsidR="00281A2D" w:rsidRPr="00065200" w:rsidRDefault="00281A2D" w:rsidP="00281A2D">
      <w:pPr>
        <w:spacing w:after="80"/>
        <w:ind w:left="480" w:hangingChars="200" w:hanging="480"/>
        <w:rPr>
          <w:snapToGrid w:val="0"/>
          <w:color w:val="000000"/>
          <w:szCs w:val="21"/>
          <w:lang w:bidi="en-US"/>
        </w:rPr>
      </w:pPr>
      <w:r w:rsidRPr="00065200">
        <w:rPr>
          <w:snapToGrid w:val="0"/>
          <w:color w:val="000000"/>
          <w:szCs w:val="21"/>
          <w:lang w:bidi="en-US"/>
        </w:rPr>
        <w:t>Shen, J.: Scale, state and the city: Urban transformation</w:t>
      </w:r>
      <w:r>
        <w:rPr>
          <w:snapToGrid w:val="0"/>
          <w:color w:val="000000"/>
          <w:szCs w:val="21"/>
          <w:lang w:bidi="en-US"/>
        </w:rPr>
        <w:t xml:space="preserve"> in post-reform China. </w:t>
      </w:r>
      <w:r w:rsidRPr="00281A2D">
        <w:rPr>
          <w:i/>
          <w:iCs/>
          <w:snapToGrid w:val="0"/>
          <w:color w:val="000000"/>
          <w:szCs w:val="21"/>
          <w:lang w:bidi="en-US"/>
        </w:rPr>
        <w:t>Habitat International.</w:t>
      </w:r>
      <w:r w:rsidRPr="00065200">
        <w:rPr>
          <w:snapToGrid w:val="0"/>
          <w:color w:val="000000"/>
          <w:szCs w:val="21"/>
          <w:lang w:bidi="en-US"/>
        </w:rPr>
        <w:t xml:space="preserve"> </w:t>
      </w:r>
      <w:r w:rsidRPr="00065200">
        <w:rPr>
          <w:b/>
          <w:bCs/>
          <w:snapToGrid w:val="0"/>
          <w:color w:val="000000"/>
          <w:szCs w:val="21"/>
          <w:lang w:bidi="en-US"/>
        </w:rPr>
        <w:t>31</w:t>
      </w:r>
      <w:r w:rsidRPr="00065200">
        <w:rPr>
          <w:snapToGrid w:val="0"/>
          <w:color w:val="000000"/>
          <w:szCs w:val="21"/>
          <w:lang w:bidi="en-US"/>
        </w:rPr>
        <w:t>(3-4), 303-316 (2007)</w:t>
      </w:r>
    </w:p>
    <w:p w14:paraId="679DCBE8" w14:textId="5EC3C717" w:rsidR="00281A2D" w:rsidRDefault="00281A2D" w:rsidP="00281A2D">
      <w:pPr>
        <w:spacing w:after="80"/>
        <w:ind w:left="480" w:hangingChars="200" w:hanging="480"/>
        <w:rPr>
          <w:snapToGrid w:val="0"/>
          <w:color w:val="000000"/>
          <w:szCs w:val="21"/>
          <w:lang w:bidi="en-US"/>
        </w:rPr>
      </w:pPr>
      <w:r w:rsidRPr="003A452D">
        <w:rPr>
          <w:snapToGrid w:val="0"/>
          <w:color w:val="000000"/>
          <w:szCs w:val="21"/>
          <w:lang w:bidi="en-US"/>
        </w:rPr>
        <w:t xml:space="preserve">Su, X.: Unpacking administrative rank: Intercity competition and the remaking of local state space in China. </w:t>
      </w:r>
      <w:r w:rsidRPr="00281A2D">
        <w:rPr>
          <w:i/>
          <w:iCs/>
          <w:snapToGrid w:val="0"/>
          <w:color w:val="000000"/>
          <w:szCs w:val="21"/>
          <w:lang w:bidi="en-US"/>
        </w:rPr>
        <w:t>Political Geography</w:t>
      </w:r>
      <w:r w:rsidRPr="003A452D">
        <w:rPr>
          <w:snapToGrid w:val="0"/>
          <w:color w:val="000000"/>
          <w:szCs w:val="21"/>
          <w:lang w:bidi="en-US"/>
        </w:rPr>
        <w:t>.</w:t>
      </w:r>
      <w:r w:rsidRPr="003A452D">
        <w:rPr>
          <w:b/>
          <w:bCs/>
          <w:snapToGrid w:val="0"/>
          <w:color w:val="000000"/>
          <w:szCs w:val="21"/>
          <w:lang w:bidi="en-US"/>
        </w:rPr>
        <w:t xml:space="preserve"> 92</w:t>
      </w:r>
      <w:r w:rsidRPr="003A452D">
        <w:rPr>
          <w:snapToGrid w:val="0"/>
          <w:color w:val="000000"/>
          <w:szCs w:val="21"/>
          <w:lang w:bidi="en-US"/>
        </w:rPr>
        <w:t>, 102518 (2022)</w:t>
      </w:r>
    </w:p>
    <w:p w14:paraId="17B9A19D" w14:textId="444201A8" w:rsidR="00365F99" w:rsidRPr="00365F99" w:rsidRDefault="00365F99" w:rsidP="00281A2D">
      <w:pPr>
        <w:spacing w:after="80"/>
        <w:ind w:left="480" w:hangingChars="200" w:hanging="480"/>
        <w:rPr>
          <w:snapToGrid w:val="0"/>
          <w:color w:val="000000"/>
          <w:szCs w:val="21"/>
          <w:lang w:bidi="en-US"/>
        </w:rPr>
      </w:pPr>
      <w:r>
        <w:rPr>
          <w:snapToGrid w:val="0"/>
          <w:color w:val="000000"/>
          <w:szCs w:val="21"/>
          <w:lang w:bidi="en-US"/>
        </w:rPr>
        <w:t xml:space="preserve">Tan, X., Tan, Y.: </w:t>
      </w:r>
      <w:r>
        <w:t xml:space="preserve">Equalization through China’s intergovernmental fiscal system: The effectiveness of central and provincial transfers. </w:t>
      </w:r>
      <w:r>
        <w:rPr>
          <w:i/>
          <w:iCs/>
        </w:rPr>
        <w:t>Asian Development Review</w:t>
      </w:r>
      <w:r>
        <w:t xml:space="preserve">. </w:t>
      </w:r>
      <w:r w:rsidR="00C51834">
        <w:rPr>
          <w:b/>
          <w:bCs/>
        </w:rPr>
        <w:t>41</w:t>
      </w:r>
      <w:r w:rsidR="00C51834">
        <w:t>(1</w:t>
      </w:r>
      <w:r>
        <w:t xml:space="preserve">), </w:t>
      </w:r>
      <w:r w:rsidR="00C51834">
        <w:t>(2024, forthcoming</w:t>
      </w:r>
      <w:r>
        <w:t>)</w:t>
      </w:r>
    </w:p>
    <w:p w14:paraId="2BA47A6B" w14:textId="77777777" w:rsidR="00281A2D" w:rsidRPr="008F1E82" w:rsidRDefault="00281A2D" w:rsidP="00281A2D">
      <w:pPr>
        <w:spacing w:after="80"/>
        <w:ind w:left="480" w:hangingChars="200" w:hanging="480"/>
        <w:rPr>
          <w:snapToGrid w:val="0"/>
          <w:color w:val="000000"/>
          <w:szCs w:val="21"/>
          <w:lang w:bidi="en-US"/>
        </w:rPr>
      </w:pPr>
      <w:r w:rsidRPr="008F1E82">
        <w:rPr>
          <w:snapToGrid w:val="0"/>
          <w:color w:val="000000"/>
          <w:szCs w:val="21"/>
          <w:lang w:bidi="en-US"/>
        </w:rPr>
        <w:t xml:space="preserve">Tang, W.: Decentralization and development of small cites: Evidence from county-to-city upgrading in China. </w:t>
      </w:r>
      <w:r w:rsidRPr="00281A2D">
        <w:rPr>
          <w:i/>
          <w:iCs/>
          <w:snapToGrid w:val="0"/>
          <w:color w:val="000000"/>
          <w:szCs w:val="21"/>
          <w:lang w:bidi="en-US"/>
        </w:rPr>
        <w:t>China Economic Quarterly International</w:t>
      </w:r>
      <w:r w:rsidRPr="008F1E82">
        <w:rPr>
          <w:snapToGrid w:val="0"/>
          <w:color w:val="000000"/>
          <w:szCs w:val="21"/>
          <w:lang w:bidi="en-US"/>
        </w:rPr>
        <w:t>.</w:t>
      </w:r>
      <w:r w:rsidRPr="008F1E82">
        <w:rPr>
          <w:b/>
          <w:bCs/>
          <w:snapToGrid w:val="0"/>
          <w:color w:val="000000"/>
          <w:szCs w:val="21"/>
          <w:lang w:bidi="en-US"/>
        </w:rPr>
        <w:t xml:space="preserve"> 1</w:t>
      </w:r>
      <w:r w:rsidRPr="008F1E82">
        <w:rPr>
          <w:snapToGrid w:val="0"/>
          <w:color w:val="000000"/>
          <w:szCs w:val="21"/>
          <w:lang w:bidi="en-US"/>
        </w:rPr>
        <w:t>(3), 191-207 (2021)</w:t>
      </w:r>
    </w:p>
    <w:p w14:paraId="5FF92D5E" w14:textId="77777777" w:rsidR="00281A2D" w:rsidRPr="00401BA7" w:rsidRDefault="00281A2D" w:rsidP="00281A2D">
      <w:pPr>
        <w:spacing w:after="80"/>
        <w:ind w:left="480" w:hangingChars="200" w:hanging="480"/>
        <w:rPr>
          <w:snapToGrid w:val="0"/>
          <w:color w:val="000000"/>
          <w:szCs w:val="21"/>
          <w:lang w:bidi="en-US"/>
        </w:rPr>
      </w:pPr>
      <w:bookmarkStart w:id="1" w:name="OLE_LINK6"/>
      <w:r w:rsidRPr="00401BA7">
        <w:rPr>
          <w:snapToGrid w:val="0"/>
          <w:color w:val="000000"/>
          <w:szCs w:val="21"/>
          <w:lang w:bidi="en-US"/>
        </w:rPr>
        <w:t>Tang, W., Hewings, G. J.: Do city–county mergers in China prom</w:t>
      </w:r>
      <w:r>
        <w:rPr>
          <w:snapToGrid w:val="0"/>
          <w:color w:val="000000"/>
          <w:szCs w:val="21"/>
          <w:lang w:bidi="en-US"/>
        </w:rPr>
        <w:t>ote local economic development?</w:t>
      </w:r>
      <w:r w:rsidRPr="00401BA7">
        <w:rPr>
          <w:snapToGrid w:val="0"/>
          <w:color w:val="000000"/>
          <w:szCs w:val="21"/>
          <w:lang w:bidi="en-US"/>
        </w:rPr>
        <w:t xml:space="preserve"> </w:t>
      </w:r>
      <w:r w:rsidRPr="00281A2D">
        <w:rPr>
          <w:i/>
          <w:iCs/>
          <w:snapToGrid w:val="0"/>
          <w:color w:val="000000"/>
          <w:szCs w:val="21"/>
          <w:lang w:bidi="en-US"/>
        </w:rPr>
        <w:t>Economics of Transition</w:t>
      </w:r>
      <w:r w:rsidRPr="00401BA7">
        <w:rPr>
          <w:snapToGrid w:val="0"/>
          <w:color w:val="000000"/>
          <w:szCs w:val="21"/>
          <w:lang w:bidi="en-US"/>
        </w:rPr>
        <w:t xml:space="preserve">. </w:t>
      </w:r>
      <w:r w:rsidRPr="00401BA7">
        <w:rPr>
          <w:b/>
          <w:bCs/>
          <w:snapToGrid w:val="0"/>
          <w:color w:val="000000"/>
          <w:szCs w:val="21"/>
          <w:lang w:bidi="en-US"/>
        </w:rPr>
        <w:t>25</w:t>
      </w:r>
      <w:r w:rsidRPr="00401BA7">
        <w:rPr>
          <w:snapToGrid w:val="0"/>
          <w:color w:val="000000"/>
          <w:szCs w:val="21"/>
          <w:lang w:bidi="en-US"/>
        </w:rPr>
        <w:t>(3), 439-469 (2017)</w:t>
      </w:r>
    </w:p>
    <w:bookmarkEnd w:id="1"/>
    <w:p w14:paraId="754E4876" w14:textId="7959641D" w:rsidR="00281A2D" w:rsidRPr="009846F6" w:rsidRDefault="00281A2D" w:rsidP="00281A2D">
      <w:pPr>
        <w:spacing w:after="80"/>
        <w:ind w:left="480" w:hangingChars="200" w:hanging="480"/>
        <w:rPr>
          <w:snapToGrid w:val="0"/>
          <w:color w:val="000000"/>
          <w:szCs w:val="21"/>
          <w:lang w:bidi="en-US"/>
        </w:rPr>
      </w:pPr>
      <w:r w:rsidRPr="009846F6">
        <w:rPr>
          <w:snapToGrid w:val="0"/>
          <w:color w:val="000000"/>
          <w:szCs w:val="21"/>
          <w:lang w:bidi="en-US"/>
        </w:rPr>
        <w:t>Tian, C.,</w:t>
      </w:r>
      <w:r w:rsidR="003442F8">
        <w:rPr>
          <w:snapToGrid w:val="0"/>
          <w:color w:val="000000"/>
          <w:szCs w:val="21"/>
          <w:lang w:bidi="en-US"/>
        </w:rPr>
        <w:t xml:space="preserve"> Ji, W., Chen, S., Wu, J.: The time and spatial effects of a “City-County merger” on housing p</w:t>
      </w:r>
      <w:r w:rsidRPr="009846F6">
        <w:rPr>
          <w:snapToGrid w:val="0"/>
          <w:color w:val="000000"/>
          <w:szCs w:val="21"/>
          <w:lang w:bidi="en-US"/>
        </w:rPr>
        <w:t xml:space="preserve">rices—Evidence from Fuyang. </w:t>
      </w:r>
      <w:r w:rsidRPr="00281A2D">
        <w:rPr>
          <w:i/>
          <w:iCs/>
          <w:snapToGrid w:val="0"/>
          <w:color w:val="000000"/>
          <w:szCs w:val="21"/>
          <w:lang w:bidi="en-US"/>
        </w:rPr>
        <w:t>Sustainability</w:t>
      </w:r>
      <w:r w:rsidRPr="009846F6">
        <w:rPr>
          <w:snapToGrid w:val="0"/>
          <w:color w:val="000000"/>
          <w:szCs w:val="21"/>
          <w:lang w:bidi="en-US"/>
        </w:rPr>
        <w:t xml:space="preserve">. </w:t>
      </w:r>
      <w:r w:rsidRPr="009846F6">
        <w:rPr>
          <w:b/>
          <w:bCs/>
          <w:snapToGrid w:val="0"/>
          <w:color w:val="000000"/>
          <w:szCs w:val="21"/>
          <w:lang w:bidi="en-US"/>
        </w:rPr>
        <w:t>12</w:t>
      </w:r>
      <w:r w:rsidRPr="009846F6">
        <w:rPr>
          <w:snapToGrid w:val="0"/>
          <w:color w:val="000000"/>
          <w:szCs w:val="21"/>
          <w:lang w:bidi="en-US"/>
        </w:rPr>
        <w:t>(4), 1639 (2020)</w:t>
      </w:r>
    </w:p>
    <w:p w14:paraId="573EC47C" w14:textId="51F764B8" w:rsidR="00281A2D" w:rsidRPr="00C00EC9" w:rsidRDefault="003442F8" w:rsidP="00281A2D">
      <w:pPr>
        <w:spacing w:after="80"/>
        <w:ind w:left="480" w:hangingChars="200" w:hanging="480"/>
        <w:rPr>
          <w:snapToGrid w:val="0"/>
          <w:color w:val="000000"/>
          <w:szCs w:val="21"/>
          <w:lang w:bidi="en-US"/>
        </w:rPr>
      </w:pPr>
      <w:r>
        <w:rPr>
          <w:snapToGrid w:val="0"/>
          <w:color w:val="000000"/>
          <w:szCs w:val="21"/>
          <w:lang w:bidi="en-US"/>
        </w:rPr>
        <w:t>Wang, J., Wang, J.: Effects of urban administrative system on urban system d</w:t>
      </w:r>
      <w:r w:rsidR="00281A2D" w:rsidRPr="00C00EC9">
        <w:rPr>
          <w:snapToGrid w:val="0"/>
          <w:color w:val="000000"/>
          <w:szCs w:val="21"/>
          <w:lang w:bidi="en-US"/>
        </w:rPr>
        <w:t>evelopment in China. The Role of the State in China’s Urban System Development: Government Capacity, Institution and Policy. 161-185 (2021)</w:t>
      </w:r>
    </w:p>
    <w:p w14:paraId="0F735120" w14:textId="77777777" w:rsidR="003442F8" w:rsidRDefault="00281A2D" w:rsidP="003442F8">
      <w:pPr>
        <w:spacing w:after="80"/>
        <w:ind w:left="480" w:hangingChars="200" w:hanging="480"/>
        <w:rPr>
          <w:snapToGrid w:val="0"/>
          <w:color w:val="000000"/>
          <w:szCs w:val="21"/>
          <w:lang w:bidi="en-US"/>
        </w:rPr>
      </w:pPr>
      <w:r w:rsidRPr="00C00EC9">
        <w:rPr>
          <w:snapToGrid w:val="0"/>
          <w:color w:val="000000"/>
          <w:szCs w:val="21"/>
          <w:lang w:bidi="en-US"/>
        </w:rPr>
        <w:lastRenderedPageBreak/>
        <w:t xml:space="preserve">Wang, J., Yeh, A. G.: Administrative restructuring and urban development in China: Effects of urban administrative level upgrading. </w:t>
      </w:r>
      <w:r w:rsidRPr="00281A2D">
        <w:rPr>
          <w:i/>
          <w:iCs/>
          <w:snapToGrid w:val="0"/>
          <w:color w:val="000000"/>
          <w:szCs w:val="21"/>
          <w:lang w:bidi="en-US"/>
        </w:rPr>
        <w:t>Urban Studies</w:t>
      </w:r>
      <w:r w:rsidRPr="00C00EC9">
        <w:rPr>
          <w:snapToGrid w:val="0"/>
          <w:color w:val="000000"/>
          <w:szCs w:val="21"/>
          <w:lang w:bidi="en-US"/>
        </w:rPr>
        <w:t xml:space="preserve">. </w:t>
      </w:r>
      <w:r w:rsidRPr="00C00EC9">
        <w:rPr>
          <w:b/>
          <w:bCs/>
          <w:snapToGrid w:val="0"/>
          <w:color w:val="000000"/>
          <w:szCs w:val="21"/>
          <w:lang w:bidi="en-US"/>
        </w:rPr>
        <w:t>57</w:t>
      </w:r>
      <w:r w:rsidRPr="00C00EC9">
        <w:rPr>
          <w:snapToGrid w:val="0"/>
          <w:color w:val="000000"/>
          <w:szCs w:val="21"/>
          <w:lang w:bidi="en-US"/>
        </w:rPr>
        <w:t xml:space="preserve">(6), 1201-1223 (2020) </w:t>
      </w:r>
    </w:p>
    <w:p w14:paraId="5617458A" w14:textId="4236CF12" w:rsidR="003442F8" w:rsidRDefault="00227340" w:rsidP="003442F8">
      <w:pPr>
        <w:spacing w:after="80"/>
        <w:ind w:left="480" w:hangingChars="200" w:hanging="480"/>
        <w:rPr>
          <w:snapToGrid w:val="0"/>
          <w:color w:val="000000"/>
          <w:szCs w:val="21"/>
          <w:lang w:bidi="en-US"/>
        </w:rPr>
      </w:pPr>
      <w:r w:rsidRPr="002C02B2">
        <w:rPr>
          <w:snapToGrid w:val="0"/>
          <w:color w:val="000000"/>
          <w:szCs w:val="21"/>
          <w:lang w:bidi="en-US"/>
        </w:rPr>
        <w:t>Zeng, Z., You, C.</w:t>
      </w:r>
      <w:r>
        <w:rPr>
          <w:snapToGrid w:val="0"/>
          <w:color w:val="000000"/>
          <w:szCs w:val="21"/>
          <w:lang w:bidi="en-US"/>
        </w:rPr>
        <w:t>:</w:t>
      </w:r>
      <w:r w:rsidR="003442F8">
        <w:rPr>
          <w:snapToGrid w:val="0"/>
          <w:color w:val="000000"/>
          <w:szCs w:val="21"/>
          <w:lang w:bidi="en-US"/>
        </w:rPr>
        <w:t xml:space="preserve"> The price of b</w:t>
      </w:r>
      <w:r w:rsidRPr="002C02B2">
        <w:rPr>
          <w:snapToGrid w:val="0"/>
          <w:color w:val="000000"/>
          <w:szCs w:val="21"/>
          <w:lang w:bidi="en-US"/>
        </w:rPr>
        <w:t>ecomin</w:t>
      </w:r>
      <w:r w:rsidR="003442F8">
        <w:rPr>
          <w:snapToGrid w:val="0"/>
          <w:color w:val="000000"/>
          <w:szCs w:val="21"/>
          <w:lang w:bidi="en-US"/>
        </w:rPr>
        <w:t>g a City: Decentralization and air pollution—The evidence from the policy of County-to-City u</w:t>
      </w:r>
      <w:r w:rsidRPr="002C02B2">
        <w:rPr>
          <w:snapToGrid w:val="0"/>
          <w:color w:val="000000"/>
          <w:szCs w:val="21"/>
          <w:lang w:bidi="en-US"/>
        </w:rPr>
        <w:t xml:space="preserve">pgrade in China. </w:t>
      </w:r>
      <w:r w:rsidRPr="00227340">
        <w:rPr>
          <w:i/>
          <w:iCs/>
          <w:snapToGrid w:val="0"/>
          <w:color w:val="000000"/>
          <w:szCs w:val="21"/>
          <w:lang w:bidi="en-US"/>
        </w:rPr>
        <w:t>International Journal of Environmental Research and Public Health</w:t>
      </w:r>
      <w:r>
        <w:rPr>
          <w:snapToGrid w:val="0"/>
          <w:color w:val="000000"/>
          <w:szCs w:val="21"/>
          <w:lang w:bidi="en-US"/>
        </w:rPr>
        <w:t>.</w:t>
      </w:r>
      <w:r w:rsidRPr="002C02B2">
        <w:rPr>
          <w:snapToGrid w:val="0"/>
          <w:color w:val="000000"/>
          <w:szCs w:val="21"/>
          <w:lang w:bidi="en-US"/>
        </w:rPr>
        <w:t xml:space="preserve"> </w:t>
      </w:r>
      <w:r w:rsidRPr="00BF0EAF">
        <w:rPr>
          <w:b/>
          <w:bCs/>
          <w:snapToGrid w:val="0"/>
          <w:color w:val="000000"/>
          <w:szCs w:val="21"/>
          <w:lang w:bidi="en-US"/>
        </w:rPr>
        <w:t>19</w:t>
      </w:r>
      <w:r w:rsidRPr="002C02B2">
        <w:rPr>
          <w:snapToGrid w:val="0"/>
          <w:color w:val="000000"/>
          <w:szCs w:val="21"/>
          <w:lang w:bidi="en-US"/>
        </w:rPr>
        <w:t>(23), 15621</w:t>
      </w:r>
      <w:r w:rsidRPr="00BF0EAF">
        <w:rPr>
          <w:snapToGrid w:val="0"/>
          <w:color w:val="000000"/>
          <w:szCs w:val="21"/>
          <w:lang w:bidi="en-US"/>
        </w:rPr>
        <w:t xml:space="preserve"> </w:t>
      </w:r>
      <w:r w:rsidRPr="002C02B2">
        <w:rPr>
          <w:snapToGrid w:val="0"/>
          <w:color w:val="000000"/>
          <w:szCs w:val="21"/>
          <w:lang w:bidi="en-US"/>
        </w:rPr>
        <w:t>(2022)</w:t>
      </w:r>
    </w:p>
    <w:p w14:paraId="3149FA94" w14:textId="5500A588" w:rsidR="00977D66" w:rsidRDefault="00977D66" w:rsidP="00E1348F">
      <w:pPr>
        <w:spacing w:after="80"/>
        <w:ind w:left="480" w:hangingChars="200" w:hanging="480"/>
        <w:rPr>
          <w:snapToGrid w:val="0"/>
          <w:color w:val="000000"/>
          <w:szCs w:val="21"/>
          <w:lang w:bidi="en-US"/>
        </w:rPr>
      </w:pPr>
      <w:r>
        <w:rPr>
          <w:snapToGrid w:val="0"/>
          <w:color w:val="000000"/>
          <w:szCs w:val="21"/>
          <w:lang w:bidi="en-US"/>
        </w:rPr>
        <w:t xml:space="preserve">Zhang, X., Gibson, J.: </w:t>
      </w:r>
      <w:r w:rsidRPr="00977D66">
        <w:rPr>
          <w:snapToGrid w:val="0"/>
          <w:color w:val="000000"/>
          <w:szCs w:val="21"/>
          <w:lang w:bidi="en-US"/>
        </w:rPr>
        <w:t xml:space="preserve">Using multi-source nighttime lights data to proxy for county-level economic activity in China from 2012 to 2019. </w:t>
      </w:r>
      <w:r w:rsidRPr="00E1348F">
        <w:rPr>
          <w:i/>
          <w:iCs/>
          <w:snapToGrid w:val="0"/>
          <w:color w:val="000000"/>
          <w:szCs w:val="21"/>
          <w:lang w:bidi="en-US"/>
        </w:rPr>
        <w:t>Remote Sensing</w:t>
      </w:r>
      <w:r w:rsidR="00E1348F">
        <w:rPr>
          <w:snapToGrid w:val="0"/>
          <w:color w:val="000000"/>
          <w:szCs w:val="21"/>
          <w:lang w:bidi="en-US"/>
        </w:rPr>
        <w:t>.</w:t>
      </w:r>
      <w:r w:rsidRPr="00977D66">
        <w:rPr>
          <w:snapToGrid w:val="0"/>
          <w:color w:val="000000"/>
          <w:szCs w:val="21"/>
          <w:lang w:bidi="en-US"/>
        </w:rPr>
        <w:t xml:space="preserve"> </w:t>
      </w:r>
      <w:r w:rsidRPr="00E1348F">
        <w:rPr>
          <w:b/>
          <w:bCs/>
          <w:snapToGrid w:val="0"/>
          <w:color w:val="000000"/>
          <w:szCs w:val="21"/>
          <w:lang w:bidi="en-US"/>
        </w:rPr>
        <w:t>14</w:t>
      </w:r>
      <w:r w:rsidRPr="00977D66">
        <w:rPr>
          <w:snapToGrid w:val="0"/>
          <w:color w:val="000000"/>
          <w:szCs w:val="21"/>
          <w:lang w:bidi="en-US"/>
        </w:rPr>
        <w:t>(5), 1282</w:t>
      </w:r>
      <w:r w:rsidR="00E1348F">
        <w:rPr>
          <w:snapToGrid w:val="0"/>
          <w:color w:val="000000"/>
          <w:szCs w:val="21"/>
          <w:lang w:bidi="en-US"/>
        </w:rPr>
        <w:t xml:space="preserve"> (2022)</w:t>
      </w:r>
      <w:r w:rsidRPr="00977D66">
        <w:rPr>
          <w:snapToGrid w:val="0"/>
          <w:color w:val="000000"/>
          <w:szCs w:val="21"/>
          <w:lang w:bidi="en-US"/>
        </w:rPr>
        <w:t>.</w:t>
      </w:r>
    </w:p>
    <w:p w14:paraId="2B2404E9" w14:textId="71DCFF72" w:rsidR="008046D3" w:rsidRPr="008046D3" w:rsidRDefault="008046D3" w:rsidP="008046D3">
      <w:pPr>
        <w:spacing w:after="80"/>
        <w:ind w:left="480" w:hangingChars="200" w:hanging="480"/>
        <w:rPr>
          <w:snapToGrid w:val="0"/>
          <w:color w:val="000000"/>
          <w:szCs w:val="21"/>
          <w:lang w:bidi="en-US"/>
        </w:rPr>
      </w:pPr>
      <w:r>
        <w:rPr>
          <w:snapToGrid w:val="0"/>
          <w:color w:val="000000"/>
          <w:szCs w:val="21"/>
          <w:lang w:bidi="en-US"/>
        </w:rPr>
        <w:t xml:space="preserve">Zhang, X., Gibson, J., Deng, X.: Remotely too equal: Popular DMSP night-time lights data understate spatial inequality. </w:t>
      </w:r>
      <w:r>
        <w:rPr>
          <w:i/>
          <w:iCs/>
          <w:snapToGrid w:val="0"/>
          <w:color w:val="000000"/>
          <w:szCs w:val="21"/>
          <w:lang w:bidi="en-US"/>
        </w:rPr>
        <w:t>Regional Science Policy &amp; Practice</w:t>
      </w:r>
      <w:r>
        <w:rPr>
          <w:snapToGrid w:val="0"/>
          <w:color w:val="000000"/>
          <w:szCs w:val="21"/>
          <w:lang w:bidi="en-US"/>
        </w:rPr>
        <w:t xml:space="preserve">. (2023, early view) doi: </w:t>
      </w:r>
      <w:hyperlink r:id="rId19" w:history="1">
        <w:r w:rsidRPr="008046D3">
          <w:rPr>
            <w:rStyle w:val="Hyperlink"/>
            <w:rFonts w:asciiTheme="majorBidi" w:hAnsiTheme="majorBidi" w:cstheme="majorBidi"/>
            <w:b/>
            <w:bCs/>
            <w:shd w:val="clear" w:color="auto" w:fill="FFFFFF"/>
          </w:rPr>
          <w:t>10.1111/rsp3.12716</w:t>
        </w:r>
      </w:hyperlink>
    </w:p>
    <w:p w14:paraId="5FD47D47" w14:textId="3BF7C3EC" w:rsidR="003442F8" w:rsidRDefault="00227340" w:rsidP="003442F8">
      <w:pPr>
        <w:spacing w:after="80"/>
        <w:ind w:left="480" w:hangingChars="200" w:hanging="480"/>
        <w:rPr>
          <w:snapToGrid w:val="0"/>
          <w:color w:val="000000"/>
          <w:szCs w:val="21"/>
          <w:lang w:bidi="en-US"/>
        </w:rPr>
      </w:pPr>
      <w:r w:rsidRPr="00DC591A">
        <w:rPr>
          <w:snapToGrid w:val="0"/>
          <w:color w:val="000000"/>
          <w:szCs w:val="21"/>
          <w:lang w:bidi="en-US"/>
        </w:rPr>
        <w:t>Zhang, S., Zhang, M. A., Sun, W.</w:t>
      </w:r>
      <w:r>
        <w:rPr>
          <w:snapToGrid w:val="0"/>
          <w:color w:val="000000"/>
          <w:szCs w:val="21"/>
          <w:lang w:bidi="en-US"/>
        </w:rPr>
        <w:t>:</w:t>
      </w:r>
      <w:r w:rsidR="003442F8">
        <w:rPr>
          <w:snapToGrid w:val="0"/>
          <w:color w:val="000000"/>
          <w:szCs w:val="21"/>
          <w:lang w:bidi="en-US"/>
        </w:rPr>
        <w:t xml:space="preserve"> Administrative division adjustment and housing price c</w:t>
      </w:r>
      <w:r w:rsidRPr="00DC591A">
        <w:rPr>
          <w:snapToGrid w:val="0"/>
          <w:color w:val="000000"/>
          <w:szCs w:val="21"/>
          <w:lang w:bidi="en-US"/>
        </w:rPr>
        <w:t>o</w:t>
      </w:r>
      <w:r w:rsidR="003442F8">
        <w:rPr>
          <w:snapToGrid w:val="0"/>
          <w:color w:val="000000"/>
          <w:szCs w:val="21"/>
          <w:lang w:bidi="en-US"/>
        </w:rPr>
        <w:noBreakHyphen/>
      </w:r>
      <w:r w:rsidRPr="00DC591A">
        <w:rPr>
          <w:snapToGrid w:val="0"/>
          <w:color w:val="000000"/>
          <w:szCs w:val="21"/>
          <w:lang w:bidi="en-US"/>
        </w:rPr>
        <w:t>movem</w:t>
      </w:r>
      <w:r w:rsidR="003442F8">
        <w:rPr>
          <w:snapToGrid w:val="0"/>
          <w:color w:val="000000"/>
          <w:szCs w:val="21"/>
          <w:lang w:bidi="en-US"/>
        </w:rPr>
        <w:t>ent: Evidence from City‐County m</w:t>
      </w:r>
      <w:r w:rsidRPr="00DC591A">
        <w:rPr>
          <w:snapToGrid w:val="0"/>
          <w:color w:val="000000"/>
          <w:szCs w:val="21"/>
          <w:lang w:bidi="en-US"/>
        </w:rPr>
        <w:t xml:space="preserve">ergers in China. </w:t>
      </w:r>
      <w:r w:rsidRPr="00227340">
        <w:rPr>
          <w:i/>
          <w:iCs/>
          <w:snapToGrid w:val="0"/>
          <w:color w:val="000000"/>
          <w:szCs w:val="21"/>
          <w:lang w:bidi="en-US"/>
        </w:rPr>
        <w:t>China &amp; World Economy</w:t>
      </w:r>
      <w:r>
        <w:rPr>
          <w:snapToGrid w:val="0"/>
          <w:color w:val="000000"/>
          <w:szCs w:val="21"/>
          <w:lang w:bidi="en-US"/>
        </w:rPr>
        <w:t>.</w:t>
      </w:r>
      <w:r w:rsidRPr="00DC591A">
        <w:rPr>
          <w:snapToGrid w:val="0"/>
          <w:color w:val="000000"/>
          <w:szCs w:val="21"/>
          <w:lang w:bidi="en-US"/>
        </w:rPr>
        <w:t xml:space="preserve"> </w:t>
      </w:r>
      <w:r w:rsidRPr="00DE3034">
        <w:rPr>
          <w:b/>
          <w:bCs/>
          <w:snapToGrid w:val="0"/>
          <w:color w:val="000000"/>
          <w:szCs w:val="21"/>
          <w:lang w:bidi="en-US"/>
        </w:rPr>
        <w:t>30</w:t>
      </w:r>
      <w:r w:rsidRPr="00DC591A">
        <w:rPr>
          <w:snapToGrid w:val="0"/>
          <w:color w:val="000000"/>
          <w:szCs w:val="21"/>
          <w:lang w:bidi="en-US"/>
        </w:rPr>
        <w:t>(4), 149-173 (2022)</w:t>
      </w:r>
    </w:p>
    <w:p w14:paraId="372DFEFE" w14:textId="574727F3" w:rsidR="00281A2D" w:rsidRPr="003442F8" w:rsidRDefault="00281A2D" w:rsidP="003442F8">
      <w:pPr>
        <w:spacing w:after="80"/>
        <w:ind w:left="480" w:hangingChars="200" w:hanging="480"/>
        <w:rPr>
          <w:snapToGrid w:val="0"/>
          <w:color w:val="000000"/>
          <w:szCs w:val="21"/>
          <w:lang w:bidi="en-US"/>
        </w:rPr>
      </w:pPr>
      <w:r w:rsidRPr="00EF4A09">
        <w:rPr>
          <w:snapToGrid w:val="0"/>
          <w:color w:val="000000"/>
          <w:szCs w:val="21"/>
          <w:lang w:bidi="en-US"/>
        </w:rPr>
        <w:t>Zhao, B., Xi, X.: Economic effects of conversion from county (or county-level city) to mun</w:t>
      </w:r>
      <w:r>
        <w:rPr>
          <w:snapToGrid w:val="0"/>
          <w:color w:val="000000"/>
          <w:szCs w:val="21"/>
          <w:lang w:bidi="en-US"/>
        </w:rPr>
        <w:t xml:space="preserve">icipal district in China. </w:t>
      </w:r>
      <w:r w:rsidRPr="00281A2D">
        <w:rPr>
          <w:i/>
          <w:iCs/>
          <w:snapToGrid w:val="0"/>
          <w:color w:val="000000"/>
          <w:szCs w:val="21"/>
          <w:lang w:bidi="en-US"/>
        </w:rPr>
        <w:t>PloS One</w:t>
      </w:r>
      <w:r w:rsidRPr="00EF4A09">
        <w:rPr>
          <w:snapToGrid w:val="0"/>
          <w:color w:val="000000"/>
          <w:szCs w:val="21"/>
          <w:lang w:bidi="en-US"/>
        </w:rPr>
        <w:t xml:space="preserve">. </w:t>
      </w:r>
      <w:r w:rsidRPr="00EF4A09">
        <w:rPr>
          <w:b/>
          <w:bCs/>
          <w:snapToGrid w:val="0"/>
          <w:color w:val="000000"/>
          <w:szCs w:val="21"/>
          <w:lang w:bidi="en-US"/>
        </w:rPr>
        <w:t>17</w:t>
      </w:r>
      <w:r w:rsidRPr="00EF4A09">
        <w:rPr>
          <w:snapToGrid w:val="0"/>
          <w:color w:val="000000"/>
          <w:szCs w:val="21"/>
          <w:lang w:bidi="en-US"/>
        </w:rPr>
        <w:t>(9), e0272267 (2022)</w:t>
      </w:r>
    </w:p>
    <w:p w14:paraId="7EB131C2" w14:textId="77777777" w:rsidR="00784B05" w:rsidRDefault="00784B05">
      <w:pPr>
        <w:rPr>
          <w:b/>
          <w:sz w:val="28"/>
          <w:szCs w:val="28"/>
        </w:rPr>
      </w:pPr>
    </w:p>
    <w:p w14:paraId="120600EC" w14:textId="77777777" w:rsidR="00A76408" w:rsidRDefault="00A76408">
      <w:pPr>
        <w:rPr>
          <w:b/>
          <w:sz w:val="28"/>
          <w:szCs w:val="28"/>
        </w:rPr>
      </w:pPr>
    </w:p>
    <w:p w14:paraId="355678CE" w14:textId="77777777" w:rsidR="00A76408" w:rsidRDefault="00A76408">
      <w:pPr>
        <w:rPr>
          <w:b/>
          <w:sz w:val="28"/>
          <w:szCs w:val="28"/>
        </w:rPr>
      </w:pPr>
    </w:p>
    <w:p w14:paraId="33EF2FE3" w14:textId="77777777" w:rsidR="00A76408" w:rsidRDefault="00A76408">
      <w:pPr>
        <w:rPr>
          <w:b/>
          <w:sz w:val="28"/>
          <w:szCs w:val="28"/>
        </w:rPr>
      </w:pPr>
    </w:p>
    <w:p w14:paraId="787B5566" w14:textId="2E714E38" w:rsidR="003C31CD" w:rsidRDefault="003C31CD" w:rsidP="00A76408">
      <w:pPr>
        <w:rPr>
          <w:bCs/>
          <w:sz w:val="4"/>
          <w:szCs w:val="4"/>
        </w:rPr>
      </w:pPr>
    </w:p>
    <w:sectPr w:rsidR="003C31CD" w:rsidSect="00C04030">
      <w:pgSz w:w="11906" w:h="16838"/>
      <w:pgMar w:top="1440" w:right="1440" w:bottom="1440" w:left="1440" w:header="709" w:footer="709" w:gutter="0"/>
      <w:pgNumType w:start="1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837066" w14:textId="77777777" w:rsidR="005F024E" w:rsidRDefault="005F024E" w:rsidP="00A97771">
      <w:pPr>
        <w:spacing w:after="0" w:line="240" w:lineRule="auto"/>
      </w:pPr>
      <w:r>
        <w:separator/>
      </w:r>
    </w:p>
  </w:endnote>
  <w:endnote w:type="continuationSeparator" w:id="0">
    <w:p w14:paraId="079F232F" w14:textId="77777777" w:rsidR="005F024E" w:rsidRDefault="005F024E" w:rsidP="00A97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URWPalladioL-Bold">
    <w:altName w:val="Cambria"/>
    <w:panose1 w:val="00000000000000000000"/>
    <w:charset w:val="00"/>
    <w:family w:val="roman"/>
    <w:notTrueType/>
    <w:pitch w:val="default"/>
  </w:font>
  <w:font w:name="URWPalladioL-Roma">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8911670"/>
      <w:docPartObj>
        <w:docPartGallery w:val="Page Numbers (Bottom of Page)"/>
        <w:docPartUnique/>
      </w:docPartObj>
    </w:sdtPr>
    <w:sdtEndPr>
      <w:rPr>
        <w:noProof/>
      </w:rPr>
    </w:sdtEndPr>
    <w:sdtContent>
      <w:p w14:paraId="3AD2360B" w14:textId="09B797AB" w:rsidR="00C86814" w:rsidRDefault="00C86814">
        <w:pPr>
          <w:pStyle w:val="Footer"/>
          <w:jc w:val="center"/>
        </w:pPr>
        <w:r>
          <w:fldChar w:fldCharType="begin"/>
        </w:r>
        <w:r>
          <w:instrText xml:space="preserve"> PAGE   \* MERGEFORMAT </w:instrText>
        </w:r>
        <w:r>
          <w:fldChar w:fldCharType="separate"/>
        </w:r>
        <w:r w:rsidR="00F2752F">
          <w:rPr>
            <w:noProof/>
          </w:rPr>
          <w:t>19</w:t>
        </w:r>
        <w:r>
          <w:rPr>
            <w:noProof/>
          </w:rPr>
          <w:fldChar w:fldCharType="end"/>
        </w:r>
      </w:p>
    </w:sdtContent>
  </w:sdt>
  <w:p w14:paraId="776A2C00" w14:textId="77777777" w:rsidR="00C86814" w:rsidRDefault="00C868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850EA" w14:textId="1E91F665" w:rsidR="00C86814" w:rsidRDefault="00C86814" w:rsidP="00443735">
    <w:pPr>
      <w:pStyle w:val="Footer"/>
      <w:jc w:val="center"/>
    </w:pPr>
  </w:p>
  <w:p w14:paraId="101B3BD7" w14:textId="77777777" w:rsidR="00C86814" w:rsidRDefault="00C868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C325A" w14:textId="77777777" w:rsidR="005F024E" w:rsidRDefault="005F024E" w:rsidP="00A97771">
      <w:pPr>
        <w:spacing w:after="0" w:line="240" w:lineRule="auto"/>
      </w:pPr>
      <w:r>
        <w:separator/>
      </w:r>
    </w:p>
  </w:footnote>
  <w:footnote w:type="continuationSeparator" w:id="0">
    <w:p w14:paraId="488C9B69" w14:textId="77777777" w:rsidR="005F024E" w:rsidRDefault="005F024E" w:rsidP="00A97771">
      <w:pPr>
        <w:spacing w:after="0" w:line="240" w:lineRule="auto"/>
      </w:pPr>
      <w:r>
        <w:continuationSeparator/>
      </w:r>
    </w:p>
  </w:footnote>
  <w:footnote w:id="1">
    <w:p w14:paraId="16312AB0" w14:textId="654513A5" w:rsidR="00C86814" w:rsidRPr="00126726" w:rsidRDefault="00C86814">
      <w:pPr>
        <w:pStyle w:val="FootnoteText"/>
      </w:pPr>
      <w:r>
        <w:rPr>
          <w:rStyle w:val="FootnoteReference"/>
        </w:rPr>
        <w:footnoteRef/>
      </w:r>
      <w:r>
        <w:t xml:space="preserve"> Counties, county-level cities, and districts are all </w:t>
      </w:r>
      <w:r>
        <w:rPr>
          <w:i/>
          <w:iCs/>
        </w:rPr>
        <w:t>de jure</w:t>
      </w:r>
      <w:r>
        <w:t xml:space="preserve"> third-level units in China’s administrative ranks (with provinces and prefectures the first two levels) but counties </w:t>
      </w:r>
      <w:r w:rsidRPr="00126726">
        <w:rPr>
          <w:i/>
          <w:iCs/>
        </w:rPr>
        <w:t>de facto</w:t>
      </w:r>
      <w:r>
        <w:t xml:space="preserve"> rank lower (see Table 1 for reasons).</w:t>
      </w:r>
    </w:p>
  </w:footnote>
  <w:footnote w:id="2">
    <w:p w14:paraId="051D3EE8" w14:textId="7B908BA7" w:rsidR="00C86814" w:rsidRPr="008A30E5" w:rsidRDefault="00C86814">
      <w:pPr>
        <w:pStyle w:val="FootnoteText"/>
      </w:pPr>
      <w:r>
        <w:rPr>
          <w:rStyle w:val="FootnoteReference"/>
        </w:rPr>
        <w:footnoteRef/>
      </w:r>
      <w:r>
        <w:t xml:space="preserve"> Likewise, Tang and Hewings (2017) find larger effects after four years, for a different type of upgrading, from county to district (</w:t>
      </w:r>
      <w:r>
        <w:rPr>
          <w:i/>
          <w:iCs/>
        </w:rPr>
        <w:t>che xian she qu</w:t>
      </w:r>
      <w:r>
        <w:t>) that often involves consolidation and then expansion of enlarged urban areas.</w:t>
      </w:r>
    </w:p>
  </w:footnote>
  <w:footnote w:id="3">
    <w:p w14:paraId="18B19040" w14:textId="24638DF4" w:rsidR="00C86814" w:rsidRPr="002E23F6" w:rsidRDefault="00C86814" w:rsidP="006B1B46">
      <w:pPr>
        <w:pStyle w:val="FootnoteText"/>
      </w:pPr>
      <w:r>
        <w:rPr>
          <w:rStyle w:val="FootnoteReference"/>
        </w:rPr>
        <w:footnoteRef/>
      </w:r>
      <w:r>
        <w:t xml:space="preserve"> We use census data, which consistently define the usual resident population. Other population data for China’s subnational units are still often based on the </w:t>
      </w:r>
      <w:r>
        <w:rPr>
          <w:i/>
          <w:iCs/>
        </w:rPr>
        <w:t>hukou</w:t>
      </w:r>
      <w:r>
        <w:t xml:space="preserve"> registered population, which can be a misleading indicator because millions of people now reside away from where they are registered (Gibson and Li, 2017).</w:t>
      </w:r>
    </w:p>
  </w:footnote>
  <w:footnote w:id="4">
    <w:p w14:paraId="6861D992" w14:textId="77777777" w:rsidR="00797613" w:rsidRDefault="00797613" w:rsidP="00797613">
      <w:pPr>
        <w:pStyle w:val="FootnoteText"/>
      </w:pPr>
      <w:r>
        <w:rPr>
          <w:rStyle w:val="FootnoteReference"/>
        </w:rPr>
        <w:footnoteRef/>
      </w:r>
      <w:r>
        <w:t xml:space="preserve"> DMSP is the </w:t>
      </w:r>
      <w:r w:rsidRPr="00F3330C">
        <w:rPr>
          <w:rFonts w:asciiTheme="majorBidi" w:hAnsiTheme="majorBidi" w:cstheme="majorBidi"/>
          <w:bCs/>
          <w:lang w:val="en-US"/>
        </w:rPr>
        <w:t>Defense Meteorological Satellite Program</w:t>
      </w:r>
      <w:r>
        <w:rPr>
          <w:rFonts w:asciiTheme="majorBidi" w:hAnsiTheme="majorBidi" w:cstheme="majorBidi"/>
          <w:bCs/>
          <w:lang w:val="en-US"/>
        </w:rPr>
        <w:t>. This is the only source of satellite-detected luminosity data available for time-series that begin prior to 2012.</w:t>
      </w:r>
    </w:p>
  </w:footnote>
  <w:footnote w:id="5">
    <w:p w14:paraId="23CADE25" w14:textId="2EF51CED" w:rsidR="00C86814" w:rsidRDefault="00C86814" w:rsidP="00965C95">
      <w:pPr>
        <w:pStyle w:val="FootnoteText"/>
      </w:pPr>
      <w:r>
        <w:rPr>
          <w:rStyle w:val="FootnoteReference"/>
        </w:rPr>
        <w:footnoteRef/>
      </w:r>
      <w:r>
        <w:t xml:space="preserve"> </w:t>
      </w:r>
      <w:r>
        <w:rPr>
          <w:rFonts w:eastAsia="Times New Roman"/>
          <w:bCs/>
          <w:iCs/>
          <w:kern w:val="36"/>
          <w:lang w:eastAsia="en-NZ" w:bidi="en-US"/>
        </w:rPr>
        <w:t>This variable was not statistically significant so Bo (2020) concluded that that there were no spillovers.</w:t>
      </w:r>
    </w:p>
  </w:footnote>
  <w:footnote w:id="6">
    <w:p w14:paraId="0522A6D5" w14:textId="33BB0347" w:rsidR="00C86814" w:rsidRDefault="00C86814" w:rsidP="00055061">
      <w:pPr>
        <w:pStyle w:val="FootnoteText"/>
      </w:pPr>
      <w:r>
        <w:rPr>
          <w:rStyle w:val="FootnoteReference"/>
        </w:rPr>
        <w:footnoteRef/>
      </w:r>
      <w:r>
        <w:t xml:space="preserve"> This is one reason for combining together conversions from county to county-level city, and from county to district. As a practical matter it would be difficult to use spatial models to study either pathway in isolation because the spatial weights matrix would then be incomplete.</w:t>
      </w:r>
    </w:p>
  </w:footnote>
  <w:footnote w:id="7">
    <w:p w14:paraId="43B3EA04" w14:textId="7C54A6BD" w:rsidR="00C86814" w:rsidRDefault="00C86814" w:rsidP="00312FF1">
      <w:pPr>
        <w:pStyle w:val="FootnoteText"/>
      </w:pPr>
      <w:r>
        <w:rPr>
          <w:rStyle w:val="FootnoteReference"/>
        </w:rPr>
        <w:footnoteRef/>
      </w:r>
      <w:r>
        <w:t xml:space="preserve"> Each satellite orbits for many years and so two or more DMSP satellites may be in orbit simultaneously. The time that they observe earth gets earlier as they age and so there is often only one that is well timed to capture luminosity. We use images from F14 from 2000-03, F16 for 2004-09, F18 for 2010-12, and F15 for 2013-19.</w:t>
      </w:r>
    </w:p>
  </w:footnote>
  <w:footnote w:id="8">
    <w:p w14:paraId="70D561F5" w14:textId="6957BD4B" w:rsidR="00C86814" w:rsidRDefault="00C86814">
      <w:pPr>
        <w:pStyle w:val="FootnoteText"/>
      </w:pPr>
      <w:r>
        <w:rPr>
          <w:rStyle w:val="FootnoteReference"/>
        </w:rPr>
        <w:footnoteRef/>
      </w:r>
      <w:r>
        <w:t xml:space="preserve"> </w:t>
      </w:r>
      <w:r>
        <w:rPr>
          <w:bCs/>
        </w:rPr>
        <w:t>T</w:t>
      </w:r>
      <w:r w:rsidRPr="00C52635">
        <w:rPr>
          <w:bCs/>
        </w:rPr>
        <w:t xml:space="preserve">he </w:t>
      </w:r>
      <w:r>
        <w:rPr>
          <w:bCs/>
        </w:rPr>
        <w:t>DMSP data are available from</w:t>
      </w:r>
      <w:r w:rsidRPr="00C52635">
        <w:rPr>
          <w:bCs/>
        </w:rPr>
        <w:t xml:space="preserve">: </w:t>
      </w:r>
      <w:hyperlink r:id="rId1" w:history="1">
        <w:r w:rsidRPr="00C52635">
          <w:rPr>
            <w:rStyle w:val="Hyperlink"/>
            <w:bCs/>
          </w:rPr>
          <w:t>https://eogdata.mines.edu/products/dmsp/</w:t>
        </w:r>
      </w:hyperlink>
      <w:r w:rsidRPr="00C52635">
        <w:rPr>
          <w:bCs/>
        </w:rPr>
        <w:t>.</w:t>
      </w:r>
    </w:p>
  </w:footnote>
  <w:footnote w:id="9">
    <w:p w14:paraId="1CA70219" w14:textId="77777777" w:rsidR="00C86814" w:rsidRPr="008A622D" w:rsidRDefault="00C86814" w:rsidP="00C15819">
      <w:pPr>
        <w:pStyle w:val="FootnoteText"/>
        <w:ind w:left="142" w:hanging="142"/>
        <w:rPr>
          <w:sz w:val="22"/>
          <w:szCs w:val="22"/>
        </w:rPr>
      </w:pPr>
      <w:r w:rsidRPr="008A622D">
        <w:rPr>
          <w:rStyle w:val="FootnoteReference"/>
          <w:sz w:val="22"/>
          <w:szCs w:val="22"/>
        </w:rPr>
        <w:footnoteRef/>
      </w:r>
      <w:r w:rsidRPr="008A622D">
        <w:rPr>
          <w:sz w:val="22"/>
          <w:szCs w:val="22"/>
        </w:rPr>
        <w:t xml:space="preserve"> This is estimated by quasi-maximum likelihood (Lee and Yu, 2010), using the Drukker et al (2013) estimator.</w:t>
      </w:r>
    </w:p>
  </w:footnote>
  <w:footnote w:id="10">
    <w:p w14:paraId="5CBE5734" w14:textId="761EC269" w:rsidR="00C86814" w:rsidRDefault="00C86814">
      <w:pPr>
        <w:pStyle w:val="FootnoteText"/>
      </w:pPr>
      <w:r>
        <w:rPr>
          <w:rStyle w:val="FootnoteReference"/>
        </w:rPr>
        <w:footnoteRef/>
      </w:r>
      <w:r>
        <w:t xml:space="preserve"> We use these data even acknowledging this flaw because alternative luminosity indicators are only available from 2012 onwards and so we would lose a majority of our observations if we used these alternatives.</w:t>
      </w:r>
    </w:p>
  </w:footnote>
  <w:footnote w:id="11">
    <w:p w14:paraId="668F5ED3" w14:textId="55D69120" w:rsidR="00C86814" w:rsidRPr="002D298C" w:rsidRDefault="00C86814">
      <w:pPr>
        <w:pStyle w:val="FootnoteText"/>
      </w:pPr>
      <w:r>
        <w:rPr>
          <w:rStyle w:val="FootnoteReference"/>
        </w:rPr>
        <w:footnoteRef/>
      </w:r>
      <w:r>
        <w:t xml:space="preserve"> The derived standard errors for the </w:t>
      </w:r>
      <w:r>
        <w:rPr>
          <w:i/>
          <w:iCs/>
        </w:rPr>
        <w:t>I</w:t>
      </w:r>
      <w:r>
        <w:t xml:space="preserve"> statistics in Figure 4 are about 0.01, so the difference between values for DMSP and for GDP are statistically significant.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1B5387"/>
    <w:multiLevelType w:val="hybridMultilevel"/>
    <w:tmpl w:val="CDB42810"/>
    <w:lvl w:ilvl="0" w:tplc="3DD47A0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52E266D4"/>
    <w:multiLevelType w:val="hybridMultilevel"/>
    <w:tmpl w:val="2C4A99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7EE86D4F"/>
    <w:multiLevelType w:val="hybridMultilevel"/>
    <w:tmpl w:val="A1769D6A"/>
    <w:lvl w:ilvl="0" w:tplc="B8F07CCC">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1724257505">
    <w:abstractNumId w:val="0"/>
  </w:num>
  <w:num w:numId="2" w16cid:durableId="1338774144">
    <w:abstractNumId w:val="2"/>
  </w:num>
  <w:num w:numId="3" w16cid:durableId="7597163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5B8B"/>
    <w:rsid w:val="00001F45"/>
    <w:rsid w:val="00002279"/>
    <w:rsid w:val="000029D6"/>
    <w:rsid w:val="00004403"/>
    <w:rsid w:val="00004567"/>
    <w:rsid w:val="000053DA"/>
    <w:rsid w:val="000065F2"/>
    <w:rsid w:val="00006665"/>
    <w:rsid w:val="00007313"/>
    <w:rsid w:val="00007462"/>
    <w:rsid w:val="00007A41"/>
    <w:rsid w:val="00012246"/>
    <w:rsid w:val="00013328"/>
    <w:rsid w:val="0001424F"/>
    <w:rsid w:val="000150BC"/>
    <w:rsid w:val="00016A72"/>
    <w:rsid w:val="0002005B"/>
    <w:rsid w:val="000200EC"/>
    <w:rsid w:val="00020BEC"/>
    <w:rsid w:val="00021385"/>
    <w:rsid w:val="00023ED8"/>
    <w:rsid w:val="00023F75"/>
    <w:rsid w:val="0002469C"/>
    <w:rsid w:val="0002493E"/>
    <w:rsid w:val="00025317"/>
    <w:rsid w:val="00025E30"/>
    <w:rsid w:val="000271F1"/>
    <w:rsid w:val="00027ABC"/>
    <w:rsid w:val="00030277"/>
    <w:rsid w:val="000302A6"/>
    <w:rsid w:val="00031CE0"/>
    <w:rsid w:val="00032873"/>
    <w:rsid w:val="00032B6E"/>
    <w:rsid w:val="0003432B"/>
    <w:rsid w:val="000356C1"/>
    <w:rsid w:val="000357FD"/>
    <w:rsid w:val="000359F4"/>
    <w:rsid w:val="00035BBB"/>
    <w:rsid w:val="00036F59"/>
    <w:rsid w:val="00040890"/>
    <w:rsid w:val="00041814"/>
    <w:rsid w:val="00041B5E"/>
    <w:rsid w:val="00041C56"/>
    <w:rsid w:val="000430B4"/>
    <w:rsid w:val="00044576"/>
    <w:rsid w:val="0004457F"/>
    <w:rsid w:val="00044689"/>
    <w:rsid w:val="000469A5"/>
    <w:rsid w:val="00047C60"/>
    <w:rsid w:val="00050F4B"/>
    <w:rsid w:val="0005182B"/>
    <w:rsid w:val="00051CFA"/>
    <w:rsid w:val="00051FD0"/>
    <w:rsid w:val="00052401"/>
    <w:rsid w:val="00054EDE"/>
    <w:rsid w:val="00055061"/>
    <w:rsid w:val="00055721"/>
    <w:rsid w:val="00056B04"/>
    <w:rsid w:val="00056FE0"/>
    <w:rsid w:val="00057774"/>
    <w:rsid w:val="00066616"/>
    <w:rsid w:val="00066A91"/>
    <w:rsid w:val="000679C1"/>
    <w:rsid w:val="00070934"/>
    <w:rsid w:val="00070E29"/>
    <w:rsid w:val="00071E99"/>
    <w:rsid w:val="000728C5"/>
    <w:rsid w:val="00072F37"/>
    <w:rsid w:val="00074ECB"/>
    <w:rsid w:val="00075D6D"/>
    <w:rsid w:val="000766F8"/>
    <w:rsid w:val="00076B43"/>
    <w:rsid w:val="00076BFF"/>
    <w:rsid w:val="00080123"/>
    <w:rsid w:val="0008015C"/>
    <w:rsid w:val="00080311"/>
    <w:rsid w:val="000803E2"/>
    <w:rsid w:val="00080765"/>
    <w:rsid w:val="00081B74"/>
    <w:rsid w:val="0008350E"/>
    <w:rsid w:val="00083C3B"/>
    <w:rsid w:val="00084D97"/>
    <w:rsid w:val="0008606B"/>
    <w:rsid w:val="000875B9"/>
    <w:rsid w:val="00087C02"/>
    <w:rsid w:val="000900CE"/>
    <w:rsid w:val="00091BAC"/>
    <w:rsid w:val="00092079"/>
    <w:rsid w:val="00092661"/>
    <w:rsid w:val="000A16EC"/>
    <w:rsid w:val="000A3580"/>
    <w:rsid w:val="000A3D3C"/>
    <w:rsid w:val="000A3E9C"/>
    <w:rsid w:val="000A4F2E"/>
    <w:rsid w:val="000A5474"/>
    <w:rsid w:val="000A7729"/>
    <w:rsid w:val="000B0563"/>
    <w:rsid w:val="000B11EE"/>
    <w:rsid w:val="000B26C3"/>
    <w:rsid w:val="000B384A"/>
    <w:rsid w:val="000B4430"/>
    <w:rsid w:val="000B5E42"/>
    <w:rsid w:val="000B69D0"/>
    <w:rsid w:val="000B78E9"/>
    <w:rsid w:val="000B7C0F"/>
    <w:rsid w:val="000C0044"/>
    <w:rsid w:val="000C096F"/>
    <w:rsid w:val="000C0A63"/>
    <w:rsid w:val="000C1545"/>
    <w:rsid w:val="000C1DA7"/>
    <w:rsid w:val="000C2725"/>
    <w:rsid w:val="000C2DBE"/>
    <w:rsid w:val="000C368B"/>
    <w:rsid w:val="000C5757"/>
    <w:rsid w:val="000C591B"/>
    <w:rsid w:val="000C6826"/>
    <w:rsid w:val="000C758F"/>
    <w:rsid w:val="000D1487"/>
    <w:rsid w:val="000D5A9C"/>
    <w:rsid w:val="000D727D"/>
    <w:rsid w:val="000D79D7"/>
    <w:rsid w:val="000E00AD"/>
    <w:rsid w:val="000E0436"/>
    <w:rsid w:val="000E1BF8"/>
    <w:rsid w:val="000E3694"/>
    <w:rsid w:val="000E4023"/>
    <w:rsid w:val="000E4879"/>
    <w:rsid w:val="000E4A01"/>
    <w:rsid w:val="000E4EAE"/>
    <w:rsid w:val="000E5AC1"/>
    <w:rsid w:val="000E5ACF"/>
    <w:rsid w:val="000E615C"/>
    <w:rsid w:val="000E6DC9"/>
    <w:rsid w:val="000E752E"/>
    <w:rsid w:val="000E75E5"/>
    <w:rsid w:val="000E77C7"/>
    <w:rsid w:val="000E7DE0"/>
    <w:rsid w:val="000F050F"/>
    <w:rsid w:val="000F06D5"/>
    <w:rsid w:val="000F0817"/>
    <w:rsid w:val="000F0884"/>
    <w:rsid w:val="000F0F9C"/>
    <w:rsid w:val="000F170D"/>
    <w:rsid w:val="000F180D"/>
    <w:rsid w:val="000F1892"/>
    <w:rsid w:val="000F199B"/>
    <w:rsid w:val="000F3224"/>
    <w:rsid w:val="000F4B1C"/>
    <w:rsid w:val="000F5777"/>
    <w:rsid w:val="000F5A73"/>
    <w:rsid w:val="000F5DB4"/>
    <w:rsid w:val="000F5EB6"/>
    <w:rsid w:val="000F622A"/>
    <w:rsid w:val="00100D22"/>
    <w:rsid w:val="00101073"/>
    <w:rsid w:val="0010124A"/>
    <w:rsid w:val="00101C23"/>
    <w:rsid w:val="00104533"/>
    <w:rsid w:val="001046FC"/>
    <w:rsid w:val="0010511D"/>
    <w:rsid w:val="00106AF4"/>
    <w:rsid w:val="001106A9"/>
    <w:rsid w:val="00110C8B"/>
    <w:rsid w:val="0011218C"/>
    <w:rsid w:val="00112AC7"/>
    <w:rsid w:val="00114D29"/>
    <w:rsid w:val="00116B93"/>
    <w:rsid w:val="00120250"/>
    <w:rsid w:val="001224B2"/>
    <w:rsid w:val="00122FD0"/>
    <w:rsid w:val="00123084"/>
    <w:rsid w:val="00123359"/>
    <w:rsid w:val="00126726"/>
    <w:rsid w:val="00126BFD"/>
    <w:rsid w:val="00126FD2"/>
    <w:rsid w:val="001322B3"/>
    <w:rsid w:val="0013344A"/>
    <w:rsid w:val="00133724"/>
    <w:rsid w:val="00134337"/>
    <w:rsid w:val="0013560A"/>
    <w:rsid w:val="0013788E"/>
    <w:rsid w:val="00137DC8"/>
    <w:rsid w:val="00143496"/>
    <w:rsid w:val="00144278"/>
    <w:rsid w:val="00144B68"/>
    <w:rsid w:val="00144D60"/>
    <w:rsid w:val="00146B70"/>
    <w:rsid w:val="001505C7"/>
    <w:rsid w:val="00150AE0"/>
    <w:rsid w:val="001514FA"/>
    <w:rsid w:val="00151D2C"/>
    <w:rsid w:val="0015201F"/>
    <w:rsid w:val="001521B9"/>
    <w:rsid w:val="00152B75"/>
    <w:rsid w:val="00156B76"/>
    <w:rsid w:val="00160096"/>
    <w:rsid w:val="00160E06"/>
    <w:rsid w:val="00161EE3"/>
    <w:rsid w:val="001629B2"/>
    <w:rsid w:val="00163B89"/>
    <w:rsid w:val="00164986"/>
    <w:rsid w:val="001658FA"/>
    <w:rsid w:val="001660D6"/>
    <w:rsid w:val="00166BD9"/>
    <w:rsid w:val="00170278"/>
    <w:rsid w:val="00170A57"/>
    <w:rsid w:val="00171B42"/>
    <w:rsid w:val="00174420"/>
    <w:rsid w:val="001745CF"/>
    <w:rsid w:val="00174918"/>
    <w:rsid w:val="00177FC8"/>
    <w:rsid w:val="001810EC"/>
    <w:rsid w:val="0018194E"/>
    <w:rsid w:val="0018220C"/>
    <w:rsid w:val="00182A99"/>
    <w:rsid w:val="00182DF0"/>
    <w:rsid w:val="001840A8"/>
    <w:rsid w:val="0018427F"/>
    <w:rsid w:val="00184897"/>
    <w:rsid w:val="00184EBC"/>
    <w:rsid w:val="00185EB5"/>
    <w:rsid w:val="00185F87"/>
    <w:rsid w:val="00187642"/>
    <w:rsid w:val="001879DA"/>
    <w:rsid w:val="0019091C"/>
    <w:rsid w:val="00191F05"/>
    <w:rsid w:val="001936B0"/>
    <w:rsid w:val="00194405"/>
    <w:rsid w:val="001946A9"/>
    <w:rsid w:val="00194A57"/>
    <w:rsid w:val="00194DE6"/>
    <w:rsid w:val="001953B5"/>
    <w:rsid w:val="00196DEE"/>
    <w:rsid w:val="0019712A"/>
    <w:rsid w:val="0019765C"/>
    <w:rsid w:val="00197D19"/>
    <w:rsid w:val="001A1111"/>
    <w:rsid w:val="001A1E83"/>
    <w:rsid w:val="001A3202"/>
    <w:rsid w:val="001A3F51"/>
    <w:rsid w:val="001A5193"/>
    <w:rsid w:val="001A7193"/>
    <w:rsid w:val="001B0B56"/>
    <w:rsid w:val="001B0EFF"/>
    <w:rsid w:val="001B1EAE"/>
    <w:rsid w:val="001B4E73"/>
    <w:rsid w:val="001B5F59"/>
    <w:rsid w:val="001B791A"/>
    <w:rsid w:val="001C1F4D"/>
    <w:rsid w:val="001C248E"/>
    <w:rsid w:val="001C2E16"/>
    <w:rsid w:val="001C4F0E"/>
    <w:rsid w:val="001D00F1"/>
    <w:rsid w:val="001D08EA"/>
    <w:rsid w:val="001D52FC"/>
    <w:rsid w:val="001D68E2"/>
    <w:rsid w:val="001D731B"/>
    <w:rsid w:val="001D7DEB"/>
    <w:rsid w:val="001E034B"/>
    <w:rsid w:val="001E0B2E"/>
    <w:rsid w:val="001E0F73"/>
    <w:rsid w:val="001E1D87"/>
    <w:rsid w:val="001E360A"/>
    <w:rsid w:val="001E5587"/>
    <w:rsid w:val="001E7912"/>
    <w:rsid w:val="001E7B15"/>
    <w:rsid w:val="001F0499"/>
    <w:rsid w:val="001F0D09"/>
    <w:rsid w:val="001F39B4"/>
    <w:rsid w:val="001F4B25"/>
    <w:rsid w:val="001F5C7E"/>
    <w:rsid w:val="001F76DE"/>
    <w:rsid w:val="002001F3"/>
    <w:rsid w:val="0020283B"/>
    <w:rsid w:val="00202E7E"/>
    <w:rsid w:val="00203C3D"/>
    <w:rsid w:val="00205080"/>
    <w:rsid w:val="00205F59"/>
    <w:rsid w:val="00206140"/>
    <w:rsid w:val="002105F6"/>
    <w:rsid w:val="002110EE"/>
    <w:rsid w:val="002113A9"/>
    <w:rsid w:val="002116B6"/>
    <w:rsid w:val="00213A18"/>
    <w:rsid w:val="00213C1D"/>
    <w:rsid w:val="00213D13"/>
    <w:rsid w:val="00214622"/>
    <w:rsid w:val="00214726"/>
    <w:rsid w:val="002147F0"/>
    <w:rsid w:val="00214A7D"/>
    <w:rsid w:val="00214D94"/>
    <w:rsid w:val="00215229"/>
    <w:rsid w:val="00220548"/>
    <w:rsid w:val="00220734"/>
    <w:rsid w:val="00220C72"/>
    <w:rsid w:val="00221078"/>
    <w:rsid w:val="00221253"/>
    <w:rsid w:val="00221ADB"/>
    <w:rsid w:val="002235D3"/>
    <w:rsid w:val="00223C8A"/>
    <w:rsid w:val="0022401B"/>
    <w:rsid w:val="0022447B"/>
    <w:rsid w:val="00225D79"/>
    <w:rsid w:val="00227340"/>
    <w:rsid w:val="00227BD1"/>
    <w:rsid w:val="0023147C"/>
    <w:rsid w:val="00232C33"/>
    <w:rsid w:val="00235687"/>
    <w:rsid w:val="00235A3B"/>
    <w:rsid w:val="00235AA7"/>
    <w:rsid w:val="002369EB"/>
    <w:rsid w:val="002413FF"/>
    <w:rsid w:val="00242CDB"/>
    <w:rsid w:val="00243BE9"/>
    <w:rsid w:val="00244069"/>
    <w:rsid w:val="00244F1A"/>
    <w:rsid w:val="00244F59"/>
    <w:rsid w:val="00245BE4"/>
    <w:rsid w:val="002466E8"/>
    <w:rsid w:val="002473D0"/>
    <w:rsid w:val="00250584"/>
    <w:rsid w:val="00250D8F"/>
    <w:rsid w:val="00251D61"/>
    <w:rsid w:val="002520F7"/>
    <w:rsid w:val="0025322F"/>
    <w:rsid w:val="00254620"/>
    <w:rsid w:val="00254DE6"/>
    <w:rsid w:val="0025750D"/>
    <w:rsid w:val="00261AB7"/>
    <w:rsid w:val="0026362F"/>
    <w:rsid w:val="00267618"/>
    <w:rsid w:val="0026763A"/>
    <w:rsid w:val="00272849"/>
    <w:rsid w:val="002737BC"/>
    <w:rsid w:val="00274481"/>
    <w:rsid w:val="00275508"/>
    <w:rsid w:val="00275D16"/>
    <w:rsid w:val="00276C4E"/>
    <w:rsid w:val="002771B9"/>
    <w:rsid w:val="00281A2D"/>
    <w:rsid w:val="00281F6F"/>
    <w:rsid w:val="0028356F"/>
    <w:rsid w:val="002858B5"/>
    <w:rsid w:val="00291A78"/>
    <w:rsid w:val="00291CB4"/>
    <w:rsid w:val="00291F25"/>
    <w:rsid w:val="00292064"/>
    <w:rsid w:val="002920BD"/>
    <w:rsid w:val="0029226C"/>
    <w:rsid w:val="00293F73"/>
    <w:rsid w:val="002946B0"/>
    <w:rsid w:val="00294D67"/>
    <w:rsid w:val="00296C04"/>
    <w:rsid w:val="00296F29"/>
    <w:rsid w:val="002A1924"/>
    <w:rsid w:val="002A1D3B"/>
    <w:rsid w:val="002A1F76"/>
    <w:rsid w:val="002A21F3"/>
    <w:rsid w:val="002A2603"/>
    <w:rsid w:val="002A3008"/>
    <w:rsid w:val="002A423A"/>
    <w:rsid w:val="002A5E2D"/>
    <w:rsid w:val="002A6B07"/>
    <w:rsid w:val="002B0430"/>
    <w:rsid w:val="002B06A5"/>
    <w:rsid w:val="002B1640"/>
    <w:rsid w:val="002B1F34"/>
    <w:rsid w:val="002B4FC7"/>
    <w:rsid w:val="002B5D99"/>
    <w:rsid w:val="002B7418"/>
    <w:rsid w:val="002C07BC"/>
    <w:rsid w:val="002C1C8A"/>
    <w:rsid w:val="002C1FBF"/>
    <w:rsid w:val="002C2413"/>
    <w:rsid w:val="002C25F9"/>
    <w:rsid w:val="002C3EE7"/>
    <w:rsid w:val="002C40BC"/>
    <w:rsid w:val="002C44AA"/>
    <w:rsid w:val="002C5554"/>
    <w:rsid w:val="002C5B8B"/>
    <w:rsid w:val="002C6994"/>
    <w:rsid w:val="002C7E3F"/>
    <w:rsid w:val="002D0466"/>
    <w:rsid w:val="002D05F2"/>
    <w:rsid w:val="002D291A"/>
    <w:rsid w:val="002D298C"/>
    <w:rsid w:val="002D2A97"/>
    <w:rsid w:val="002D2D8E"/>
    <w:rsid w:val="002D31C8"/>
    <w:rsid w:val="002D50DC"/>
    <w:rsid w:val="002D59F7"/>
    <w:rsid w:val="002E09AF"/>
    <w:rsid w:val="002E115F"/>
    <w:rsid w:val="002E13C3"/>
    <w:rsid w:val="002E23F6"/>
    <w:rsid w:val="002E25B7"/>
    <w:rsid w:val="002E2EA3"/>
    <w:rsid w:val="002E3247"/>
    <w:rsid w:val="002E3741"/>
    <w:rsid w:val="002E5D2A"/>
    <w:rsid w:val="002F1C9E"/>
    <w:rsid w:val="002F23D5"/>
    <w:rsid w:val="002F35F1"/>
    <w:rsid w:val="002F4AE1"/>
    <w:rsid w:val="002F5CD7"/>
    <w:rsid w:val="002F6CD4"/>
    <w:rsid w:val="0030131B"/>
    <w:rsid w:val="00303F15"/>
    <w:rsid w:val="00304E9C"/>
    <w:rsid w:val="00306A31"/>
    <w:rsid w:val="00307CB8"/>
    <w:rsid w:val="0031083A"/>
    <w:rsid w:val="00310A4D"/>
    <w:rsid w:val="00312C8D"/>
    <w:rsid w:val="00312DC5"/>
    <w:rsid w:val="00312FF1"/>
    <w:rsid w:val="003140E7"/>
    <w:rsid w:val="00317033"/>
    <w:rsid w:val="003226F2"/>
    <w:rsid w:val="00322983"/>
    <w:rsid w:val="0032325D"/>
    <w:rsid w:val="00325BCC"/>
    <w:rsid w:val="0032699D"/>
    <w:rsid w:val="00326CF7"/>
    <w:rsid w:val="003270BE"/>
    <w:rsid w:val="00327A5A"/>
    <w:rsid w:val="00327DD8"/>
    <w:rsid w:val="0033098D"/>
    <w:rsid w:val="0033209F"/>
    <w:rsid w:val="0033214C"/>
    <w:rsid w:val="00332AAD"/>
    <w:rsid w:val="0033497F"/>
    <w:rsid w:val="00334CA0"/>
    <w:rsid w:val="0034041B"/>
    <w:rsid w:val="0034053E"/>
    <w:rsid w:val="00342A26"/>
    <w:rsid w:val="003442F8"/>
    <w:rsid w:val="003466ED"/>
    <w:rsid w:val="00346E44"/>
    <w:rsid w:val="0034762A"/>
    <w:rsid w:val="003509FF"/>
    <w:rsid w:val="00351228"/>
    <w:rsid w:val="003515E6"/>
    <w:rsid w:val="00351695"/>
    <w:rsid w:val="00351D8B"/>
    <w:rsid w:val="0035351E"/>
    <w:rsid w:val="00354F3A"/>
    <w:rsid w:val="00357070"/>
    <w:rsid w:val="00360A0D"/>
    <w:rsid w:val="003639E3"/>
    <w:rsid w:val="0036420A"/>
    <w:rsid w:val="0036596F"/>
    <w:rsid w:val="00365F99"/>
    <w:rsid w:val="00367361"/>
    <w:rsid w:val="003705EA"/>
    <w:rsid w:val="00372189"/>
    <w:rsid w:val="0037219C"/>
    <w:rsid w:val="00373A62"/>
    <w:rsid w:val="00373BD1"/>
    <w:rsid w:val="00373DC9"/>
    <w:rsid w:val="00374734"/>
    <w:rsid w:val="00374EA4"/>
    <w:rsid w:val="00375564"/>
    <w:rsid w:val="0037621D"/>
    <w:rsid w:val="00376AF3"/>
    <w:rsid w:val="00376D59"/>
    <w:rsid w:val="00377520"/>
    <w:rsid w:val="00377714"/>
    <w:rsid w:val="003802F8"/>
    <w:rsid w:val="00381D95"/>
    <w:rsid w:val="00385A0E"/>
    <w:rsid w:val="00385E02"/>
    <w:rsid w:val="00387156"/>
    <w:rsid w:val="00387464"/>
    <w:rsid w:val="0038767B"/>
    <w:rsid w:val="003906DA"/>
    <w:rsid w:val="0039091D"/>
    <w:rsid w:val="00390B9C"/>
    <w:rsid w:val="0039140B"/>
    <w:rsid w:val="00391B3B"/>
    <w:rsid w:val="00391E8D"/>
    <w:rsid w:val="0039259D"/>
    <w:rsid w:val="00392A11"/>
    <w:rsid w:val="003953AD"/>
    <w:rsid w:val="00395CA9"/>
    <w:rsid w:val="003965EC"/>
    <w:rsid w:val="003967E9"/>
    <w:rsid w:val="0039697F"/>
    <w:rsid w:val="003A0386"/>
    <w:rsid w:val="003A127F"/>
    <w:rsid w:val="003A1456"/>
    <w:rsid w:val="003A36C0"/>
    <w:rsid w:val="003A52BD"/>
    <w:rsid w:val="003A56CD"/>
    <w:rsid w:val="003A67BB"/>
    <w:rsid w:val="003A6830"/>
    <w:rsid w:val="003A75AA"/>
    <w:rsid w:val="003A7F02"/>
    <w:rsid w:val="003A7F49"/>
    <w:rsid w:val="003B042D"/>
    <w:rsid w:val="003B0607"/>
    <w:rsid w:val="003B0C66"/>
    <w:rsid w:val="003B1580"/>
    <w:rsid w:val="003B254C"/>
    <w:rsid w:val="003B427C"/>
    <w:rsid w:val="003B4381"/>
    <w:rsid w:val="003B4D8E"/>
    <w:rsid w:val="003B5740"/>
    <w:rsid w:val="003B7672"/>
    <w:rsid w:val="003B7A69"/>
    <w:rsid w:val="003C2496"/>
    <w:rsid w:val="003C24DF"/>
    <w:rsid w:val="003C31CD"/>
    <w:rsid w:val="003C4355"/>
    <w:rsid w:val="003C5884"/>
    <w:rsid w:val="003C5D13"/>
    <w:rsid w:val="003C5D9F"/>
    <w:rsid w:val="003C60B8"/>
    <w:rsid w:val="003C66B6"/>
    <w:rsid w:val="003C7709"/>
    <w:rsid w:val="003D0D34"/>
    <w:rsid w:val="003D2AA7"/>
    <w:rsid w:val="003D33C9"/>
    <w:rsid w:val="003D33D2"/>
    <w:rsid w:val="003D389E"/>
    <w:rsid w:val="003D4B34"/>
    <w:rsid w:val="003D5189"/>
    <w:rsid w:val="003D5D8A"/>
    <w:rsid w:val="003E023A"/>
    <w:rsid w:val="003E07FA"/>
    <w:rsid w:val="003E0BF0"/>
    <w:rsid w:val="003E1DEE"/>
    <w:rsid w:val="003E2175"/>
    <w:rsid w:val="003E2E20"/>
    <w:rsid w:val="003E642B"/>
    <w:rsid w:val="003E7102"/>
    <w:rsid w:val="003E73FE"/>
    <w:rsid w:val="003E7847"/>
    <w:rsid w:val="003F0198"/>
    <w:rsid w:val="003F14C3"/>
    <w:rsid w:val="003F1BC3"/>
    <w:rsid w:val="003F2177"/>
    <w:rsid w:val="003F3282"/>
    <w:rsid w:val="003F490C"/>
    <w:rsid w:val="003F4B87"/>
    <w:rsid w:val="003F4C23"/>
    <w:rsid w:val="003F6961"/>
    <w:rsid w:val="004001ED"/>
    <w:rsid w:val="00402D8D"/>
    <w:rsid w:val="00405EAA"/>
    <w:rsid w:val="00406957"/>
    <w:rsid w:val="0041000D"/>
    <w:rsid w:val="004101BE"/>
    <w:rsid w:val="00410ABE"/>
    <w:rsid w:val="00411A20"/>
    <w:rsid w:val="0041371E"/>
    <w:rsid w:val="00413C37"/>
    <w:rsid w:val="0041438D"/>
    <w:rsid w:val="004148FF"/>
    <w:rsid w:val="004157D1"/>
    <w:rsid w:val="00415E5A"/>
    <w:rsid w:val="00420E44"/>
    <w:rsid w:val="00424A8E"/>
    <w:rsid w:val="00432738"/>
    <w:rsid w:val="004327EE"/>
    <w:rsid w:val="00433461"/>
    <w:rsid w:val="00434DE4"/>
    <w:rsid w:val="004355AB"/>
    <w:rsid w:val="00437255"/>
    <w:rsid w:val="004378F9"/>
    <w:rsid w:val="00443735"/>
    <w:rsid w:val="00443EB5"/>
    <w:rsid w:val="00444923"/>
    <w:rsid w:val="00446258"/>
    <w:rsid w:val="00446515"/>
    <w:rsid w:val="0044662D"/>
    <w:rsid w:val="00451C9A"/>
    <w:rsid w:val="00451CD2"/>
    <w:rsid w:val="00452061"/>
    <w:rsid w:val="004527A1"/>
    <w:rsid w:val="004529B6"/>
    <w:rsid w:val="00453EAA"/>
    <w:rsid w:val="0045572F"/>
    <w:rsid w:val="00456343"/>
    <w:rsid w:val="00456E61"/>
    <w:rsid w:val="00456F71"/>
    <w:rsid w:val="0045731C"/>
    <w:rsid w:val="00457FE2"/>
    <w:rsid w:val="004616F9"/>
    <w:rsid w:val="0046274B"/>
    <w:rsid w:val="004640A5"/>
    <w:rsid w:val="00464B9C"/>
    <w:rsid w:val="004658E4"/>
    <w:rsid w:val="00467A48"/>
    <w:rsid w:val="00467E26"/>
    <w:rsid w:val="00470B2C"/>
    <w:rsid w:val="00472923"/>
    <w:rsid w:val="00475F32"/>
    <w:rsid w:val="00477CC3"/>
    <w:rsid w:val="0048060A"/>
    <w:rsid w:val="0048185A"/>
    <w:rsid w:val="00482133"/>
    <w:rsid w:val="0048292E"/>
    <w:rsid w:val="004835F5"/>
    <w:rsid w:val="0048381D"/>
    <w:rsid w:val="0048394C"/>
    <w:rsid w:val="004839DE"/>
    <w:rsid w:val="004855B9"/>
    <w:rsid w:val="004872D2"/>
    <w:rsid w:val="00493EE6"/>
    <w:rsid w:val="00494324"/>
    <w:rsid w:val="004948FC"/>
    <w:rsid w:val="00496EA0"/>
    <w:rsid w:val="004976CA"/>
    <w:rsid w:val="004A1E78"/>
    <w:rsid w:val="004A2068"/>
    <w:rsid w:val="004A3AE2"/>
    <w:rsid w:val="004A3EAC"/>
    <w:rsid w:val="004A5144"/>
    <w:rsid w:val="004A621D"/>
    <w:rsid w:val="004A69BE"/>
    <w:rsid w:val="004B0118"/>
    <w:rsid w:val="004B0257"/>
    <w:rsid w:val="004B0396"/>
    <w:rsid w:val="004B0758"/>
    <w:rsid w:val="004B0F83"/>
    <w:rsid w:val="004B1019"/>
    <w:rsid w:val="004B2158"/>
    <w:rsid w:val="004B25F3"/>
    <w:rsid w:val="004B42A8"/>
    <w:rsid w:val="004B4D63"/>
    <w:rsid w:val="004B6CCC"/>
    <w:rsid w:val="004C1709"/>
    <w:rsid w:val="004C21C8"/>
    <w:rsid w:val="004C43EE"/>
    <w:rsid w:val="004C5EA1"/>
    <w:rsid w:val="004C6955"/>
    <w:rsid w:val="004C6DA3"/>
    <w:rsid w:val="004C7ABE"/>
    <w:rsid w:val="004C7EFB"/>
    <w:rsid w:val="004D240B"/>
    <w:rsid w:val="004D26F5"/>
    <w:rsid w:val="004D2BD7"/>
    <w:rsid w:val="004D4976"/>
    <w:rsid w:val="004D51DE"/>
    <w:rsid w:val="004D59F5"/>
    <w:rsid w:val="004D5A97"/>
    <w:rsid w:val="004D5CDB"/>
    <w:rsid w:val="004D7A7F"/>
    <w:rsid w:val="004E0F2A"/>
    <w:rsid w:val="004E389E"/>
    <w:rsid w:val="004E39DF"/>
    <w:rsid w:val="004E6525"/>
    <w:rsid w:val="004F0715"/>
    <w:rsid w:val="004F3B7B"/>
    <w:rsid w:val="004F3C54"/>
    <w:rsid w:val="004F48C4"/>
    <w:rsid w:val="004F50C2"/>
    <w:rsid w:val="004F612E"/>
    <w:rsid w:val="004F7B6C"/>
    <w:rsid w:val="004F7F1B"/>
    <w:rsid w:val="005017BD"/>
    <w:rsid w:val="00501E32"/>
    <w:rsid w:val="00503994"/>
    <w:rsid w:val="005046F4"/>
    <w:rsid w:val="005063D2"/>
    <w:rsid w:val="005063EA"/>
    <w:rsid w:val="00506830"/>
    <w:rsid w:val="0050698F"/>
    <w:rsid w:val="00510972"/>
    <w:rsid w:val="00510E58"/>
    <w:rsid w:val="00515399"/>
    <w:rsid w:val="005156A1"/>
    <w:rsid w:val="00515BE5"/>
    <w:rsid w:val="0052077C"/>
    <w:rsid w:val="00520C02"/>
    <w:rsid w:val="00520C4F"/>
    <w:rsid w:val="0052242E"/>
    <w:rsid w:val="00522F88"/>
    <w:rsid w:val="00526658"/>
    <w:rsid w:val="00526A0C"/>
    <w:rsid w:val="00527085"/>
    <w:rsid w:val="0052796B"/>
    <w:rsid w:val="00530D91"/>
    <w:rsid w:val="00530FC8"/>
    <w:rsid w:val="005321E5"/>
    <w:rsid w:val="0053301E"/>
    <w:rsid w:val="005336B5"/>
    <w:rsid w:val="005338E9"/>
    <w:rsid w:val="00536611"/>
    <w:rsid w:val="00537144"/>
    <w:rsid w:val="00537736"/>
    <w:rsid w:val="005378DF"/>
    <w:rsid w:val="00540940"/>
    <w:rsid w:val="0054147B"/>
    <w:rsid w:val="00541F35"/>
    <w:rsid w:val="00542FAD"/>
    <w:rsid w:val="00544901"/>
    <w:rsid w:val="00547562"/>
    <w:rsid w:val="00547628"/>
    <w:rsid w:val="00547B19"/>
    <w:rsid w:val="00547B30"/>
    <w:rsid w:val="005503B6"/>
    <w:rsid w:val="0055069C"/>
    <w:rsid w:val="005519AF"/>
    <w:rsid w:val="005523DF"/>
    <w:rsid w:val="00553C7C"/>
    <w:rsid w:val="00553E23"/>
    <w:rsid w:val="00554CEE"/>
    <w:rsid w:val="00555CD4"/>
    <w:rsid w:val="00557C41"/>
    <w:rsid w:val="00560CD2"/>
    <w:rsid w:val="00561DAD"/>
    <w:rsid w:val="00564EA6"/>
    <w:rsid w:val="00566909"/>
    <w:rsid w:val="00566FA7"/>
    <w:rsid w:val="005719C0"/>
    <w:rsid w:val="005722DC"/>
    <w:rsid w:val="005741F4"/>
    <w:rsid w:val="00574247"/>
    <w:rsid w:val="0057675C"/>
    <w:rsid w:val="005769F7"/>
    <w:rsid w:val="00576BFA"/>
    <w:rsid w:val="00576CF1"/>
    <w:rsid w:val="005775C2"/>
    <w:rsid w:val="005811DF"/>
    <w:rsid w:val="00582836"/>
    <w:rsid w:val="00582C7C"/>
    <w:rsid w:val="00582FD6"/>
    <w:rsid w:val="00583170"/>
    <w:rsid w:val="0058332C"/>
    <w:rsid w:val="00583A9D"/>
    <w:rsid w:val="00584009"/>
    <w:rsid w:val="00586929"/>
    <w:rsid w:val="00587A31"/>
    <w:rsid w:val="00590169"/>
    <w:rsid w:val="00591E98"/>
    <w:rsid w:val="005922B7"/>
    <w:rsid w:val="0059408F"/>
    <w:rsid w:val="005977D7"/>
    <w:rsid w:val="005A0260"/>
    <w:rsid w:val="005A1042"/>
    <w:rsid w:val="005A1769"/>
    <w:rsid w:val="005A1862"/>
    <w:rsid w:val="005A243F"/>
    <w:rsid w:val="005A2A86"/>
    <w:rsid w:val="005A35D8"/>
    <w:rsid w:val="005A461C"/>
    <w:rsid w:val="005A4794"/>
    <w:rsid w:val="005A4B57"/>
    <w:rsid w:val="005A545A"/>
    <w:rsid w:val="005A5CAB"/>
    <w:rsid w:val="005A6888"/>
    <w:rsid w:val="005A78B2"/>
    <w:rsid w:val="005A7F84"/>
    <w:rsid w:val="005B3645"/>
    <w:rsid w:val="005B4C84"/>
    <w:rsid w:val="005B6B2D"/>
    <w:rsid w:val="005B75E5"/>
    <w:rsid w:val="005B7948"/>
    <w:rsid w:val="005B7D6B"/>
    <w:rsid w:val="005C0175"/>
    <w:rsid w:val="005C2836"/>
    <w:rsid w:val="005C3C5E"/>
    <w:rsid w:val="005C3DB4"/>
    <w:rsid w:val="005C51A6"/>
    <w:rsid w:val="005C6074"/>
    <w:rsid w:val="005C74AC"/>
    <w:rsid w:val="005C777B"/>
    <w:rsid w:val="005C7A41"/>
    <w:rsid w:val="005C7D87"/>
    <w:rsid w:val="005D1361"/>
    <w:rsid w:val="005D1A93"/>
    <w:rsid w:val="005D1F08"/>
    <w:rsid w:val="005D2698"/>
    <w:rsid w:val="005D37F9"/>
    <w:rsid w:val="005D3C32"/>
    <w:rsid w:val="005D5C69"/>
    <w:rsid w:val="005E0399"/>
    <w:rsid w:val="005E2810"/>
    <w:rsid w:val="005E3C59"/>
    <w:rsid w:val="005E6824"/>
    <w:rsid w:val="005E7897"/>
    <w:rsid w:val="005F024E"/>
    <w:rsid w:val="005F11CF"/>
    <w:rsid w:val="005F2CB4"/>
    <w:rsid w:val="005F5F54"/>
    <w:rsid w:val="005F7860"/>
    <w:rsid w:val="006004F8"/>
    <w:rsid w:val="00600B4D"/>
    <w:rsid w:val="0060230A"/>
    <w:rsid w:val="00602CB3"/>
    <w:rsid w:val="00603843"/>
    <w:rsid w:val="00604524"/>
    <w:rsid w:val="00605454"/>
    <w:rsid w:val="00605C8F"/>
    <w:rsid w:val="0061099C"/>
    <w:rsid w:val="0061127D"/>
    <w:rsid w:val="00611B1C"/>
    <w:rsid w:val="00612E4D"/>
    <w:rsid w:val="0061317E"/>
    <w:rsid w:val="00615CB9"/>
    <w:rsid w:val="00616C6A"/>
    <w:rsid w:val="00616F31"/>
    <w:rsid w:val="006175F4"/>
    <w:rsid w:val="00622006"/>
    <w:rsid w:val="00623641"/>
    <w:rsid w:val="00630706"/>
    <w:rsid w:val="006351C8"/>
    <w:rsid w:val="00637107"/>
    <w:rsid w:val="00637B96"/>
    <w:rsid w:val="00641214"/>
    <w:rsid w:val="00641F5D"/>
    <w:rsid w:val="0064256F"/>
    <w:rsid w:val="006429B6"/>
    <w:rsid w:val="006430B8"/>
    <w:rsid w:val="006432D6"/>
    <w:rsid w:val="00644EEB"/>
    <w:rsid w:val="00645D7F"/>
    <w:rsid w:val="00646879"/>
    <w:rsid w:val="006468F1"/>
    <w:rsid w:val="00646F3E"/>
    <w:rsid w:val="00647F65"/>
    <w:rsid w:val="0065168B"/>
    <w:rsid w:val="00652EB5"/>
    <w:rsid w:val="00655ADB"/>
    <w:rsid w:val="00656259"/>
    <w:rsid w:val="006579F2"/>
    <w:rsid w:val="00657A8F"/>
    <w:rsid w:val="00660C5B"/>
    <w:rsid w:val="00661687"/>
    <w:rsid w:val="00662AF2"/>
    <w:rsid w:val="006635F6"/>
    <w:rsid w:val="00663AEB"/>
    <w:rsid w:val="00665FB1"/>
    <w:rsid w:val="00666505"/>
    <w:rsid w:val="00667BA7"/>
    <w:rsid w:val="00667BC9"/>
    <w:rsid w:val="006702A7"/>
    <w:rsid w:val="00670698"/>
    <w:rsid w:val="00671D34"/>
    <w:rsid w:val="0067223A"/>
    <w:rsid w:val="0067241A"/>
    <w:rsid w:val="00672A3D"/>
    <w:rsid w:val="00673043"/>
    <w:rsid w:val="006741F0"/>
    <w:rsid w:val="00675115"/>
    <w:rsid w:val="006772CD"/>
    <w:rsid w:val="00680335"/>
    <w:rsid w:val="006849CE"/>
    <w:rsid w:val="00685C68"/>
    <w:rsid w:val="0068603E"/>
    <w:rsid w:val="006901B0"/>
    <w:rsid w:val="00692DA7"/>
    <w:rsid w:val="006932DE"/>
    <w:rsid w:val="00694EF1"/>
    <w:rsid w:val="00695332"/>
    <w:rsid w:val="00695ACB"/>
    <w:rsid w:val="00695E2D"/>
    <w:rsid w:val="006A0942"/>
    <w:rsid w:val="006A1853"/>
    <w:rsid w:val="006A49CA"/>
    <w:rsid w:val="006A5436"/>
    <w:rsid w:val="006A6529"/>
    <w:rsid w:val="006A7104"/>
    <w:rsid w:val="006A7767"/>
    <w:rsid w:val="006A7F30"/>
    <w:rsid w:val="006B1B46"/>
    <w:rsid w:val="006B23E4"/>
    <w:rsid w:val="006B396D"/>
    <w:rsid w:val="006B4336"/>
    <w:rsid w:val="006B7C93"/>
    <w:rsid w:val="006C0620"/>
    <w:rsid w:val="006C0F57"/>
    <w:rsid w:val="006C482B"/>
    <w:rsid w:val="006C52D9"/>
    <w:rsid w:val="006C6424"/>
    <w:rsid w:val="006C6B7A"/>
    <w:rsid w:val="006C757C"/>
    <w:rsid w:val="006D0B53"/>
    <w:rsid w:val="006D18AA"/>
    <w:rsid w:val="006D1D0A"/>
    <w:rsid w:val="006D28EA"/>
    <w:rsid w:val="006D49D1"/>
    <w:rsid w:val="006D53D3"/>
    <w:rsid w:val="006D5A4F"/>
    <w:rsid w:val="006D6658"/>
    <w:rsid w:val="006E4777"/>
    <w:rsid w:val="006E5888"/>
    <w:rsid w:val="006E61B8"/>
    <w:rsid w:val="006E6EA7"/>
    <w:rsid w:val="006F0748"/>
    <w:rsid w:val="006F1946"/>
    <w:rsid w:val="006F26DF"/>
    <w:rsid w:val="006F29EE"/>
    <w:rsid w:val="006F2CD4"/>
    <w:rsid w:val="006F38FD"/>
    <w:rsid w:val="006F3F39"/>
    <w:rsid w:val="006F4C01"/>
    <w:rsid w:val="006F4F14"/>
    <w:rsid w:val="006F6526"/>
    <w:rsid w:val="006F6B8E"/>
    <w:rsid w:val="006F77D5"/>
    <w:rsid w:val="006F799B"/>
    <w:rsid w:val="00700872"/>
    <w:rsid w:val="00700B4A"/>
    <w:rsid w:val="00701031"/>
    <w:rsid w:val="00702BDB"/>
    <w:rsid w:val="00703ED8"/>
    <w:rsid w:val="00705373"/>
    <w:rsid w:val="007114A4"/>
    <w:rsid w:val="00711B5B"/>
    <w:rsid w:val="0071229F"/>
    <w:rsid w:val="0071265F"/>
    <w:rsid w:val="00714DA8"/>
    <w:rsid w:val="00715ECB"/>
    <w:rsid w:val="007177A8"/>
    <w:rsid w:val="0071780B"/>
    <w:rsid w:val="00717ACA"/>
    <w:rsid w:val="00717F08"/>
    <w:rsid w:val="00723031"/>
    <w:rsid w:val="00723937"/>
    <w:rsid w:val="00725EE4"/>
    <w:rsid w:val="00727528"/>
    <w:rsid w:val="00734351"/>
    <w:rsid w:val="00735435"/>
    <w:rsid w:val="00735A9C"/>
    <w:rsid w:val="0073600F"/>
    <w:rsid w:val="00736568"/>
    <w:rsid w:val="00740A96"/>
    <w:rsid w:val="00741202"/>
    <w:rsid w:val="00741776"/>
    <w:rsid w:val="007437F7"/>
    <w:rsid w:val="00744876"/>
    <w:rsid w:val="00744BAC"/>
    <w:rsid w:val="00744C5B"/>
    <w:rsid w:val="0074532D"/>
    <w:rsid w:val="00745450"/>
    <w:rsid w:val="00745B6F"/>
    <w:rsid w:val="007468AF"/>
    <w:rsid w:val="00747049"/>
    <w:rsid w:val="00747995"/>
    <w:rsid w:val="00747BA5"/>
    <w:rsid w:val="00751316"/>
    <w:rsid w:val="00756CF3"/>
    <w:rsid w:val="007575E2"/>
    <w:rsid w:val="00757943"/>
    <w:rsid w:val="0076032F"/>
    <w:rsid w:val="0076061A"/>
    <w:rsid w:val="007607E3"/>
    <w:rsid w:val="007632DB"/>
    <w:rsid w:val="00771884"/>
    <w:rsid w:val="007729F5"/>
    <w:rsid w:val="00772E71"/>
    <w:rsid w:val="007735F9"/>
    <w:rsid w:val="007737A3"/>
    <w:rsid w:val="00773D1F"/>
    <w:rsid w:val="007746AB"/>
    <w:rsid w:val="0077567C"/>
    <w:rsid w:val="007760BF"/>
    <w:rsid w:val="007766CE"/>
    <w:rsid w:val="00777BC1"/>
    <w:rsid w:val="007813CB"/>
    <w:rsid w:val="00781AE2"/>
    <w:rsid w:val="00782B81"/>
    <w:rsid w:val="00784B05"/>
    <w:rsid w:val="007854EB"/>
    <w:rsid w:val="0078650C"/>
    <w:rsid w:val="007878CA"/>
    <w:rsid w:val="00790CFD"/>
    <w:rsid w:val="0079186E"/>
    <w:rsid w:val="00791ABA"/>
    <w:rsid w:val="00791BEA"/>
    <w:rsid w:val="00793B70"/>
    <w:rsid w:val="007957AB"/>
    <w:rsid w:val="00795B09"/>
    <w:rsid w:val="007968C5"/>
    <w:rsid w:val="00796B00"/>
    <w:rsid w:val="00796DC9"/>
    <w:rsid w:val="00797489"/>
    <w:rsid w:val="00797613"/>
    <w:rsid w:val="007A1C58"/>
    <w:rsid w:val="007A2229"/>
    <w:rsid w:val="007A2582"/>
    <w:rsid w:val="007A335F"/>
    <w:rsid w:val="007A415D"/>
    <w:rsid w:val="007A4302"/>
    <w:rsid w:val="007A5055"/>
    <w:rsid w:val="007A747C"/>
    <w:rsid w:val="007A76E0"/>
    <w:rsid w:val="007B0726"/>
    <w:rsid w:val="007B0FFB"/>
    <w:rsid w:val="007B1338"/>
    <w:rsid w:val="007B234F"/>
    <w:rsid w:val="007B45F3"/>
    <w:rsid w:val="007B5F42"/>
    <w:rsid w:val="007C0060"/>
    <w:rsid w:val="007C27C8"/>
    <w:rsid w:val="007C2C05"/>
    <w:rsid w:val="007C3222"/>
    <w:rsid w:val="007C3E25"/>
    <w:rsid w:val="007C4988"/>
    <w:rsid w:val="007C6206"/>
    <w:rsid w:val="007C6C7B"/>
    <w:rsid w:val="007D0313"/>
    <w:rsid w:val="007D12B0"/>
    <w:rsid w:val="007D1FD1"/>
    <w:rsid w:val="007D4367"/>
    <w:rsid w:val="007D670F"/>
    <w:rsid w:val="007D716A"/>
    <w:rsid w:val="007E1BE4"/>
    <w:rsid w:val="007E2BC4"/>
    <w:rsid w:val="007E3A94"/>
    <w:rsid w:val="007E3C3D"/>
    <w:rsid w:val="007E6A7D"/>
    <w:rsid w:val="007E78F6"/>
    <w:rsid w:val="007F0532"/>
    <w:rsid w:val="007F23E7"/>
    <w:rsid w:val="007F44BC"/>
    <w:rsid w:val="007F4B11"/>
    <w:rsid w:val="007F7137"/>
    <w:rsid w:val="0080147A"/>
    <w:rsid w:val="008019AF"/>
    <w:rsid w:val="0080262D"/>
    <w:rsid w:val="00802A80"/>
    <w:rsid w:val="00803C8B"/>
    <w:rsid w:val="00804449"/>
    <w:rsid w:val="008046D3"/>
    <w:rsid w:val="00804BF4"/>
    <w:rsid w:val="008065A8"/>
    <w:rsid w:val="00806D4F"/>
    <w:rsid w:val="00807E7C"/>
    <w:rsid w:val="008114F1"/>
    <w:rsid w:val="008117AF"/>
    <w:rsid w:val="00811990"/>
    <w:rsid w:val="0081286D"/>
    <w:rsid w:val="00813802"/>
    <w:rsid w:val="00813AFD"/>
    <w:rsid w:val="00813FE9"/>
    <w:rsid w:val="0081518D"/>
    <w:rsid w:val="008168B6"/>
    <w:rsid w:val="00817218"/>
    <w:rsid w:val="00822078"/>
    <w:rsid w:val="00822860"/>
    <w:rsid w:val="00824836"/>
    <w:rsid w:val="00824B75"/>
    <w:rsid w:val="008255FE"/>
    <w:rsid w:val="00825ADA"/>
    <w:rsid w:val="0082626C"/>
    <w:rsid w:val="008268F1"/>
    <w:rsid w:val="00832B4A"/>
    <w:rsid w:val="008335F6"/>
    <w:rsid w:val="00833CB7"/>
    <w:rsid w:val="0083477D"/>
    <w:rsid w:val="00835AE8"/>
    <w:rsid w:val="00836317"/>
    <w:rsid w:val="00837F99"/>
    <w:rsid w:val="00837F9B"/>
    <w:rsid w:val="0084159F"/>
    <w:rsid w:val="008419DE"/>
    <w:rsid w:val="00841BCF"/>
    <w:rsid w:val="00842627"/>
    <w:rsid w:val="00842746"/>
    <w:rsid w:val="0084386C"/>
    <w:rsid w:val="00845139"/>
    <w:rsid w:val="00845749"/>
    <w:rsid w:val="00845FE9"/>
    <w:rsid w:val="008463EB"/>
    <w:rsid w:val="00846DD6"/>
    <w:rsid w:val="00847179"/>
    <w:rsid w:val="0085025E"/>
    <w:rsid w:val="008528BF"/>
    <w:rsid w:val="00853925"/>
    <w:rsid w:val="008548B0"/>
    <w:rsid w:val="008549F8"/>
    <w:rsid w:val="00854C0C"/>
    <w:rsid w:val="00855250"/>
    <w:rsid w:val="008552DD"/>
    <w:rsid w:val="00855AC7"/>
    <w:rsid w:val="0085711B"/>
    <w:rsid w:val="00857577"/>
    <w:rsid w:val="008606C0"/>
    <w:rsid w:val="00860C38"/>
    <w:rsid w:val="00860F17"/>
    <w:rsid w:val="0086182F"/>
    <w:rsid w:val="008636C3"/>
    <w:rsid w:val="0086535B"/>
    <w:rsid w:val="00865E08"/>
    <w:rsid w:val="0086619F"/>
    <w:rsid w:val="008673D0"/>
    <w:rsid w:val="00871293"/>
    <w:rsid w:val="0087183B"/>
    <w:rsid w:val="0087500B"/>
    <w:rsid w:val="008758F5"/>
    <w:rsid w:val="00880F72"/>
    <w:rsid w:val="0088156A"/>
    <w:rsid w:val="00881831"/>
    <w:rsid w:val="00882924"/>
    <w:rsid w:val="00884525"/>
    <w:rsid w:val="00885FF3"/>
    <w:rsid w:val="00886096"/>
    <w:rsid w:val="008866A2"/>
    <w:rsid w:val="00886A77"/>
    <w:rsid w:val="008904AC"/>
    <w:rsid w:val="00890E0A"/>
    <w:rsid w:val="00890E56"/>
    <w:rsid w:val="00891E0C"/>
    <w:rsid w:val="008976CE"/>
    <w:rsid w:val="00897779"/>
    <w:rsid w:val="00897E09"/>
    <w:rsid w:val="008A070C"/>
    <w:rsid w:val="008A08FC"/>
    <w:rsid w:val="008A1FCF"/>
    <w:rsid w:val="008A2CA2"/>
    <w:rsid w:val="008A30E5"/>
    <w:rsid w:val="008A30ED"/>
    <w:rsid w:val="008A34A9"/>
    <w:rsid w:val="008A3995"/>
    <w:rsid w:val="008A6487"/>
    <w:rsid w:val="008A6BB1"/>
    <w:rsid w:val="008A6CA9"/>
    <w:rsid w:val="008B0E66"/>
    <w:rsid w:val="008B1185"/>
    <w:rsid w:val="008B16CA"/>
    <w:rsid w:val="008B6E69"/>
    <w:rsid w:val="008C0378"/>
    <w:rsid w:val="008C06F2"/>
    <w:rsid w:val="008C2B5E"/>
    <w:rsid w:val="008C40E6"/>
    <w:rsid w:val="008D0CCD"/>
    <w:rsid w:val="008D20C8"/>
    <w:rsid w:val="008D36D0"/>
    <w:rsid w:val="008D4729"/>
    <w:rsid w:val="008D4CA7"/>
    <w:rsid w:val="008D63A2"/>
    <w:rsid w:val="008D6BA3"/>
    <w:rsid w:val="008E07BD"/>
    <w:rsid w:val="008E2A38"/>
    <w:rsid w:val="008E5462"/>
    <w:rsid w:val="008E5EBA"/>
    <w:rsid w:val="008E6427"/>
    <w:rsid w:val="008F08C9"/>
    <w:rsid w:val="008F0A9D"/>
    <w:rsid w:val="008F3DED"/>
    <w:rsid w:val="008F490C"/>
    <w:rsid w:val="008F58AB"/>
    <w:rsid w:val="008F5DB8"/>
    <w:rsid w:val="008F5ECC"/>
    <w:rsid w:val="008F627B"/>
    <w:rsid w:val="009009ED"/>
    <w:rsid w:val="0090187B"/>
    <w:rsid w:val="00901F58"/>
    <w:rsid w:val="00902F89"/>
    <w:rsid w:val="00904060"/>
    <w:rsid w:val="009078B7"/>
    <w:rsid w:val="009125FF"/>
    <w:rsid w:val="0091339E"/>
    <w:rsid w:val="009138F7"/>
    <w:rsid w:val="00915AD8"/>
    <w:rsid w:val="00915F01"/>
    <w:rsid w:val="0091664F"/>
    <w:rsid w:val="009176B6"/>
    <w:rsid w:val="00920210"/>
    <w:rsid w:val="00920E18"/>
    <w:rsid w:val="009238F5"/>
    <w:rsid w:val="00924A0E"/>
    <w:rsid w:val="009254ED"/>
    <w:rsid w:val="00925695"/>
    <w:rsid w:val="00926152"/>
    <w:rsid w:val="00926FDA"/>
    <w:rsid w:val="00927D43"/>
    <w:rsid w:val="009302E0"/>
    <w:rsid w:val="00932F7B"/>
    <w:rsid w:val="00933546"/>
    <w:rsid w:val="0093367E"/>
    <w:rsid w:val="00933E9A"/>
    <w:rsid w:val="00934413"/>
    <w:rsid w:val="00934BE9"/>
    <w:rsid w:val="00935193"/>
    <w:rsid w:val="00935460"/>
    <w:rsid w:val="00936B60"/>
    <w:rsid w:val="00936D95"/>
    <w:rsid w:val="00936FE4"/>
    <w:rsid w:val="00937089"/>
    <w:rsid w:val="009376CD"/>
    <w:rsid w:val="00937822"/>
    <w:rsid w:val="00937A04"/>
    <w:rsid w:val="00937CC3"/>
    <w:rsid w:val="00937D8B"/>
    <w:rsid w:val="00940AEC"/>
    <w:rsid w:val="009424FE"/>
    <w:rsid w:val="00942544"/>
    <w:rsid w:val="0094317E"/>
    <w:rsid w:val="009443B8"/>
    <w:rsid w:val="009445A1"/>
    <w:rsid w:val="009457EF"/>
    <w:rsid w:val="009472D2"/>
    <w:rsid w:val="009509B4"/>
    <w:rsid w:val="00952181"/>
    <w:rsid w:val="0095229B"/>
    <w:rsid w:val="00952701"/>
    <w:rsid w:val="00952BC7"/>
    <w:rsid w:val="00952F3C"/>
    <w:rsid w:val="00953253"/>
    <w:rsid w:val="00955FCE"/>
    <w:rsid w:val="00956046"/>
    <w:rsid w:val="00956EED"/>
    <w:rsid w:val="0096039C"/>
    <w:rsid w:val="00960511"/>
    <w:rsid w:val="00965B6A"/>
    <w:rsid w:val="00965C95"/>
    <w:rsid w:val="0096670D"/>
    <w:rsid w:val="00967164"/>
    <w:rsid w:val="00967384"/>
    <w:rsid w:val="0096772C"/>
    <w:rsid w:val="00967AC0"/>
    <w:rsid w:val="00970235"/>
    <w:rsid w:val="0097049A"/>
    <w:rsid w:val="0097064A"/>
    <w:rsid w:val="00970860"/>
    <w:rsid w:val="00972651"/>
    <w:rsid w:val="0097392D"/>
    <w:rsid w:val="0097406F"/>
    <w:rsid w:val="00974AEA"/>
    <w:rsid w:val="00975662"/>
    <w:rsid w:val="009758F0"/>
    <w:rsid w:val="009760A6"/>
    <w:rsid w:val="00977D66"/>
    <w:rsid w:val="0098105F"/>
    <w:rsid w:val="00981CAB"/>
    <w:rsid w:val="00986330"/>
    <w:rsid w:val="00990EA5"/>
    <w:rsid w:val="00991DF9"/>
    <w:rsid w:val="009928CA"/>
    <w:rsid w:val="0099494D"/>
    <w:rsid w:val="00994F59"/>
    <w:rsid w:val="009954ED"/>
    <w:rsid w:val="00995DE9"/>
    <w:rsid w:val="009969BD"/>
    <w:rsid w:val="009979C0"/>
    <w:rsid w:val="00997F40"/>
    <w:rsid w:val="009A0C91"/>
    <w:rsid w:val="009A152E"/>
    <w:rsid w:val="009A15CD"/>
    <w:rsid w:val="009A1F44"/>
    <w:rsid w:val="009A2126"/>
    <w:rsid w:val="009A3C97"/>
    <w:rsid w:val="009A4271"/>
    <w:rsid w:val="009A62B9"/>
    <w:rsid w:val="009B03C5"/>
    <w:rsid w:val="009B1E94"/>
    <w:rsid w:val="009B25F8"/>
    <w:rsid w:val="009B2D2F"/>
    <w:rsid w:val="009B4576"/>
    <w:rsid w:val="009B47E4"/>
    <w:rsid w:val="009B5F78"/>
    <w:rsid w:val="009B6326"/>
    <w:rsid w:val="009B64F1"/>
    <w:rsid w:val="009B68FA"/>
    <w:rsid w:val="009B6960"/>
    <w:rsid w:val="009C0A86"/>
    <w:rsid w:val="009C1234"/>
    <w:rsid w:val="009C1346"/>
    <w:rsid w:val="009C1A16"/>
    <w:rsid w:val="009C1A97"/>
    <w:rsid w:val="009C399B"/>
    <w:rsid w:val="009C426E"/>
    <w:rsid w:val="009C50B9"/>
    <w:rsid w:val="009C53F1"/>
    <w:rsid w:val="009C54B6"/>
    <w:rsid w:val="009C5C72"/>
    <w:rsid w:val="009D0760"/>
    <w:rsid w:val="009D29A5"/>
    <w:rsid w:val="009D3011"/>
    <w:rsid w:val="009D473E"/>
    <w:rsid w:val="009D4771"/>
    <w:rsid w:val="009D54E4"/>
    <w:rsid w:val="009D6AAB"/>
    <w:rsid w:val="009D6EB8"/>
    <w:rsid w:val="009E0BDB"/>
    <w:rsid w:val="009E1F26"/>
    <w:rsid w:val="009E3BAC"/>
    <w:rsid w:val="009E446D"/>
    <w:rsid w:val="009E4750"/>
    <w:rsid w:val="009E5FD5"/>
    <w:rsid w:val="009E7776"/>
    <w:rsid w:val="009F0F6F"/>
    <w:rsid w:val="009F1C24"/>
    <w:rsid w:val="009F2468"/>
    <w:rsid w:val="009F309D"/>
    <w:rsid w:val="009F3B78"/>
    <w:rsid w:val="009F3B8E"/>
    <w:rsid w:val="009F445F"/>
    <w:rsid w:val="009F55F7"/>
    <w:rsid w:val="009F57E2"/>
    <w:rsid w:val="009F5929"/>
    <w:rsid w:val="009F5AE6"/>
    <w:rsid w:val="009F6720"/>
    <w:rsid w:val="009F6F53"/>
    <w:rsid w:val="00A04EEE"/>
    <w:rsid w:val="00A0538D"/>
    <w:rsid w:val="00A07280"/>
    <w:rsid w:val="00A07708"/>
    <w:rsid w:val="00A100E8"/>
    <w:rsid w:val="00A107C8"/>
    <w:rsid w:val="00A129F4"/>
    <w:rsid w:val="00A1336E"/>
    <w:rsid w:val="00A135CD"/>
    <w:rsid w:val="00A13ABC"/>
    <w:rsid w:val="00A14D97"/>
    <w:rsid w:val="00A157E3"/>
    <w:rsid w:val="00A15972"/>
    <w:rsid w:val="00A161BC"/>
    <w:rsid w:val="00A168E7"/>
    <w:rsid w:val="00A17F4B"/>
    <w:rsid w:val="00A206E0"/>
    <w:rsid w:val="00A21D41"/>
    <w:rsid w:val="00A22BAB"/>
    <w:rsid w:val="00A22E0D"/>
    <w:rsid w:val="00A2427D"/>
    <w:rsid w:val="00A247A1"/>
    <w:rsid w:val="00A25CCA"/>
    <w:rsid w:val="00A25F4E"/>
    <w:rsid w:val="00A27740"/>
    <w:rsid w:val="00A312F3"/>
    <w:rsid w:val="00A31A81"/>
    <w:rsid w:val="00A320FC"/>
    <w:rsid w:val="00A3513D"/>
    <w:rsid w:val="00A3690A"/>
    <w:rsid w:val="00A37AF8"/>
    <w:rsid w:val="00A40588"/>
    <w:rsid w:val="00A409F2"/>
    <w:rsid w:val="00A40B19"/>
    <w:rsid w:val="00A419CC"/>
    <w:rsid w:val="00A43367"/>
    <w:rsid w:val="00A43630"/>
    <w:rsid w:val="00A4478D"/>
    <w:rsid w:val="00A47A67"/>
    <w:rsid w:val="00A47B1B"/>
    <w:rsid w:val="00A50826"/>
    <w:rsid w:val="00A51B32"/>
    <w:rsid w:val="00A536FF"/>
    <w:rsid w:val="00A53B58"/>
    <w:rsid w:val="00A54127"/>
    <w:rsid w:val="00A545A2"/>
    <w:rsid w:val="00A547B2"/>
    <w:rsid w:val="00A55DA9"/>
    <w:rsid w:val="00A55E9D"/>
    <w:rsid w:val="00A55FF2"/>
    <w:rsid w:val="00A57C1A"/>
    <w:rsid w:val="00A57EB0"/>
    <w:rsid w:val="00A60D4A"/>
    <w:rsid w:val="00A62CED"/>
    <w:rsid w:val="00A63080"/>
    <w:rsid w:val="00A65C14"/>
    <w:rsid w:val="00A6622D"/>
    <w:rsid w:val="00A66E7A"/>
    <w:rsid w:val="00A71B63"/>
    <w:rsid w:val="00A7204F"/>
    <w:rsid w:val="00A7220C"/>
    <w:rsid w:val="00A7229C"/>
    <w:rsid w:val="00A726EA"/>
    <w:rsid w:val="00A72A86"/>
    <w:rsid w:val="00A73916"/>
    <w:rsid w:val="00A73ECA"/>
    <w:rsid w:val="00A76408"/>
    <w:rsid w:val="00A76ED8"/>
    <w:rsid w:val="00A81619"/>
    <w:rsid w:val="00A82C8D"/>
    <w:rsid w:val="00A82D8A"/>
    <w:rsid w:val="00A84E22"/>
    <w:rsid w:val="00A86049"/>
    <w:rsid w:val="00A860AB"/>
    <w:rsid w:val="00A86AF2"/>
    <w:rsid w:val="00A87A02"/>
    <w:rsid w:val="00A9155A"/>
    <w:rsid w:val="00A9183B"/>
    <w:rsid w:val="00A9207E"/>
    <w:rsid w:val="00A93490"/>
    <w:rsid w:val="00A94CA5"/>
    <w:rsid w:val="00A95C26"/>
    <w:rsid w:val="00A96C92"/>
    <w:rsid w:val="00A97771"/>
    <w:rsid w:val="00AA2444"/>
    <w:rsid w:val="00AA25FD"/>
    <w:rsid w:val="00AA2DC4"/>
    <w:rsid w:val="00AA39EC"/>
    <w:rsid w:val="00AA3F1F"/>
    <w:rsid w:val="00AA4CD3"/>
    <w:rsid w:val="00AA4ECC"/>
    <w:rsid w:val="00AA4FA0"/>
    <w:rsid w:val="00AA5625"/>
    <w:rsid w:val="00AB0E57"/>
    <w:rsid w:val="00AB150C"/>
    <w:rsid w:val="00AB2207"/>
    <w:rsid w:val="00AB2378"/>
    <w:rsid w:val="00AB4806"/>
    <w:rsid w:val="00AB595B"/>
    <w:rsid w:val="00AB5CA6"/>
    <w:rsid w:val="00AB7015"/>
    <w:rsid w:val="00AB72C3"/>
    <w:rsid w:val="00AB7667"/>
    <w:rsid w:val="00AC21C2"/>
    <w:rsid w:val="00AC290E"/>
    <w:rsid w:val="00AC3E52"/>
    <w:rsid w:val="00AC405B"/>
    <w:rsid w:val="00AC456A"/>
    <w:rsid w:val="00AC4D37"/>
    <w:rsid w:val="00AC50B1"/>
    <w:rsid w:val="00AC5685"/>
    <w:rsid w:val="00AC7E1F"/>
    <w:rsid w:val="00AD06F6"/>
    <w:rsid w:val="00AD0A3C"/>
    <w:rsid w:val="00AD0C6C"/>
    <w:rsid w:val="00AD35AC"/>
    <w:rsid w:val="00AD74E8"/>
    <w:rsid w:val="00AE131F"/>
    <w:rsid w:val="00AE35F6"/>
    <w:rsid w:val="00AE364B"/>
    <w:rsid w:val="00AE404C"/>
    <w:rsid w:val="00AE40F5"/>
    <w:rsid w:val="00AE4C3A"/>
    <w:rsid w:val="00AE6CAC"/>
    <w:rsid w:val="00AE6EED"/>
    <w:rsid w:val="00AF0098"/>
    <w:rsid w:val="00AF07D5"/>
    <w:rsid w:val="00AF0C78"/>
    <w:rsid w:val="00AF1D64"/>
    <w:rsid w:val="00AF2CB8"/>
    <w:rsid w:val="00AF32B3"/>
    <w:rsid w:val="00AF33F8"/>
    <w:rsid w:val="00AF478A"/>
    <w:rsid w:val="00AF507B"/>
    <w:rsid w:val="00AF51C8"/>
    <w:rsid w:val="00B00AA3"/>
    <w:rsid w:val="00B01003"/>
    <w:rsid w:val="00B01B5E"/>
    <w:rsid w:val="00B01CA0"/>
    <w:rsid w:val="00B0302A"/>
    <w:rsid w:val="00B049A4"/>
    <w:rsid w:val="00B05871"/>
    <w:rsid w:val="00B0656D"/>
    <w:rsid w:val="00B107FD"/>
    <w:rsid w:val="00B1094A"/>
    <w:rsid w:val="00B11B1E"/>
    <w:rsid w:val="00B11F20"/>
    <w:rsid w:val="00B130DD"/>
    <w:rsid w:val="00B13A4D"/>
    <w:rsid w:val="00B15348"/>
    <w:rsid w:val="00B15458"/>
    <w:rsid w:val="00B15D84"/>
    <w:rsid w:val="00B16101"/>
    <w:rsid w:val="00B1738F"/>
    <w:rsid w:val="00B204D9"/>
    <w:rsid w:val="00B21CCC"/>
    <w:rsid w:val="00B2284D"/>
    <w:rsid w:val="00B249C1"/>
    <w:rsid w:val="00B24D38"/>
    <w:rsid w:val="00B254CE"/>
    <w:rsid w:val="00B25AD0"/>
    <w:rsid w:val="00B2616F"/>
    <w:rsid w:val="00B26310"/>
    <w:rsid w:val="00B3232F"/>
    <w:rsid w:val="00B32BB8"/>
    <w:rsid w:val="00B334D9"/>
    <w:rsid w:val="00B33662"/>
    <w:rsid w:val="00B34841"/>
    <w:rsid w:val="00B3631E"/>
    <w:rsid w:val="00B36FAF"/>
    <w:rsid w:val="00B373CD"/>
    <w:rsid w:val="00B41A58"/>
    <w:rsid w:val="00B430F1"/>
    <w:rsid w:val="00B43ADD"/>
    <w:rsid w:val="00B43FED"/>
    <w:rsid w:val="00B44491"/>
    <w:rsid w:val="00B44F91"/>
    <w:rsid w:val="00B45DE7"/>
    <w:rsid w:val="00B462E7"/>
    <w:rsid w:val="00B46CE8"/>
    <w:rsid w:val="00B5041D"/>
    <w:rsid w:val="00B52546"/>
    <w:rsid w:val="00B53744"/>
    <w:rsid w:val="00B55EF1"/>
    <w:rsid w:val="00B566E2"/>
    <w:rsid w:val="00B566F3"/>
    <w:rsid w:val="00B576E4"/>
    <w:rsid w:val="00B5790D"/>
    <w:rsid w:val="00B60DAD"/>
    <w:rsid w:val="00B614BD"/>
    <w:rsid w:val="00B61E16"/>
    <w:rsid w:val="00B63294"/>
    <w:rsid w:val="00B6383A"/>
    <w:rsid w:val="00B650E7"/>
    <w:rsid w:val="00B654A3"/>
    <w:rsid w:val="00B65572"/>
    <w:rsid w:val="00B65675"/>
    <w:rsid w:val="00B65938"/>
    <w:rsid w:val="00B67E99"/>
    <w:rsid w:val="00B7080E"/>
    <w:rsid w:val="00B7141B"/>
    <w:rsid w:val="00B71CDD"/>
    <w:rsid w:val="00B726DC"/>
    <w:rsid w:val="00B72AEE"/>
    <w:rsid w:val="00B732CF"/>
    <w:rsid w:val="00B74A75"/>
    <w:rsid w:val="00B74BE6"/>
    <w:rsid w:val="00B762C6"/>
    <w:rsid w:val="00B83E10"/>
    <w:rsid w:val="00B84A07"/>
    <w:rsid w:val="00B85B32"/>
    <w:rsid w:val="00B86F7F"/>
    <w:rsid w:val="00B86FC1"/>
    <w:rsid w:val="00B90382"/>
    <w:rsid w:val="00B910AE"/>
    <w:rsid w:val="00B91BC9"/>
    <w:rsid w:val="00B924EE"/>
    <w:rsid w:val="00B95BFD"/>
    <w:rsid w:val="00B962C7"/>
    <w:rsid w:val="00B96590"/>
    <w:rsid w:val="00B970C9"/>
    <w:rsid w:val="00B97C47"/>
    <w:rsid w:val="00BA04BD"/>
    <w:rsid w:val="00BA1121"/>
    <w:rsid w:val="00BA2401"/>
    <w:rsid w:val="00BA2AD7"/>
    <w:rsid w:val="00BA2BFB"/>
    <w:rsid w:val="00BA38DC"/>
    <w:rsid w:val="00BA3EA3"/>
    <w:rsid w:val="00BA4D9B"/>
    <w:rsid w:val="00BA5778"/>
    <w:rsid w:val="00BA5C29"/>
    <w:rsid w:val="00BA646A"/>
    <w:rsid w:val="00BA66D2"/>
    <w:rsid w:val="00BA7790"/>
    <w:rsid w:val="00BB2BAA"/>
    <w:rsid w:val="00BB5B2E"/>
    <w:rsid w:val="00BB6CD3"/>
    <w:rsid w:val="00BB70A4"/>
    <w:rsid w:val="00BB75EE"/>
    <w:rsid w:val="00BB766F"/>
    <w:rsid w:val="00BB7F49"/>
    <w:rsid w:val="00BC038A"/>
    <w:rsid w:val="00BC0811"/>
    <w:rsid w:val="00BC222A"/>
    <w:rsid w:val="00BC38B5"/>
    <w:rsid w:val="00BC3C04"/>
    <w:rsid w:val="00BC4E80"/>
    <w:rsid w:val="00BC5145"/>
    <w:rsid w:val="00BC51C3"/>
    <w:rsid w:val="00BC5779"/>
    <w:rsid w:val="00BD103E"/>
    <w:rsid w:val="00BD1474"/>
    <w:rsid w:val="00BD1D7C"/>
    <w:rsid w:val="00BD25C3"/>
    <w:rsid w:val="00BD2F5C"/>
    <w:rsid w:val="00BD43E0"/>
    <w:rsid w:val="00BD56E7"/>
    <w:rsid w:val="00BD5D45"/>
    <w:rsid w:val="00BD60C4"/>
    <w:rsid w:val="00BD6111"/>
    <w:rsid w:val="00BD6560"/>
    <w:rsid w:val="00BD6660"/>
    <w:rsid w:val="00BD6B0A"/>
    <w:rsid w:val="00BD6E8A"/>
    <w:rsid w:val="00BD7E64"/>
    <w:rsid w:val="00BE0C6A"/>
    <w:rsid w:val="00BE12E6"/>
    <w:rsid w:val="00BE1952"/>
    <w:rsid w:val="00BE1A47"/>
    <w:rsid w:val="00BE28FB"/>
    <w:rsid w:val="00BE4C3E"/>
    <w:rsid w:val="00BE534D"/>
    <w:rsid w:val="00BE6B4B"/>
    <w:rsid w:val="00BE78FF"/>
    <w:rsid w:val="00BF313E"/>
    <w:rsid w:val="00BF3809"/>
    <w:rsid w:val="00BF5CB7"/>
    <w:rsid w:val="00BF7E70"/>
    <w:rsid w:val="00C03265"/>
    <w:rsid w:val="00C03B42"/>
    <w:rsid w:val="00C04030"/>
    <w:rsid w:val="00C059A2"/>
    <w:rsid w:val="00C063AC"/>
    <w:rsid w:val="00C079FA"/>
    <w:rsid w:val="00C1162C"/>
    <w:rsid w:val="00C122A2"/>
    <w:rsid w:val="00C15819"/>
    <w:rsid w:val="00C15A41"/>
    <w:rsid w:val="00C16151"/>
    <w:rsid w:val="00C167EA"/>
    <w:rsid w:val="00C16A67"/>
    <w:rsid w:val="00C16FBB"/>
    <w:rsid w:val="00C16FC0"/>
    <w:rsid w:val="00C1755C"/>
    <w:rsid w:val="00C20475"/>
    <w:rsid w:val="00C2056D"/>
    <w:rsid w:val="00C21F7A"/>
    <w:rsid w:val="00C224AF"/>
    <w:rsid w:val="00C224CE"/>
    <w:rsid w:val="00C23955"/>
    <w:rsid w:val="00C241D9"/>
    <w:rsid w:val="00C25488"/>
    <w:rsid w:val="00C2567C"/>
    <w:rsid w:val="00C27525"/>
    <w:rsid w:val="00C31741"/>
    <w:rsid w:val="00C34B75"/>
    <w:rsid w:val="00C355CB"/>
    <w:rsid w:val="00C36B09"/>
    <w:rsid w:val="00C37ADB"/>
    <w:rsid w:val="00C37F68"/>
    <w:rsid w:val="00C40E8E"/>
    <w:rsid w:val="00C41B68"/>
    <w:rsid w:val="00C421E0"/>
    <w:rsid w:val="00C43A0B"/>
    <w:rsid w:val="00C4473D"/>
    <w:rsid w:val="00C45605"/>
    <w:rsid w:val="00C461E6"/>
    <w:rsid w:val="00C502C8"/>
    <w:rsid w:val="00C513B4"/>
    <w:rsid w:val="00C5177A"/>
    <w:rsid w:val="00C51834"/>
    <w:rsid w:val="00C52635"/>
    <w:rsid w:val="00C52D82"/>
    <w:rsid w:val="00C53F41"/>
    <w:rsid w:val="00C56785"/>
    <w:rsid w:val="00C573B4"/>
    <w:rsid w:val="00C57C19"/>
    <w:rsid w:val="00C57C44"/>
    <w:rsid w:val="00C602AA"/>
    <w:rsid w:val="00C628E5"/>
    <w:rsid w:val="00C70E26"/>
    <w:rsid w:val="00C7195D"/>
    <w:rsid w:val="00C723B3"/>
    <w:rsid w:val="00C72511"/>
    <w:rsid w:val="00C73039"/>
    <w:rsid w:val="00C74544"/>
    <w:rsid w:val="00C75BF2"/>
    <w:rsid w:val="00C760BD"/>
    <w:rsid w:val="00C765CB"/>
    <w:rsid w:val="00C768FB"/>
    <w:rsid w:val="00C7708E"/>
    <w:rsid w:val="00C779CC"/>
    <w:rsid w:val="00C8047A"/>
    <w:rsid w:val="00C81443"/>
    <w:rsid w:val="00C81E8C"/>
    <w:rsid w:val="00C8503F"/>
    <w:rsid w:val="00C854E2"/>
    <w:rsid w:val="00C86204"/>
    <w:rsid w:val="00C86814"/>
    <w:rsid w:val="00C90E88"/>
    <w:rsid w:val="00C933A5"/>
    <w:rsid w:val="00C93EAD"/>
    <w:rsid w:val="00C94C9F"/>
    <w:rsid w:val="00C97326"/>
    <w:rsid w:val="00CA32C7"/>
    <w:rsid w:val="00CA35F4"/>
    <w:rsid w:val="00CA3CF1"/>
    <w:rsid w:val="00CA56AE"/>
    <w:rsid w:val="00CA5C15"/>
    <w:rsid w:val="00CA607A"/>
    <w:rsid w:val="00CA6866"/>
    <w:rsid w:val="00CA7893"/>
    <w:rsid w:val="00CB216E"/>
    <w:rsid w:val="00CB2CAD"/>
    <w:rsid w:val="00CB34D3"/>
    <w:rsid w:val="00CB3D9F"/>
    <w:rsid w:val="00CB57A1"/>
    <w:rsid w:val="00CB5AC3"/>
    <w:rsid w:val="00CB5D16"/>
    <w:rsid w:val="00CB6F03"/>
    <w:rsid w:val="00CC1295"/>
    <w:rsid w:val="00CC1BCF"/>
    <w:rsid w:val="00CC1F37"/>
    <w:rsid w:val="00CC4092"/>
    <w:rsid w:val="00CC4F05"/>
    <w:rsid w:val="00CC6FB3"/>
    <w:rsid w:val="00CC746F"/>
    <w:rsid w:val="00CC78AE"/>
    <w:rsid w:val="00CD1075"/>
    <w:rsid w:val="00CD1F79"/>
    <w:rsid w:val="00CD23FF"/>
    <w:rsid w:val="00CD2588"/>
    <w:rsid w:val="00CD2CD3"/>
    <w:rsid w:val="00CD535A"/>
    <w:rsid w:val="00CD5653"/>
    <w:rsid w:val="00CD5E6E"/>
    <w:rsid w:val="00CD62A6"/>
    <w:rsid w:val="00CD7A57"/>
    <w:rsid w:val="00CE09ED"/>
    <w:rsid w:val="00CE18A8"/>
    <w:rsid w:val="00CE27EF"/>
    <w:rsid w:val="00CE3326"/>
    <w:rsid w:val="00CE497C"/>
    <w:rsid w:val="00CE53C7"/>
    <w:rsid w:val="00CE5774"/>
    <w:rsid w:val="00CE6708"/>
    <w:rsid w:val="00CE6D4F"/>
    <w:rsid w:val="00CF3D5C"/>
    <w:rsid w:val="00CF55C0"/>
    <w:rsid w:val="00CF5788"/>
    <w:rsid w:val="00CF6A88"/>
    <w:rsid w:val="00D00213"/>
    <w:rsid w:val="00D01462"/>
    <w:rsid w:val="00D01563"/>
    <w:rsid w:val="00D01924"/>
    <w:rsid w:val="00D025EC"/>
    <w:rsid w:val="00D0307B"/>
    <w:rsid w:val="00D04893"/>
    <w:rsid w:val="00D0493F"/>
    <w:rsid w:val="00D04B9C"/>
    <w:rsid w:val="00D04BBB"/>
    <w:rsid w:val="00D07231"/>
    <w:rsid w:val="00D07FD2"/>
    <w:rsid w:val="00D1008D"/>
    <w:rsid w:val="00D110B9"/>
    <w:rsid w:val="00D11745"/>
    <w:rsid w:val="00D1202F"/>
    <w:rsid w:val="00D121C1"/>
    <w:rsid w:val="00D12B69"/>
    <w:rsid w:val="00D132C8"/>
    <w:rsid w:val="00D14111"/>
    <w:rsid w:val="00D14B04"/>
    <w:rsid w:val="00D15381"/>
    <w:rsid w:val="00D15BBF"/>
    <w:rsid w:val="00D1721C"/>
    <w:rsid w:val="00D20898"/>
    <w:rsid w:val="00D20FE3"/>
    <w:rsid w:val="00D23B9A"/>
    <w:rsid w:val="00D24303"/>
    <w:rsid w:val="00D3100C"/>
    <w:rsid w:val="00D32C82"/>
    <w:rsid w:val="00D33348"/>
    <w:rsid w:val="00D3397E"/>
    <w:rsid w:val="00D3503B"/>
    <w:rsid w:val="00D356E6"/>
    <w:rsid w:val="00D36BF8"/>
    <w:rsid w:val="00D36D69"/>
    <w:rsid w:val="00D37747"/>
    <w:rsid w:val="00D40362"/>
    <w:rsid w:val="00D40416"/>
    <w:rsid w:val="00D407EE"/>
    <w:rsid w:val="00D409F8"/>
    <w:rsid w:val="00D41957"/>
    <w:rsid w:val="00D41DB6"/>
    <w:rsid w:val="00D42E54"/>
    <w:rsid w:val="00D43A10"/>
    <w:rsid w:val="00D47958"/>
    <w:rsid w:val="00D47B5A"/>
    <w:rsid w:val="00D5356D"/>
    <w:rsid w:val="00D5359A"/>
    <w:rsid w:val="00D55187"/>
    <w:rsid w:val="00D571E6"/>
    <w:rsid w:val="00D573D0"/>
    <w:rsid w:val="00D57494"/>
    <w:rsid w:val="00D57CD4"/>
    <w:rsid w:val="00D61481"/>
    <w:rsid w:val="00D61AC1"/>
    <w:rsid w:val="00D61BB3"/>
    <w:rsid w:val="00D633AE"/>
    <w:rsid w:val="00D63E54"/>
    <w:rsid w:val="00D646D5"/>
    <w:rsid w:val="00D64902"/>
    <w:rsid w:val="00D66D20"/>
    <w:rsid w:val="00D676AD"/>
    <w:rsid w:val="00D71603"/>
    <w:rsid w:val="00D71713"/>
    <w:rsid w:val="00D71F93"/>
    <w:rsid w:val="00D72838"/>
    <w:rsid w:val="00D73C64"/>
    <w:rsid w:val="00D73CC9"/>
    <w:rsid w:val="00D764DC"/>
    <w:rsid w:val="00D80756"/>
    <w:rsid w:val="00D808C0"/>
    <w:rsid w:val="00D81873"/>
    <w:rsid w:val="00D825C4"/>
    <w:rsid w:val="00D831B0"/>
    <w:rsid w:val="00D85381"/>
    <w:rsid w:val="00D865EC"/>
    <w:rsid w:val="00D869BB"/>
    <w:rsid w:val="00D86BF6"/>
    <w:rsid w:val="00D903FA"/>
    <w:rsid w:val="00D9131E"/>
    <w:rsid w:val="00D92CF8"/>
    <w:rsid w:val="00D93F18"/>
    <w:rsid w:val="00D964B0"/>
    <w:rsid w:val="00DA0B00"/>
    <w:rsid w:val="00DA0EA5"/>
    <w:rsid w:val="00DA2CD1"/>
    <w:rsid w:val="00DA561D"/>
    <w:rsid w:val="00DA58F1"/>
    <w:rsid w:val="00DA7A19"/>
    <w:rsid w:val="00DB03A4"/>
    <w:rsid w:val="00DB3261"/>
    <w:rsid w:val="00DB47D3"/>
    <w:rsid w:val="00DB5295"/>
    <w:rsid w:val="00DB58E0"/>
    <w:rsid w:val="00DB6F71"/>
    <w:rsid w:val="00DB7E64"/>
    <w:rsid w:val="00DC0191"/>
    <w:rsid w:val="00DC088B"/>
    <w:rsid w:val="00DC0ECC"/>
    <w:rsid w:val="00DC22A5"/>
    <w:rsid w:val="00DC2BDA"/>
    <w:rsid w:val="00DC51B9"/>
    <w:rsid w:val="00DD145F"/>
    <w:rsid w:val="00DD14A4"/>
    <w:rsid w:val="00DD2588"/>
    <w:rsid w:val="00DD2768"/>
    <w:rsid w:val="00DD6F8E"/>
    <w:rsid w:val="00DE273C"/>
    <w:rsid w:val="00DE3BC6"/>
    <w:rsid w:val="00DE3E20"/>
    <w:rsid w:val="00DE4D7F"/>
    <w:rsid w:val="00DE65D2"/>
    <w:rsid w:val="00DE6734"/>
    <w:rsid w:val="00DE7353"/>
    <w:rsid w:val="00DE7627"/>
    <w:rsid w:val="00DE79B8"/>
    <w:rsid w:val="00DF10AE"/>
    <w:rsid w:val="00DF13AA"/>
    <w:rsid w:val="00DF159C"/>
    <w:rsid w:val="00DF23F0"/>
    <w:rsid w:val="00DF2E71"/>
    <w:rsid w:val="00DF3147"/>
    <w:rsid w:val="00DF329B"/>
    <w:rsid w:val="00DF465F"/>
    <w:rsid w:val="00DF5DA3"/>
    <w:rsid w:val="00E00C60"/>
    <w:rsid w:val="00E00D7C"/>
    <w:rsid w:val="00E0210A"/>
    <w:rsid w:val="00E0247B"/>
    <w:rsid w:val="00E027CC"/>
    <w:rsid w:val="00E04D3B"/>
    <w:rsid w:val="00E05CCA"/>
    <w:rsid w:val="00E07E8C"/>
    <w:rsid w:val="00E103CA"/>
    <w:rsid w:val="00E1135D"/>
    <w:rsid w:val="00E11630"/>
    <w:rsid w:val="00E11DD1"/>
    <w:rsid w:val="00E1348F"/>
    <w:rsid w:val="00E137C3"/>
    <w:rsid w:val="00E15A9B"/>
    <w:rsid w:val="00E20602"/>
    <w:rsid w:val="00E2232B"/>
    <w:rsid w:val="00E22A28"/>
    <w:rsid w:val="00E24720"/>
    <w:rsid w:val="00E24A67"/>
    <w:rsid w:val="00E25DDD"/>
    <w:rsid w:val="00E26DB3"/>
    <w:rsid w:val="00E32486"/>
    <w:rsid w:val="00E32E1A"/>
    <w:rsid w:val="00E34CD1"/>
    <w:rsid w:val="00E35903"/>
    <w:rsid w:val="00E37E0B"/>
    <w:rsid w:val="00E405EE"/>
    <w:rsid w:val="00E41003"/>
    <w:rsid w:val="00E42BEA"/>
    <w:rsid w:val="00E42EC9"/>
    <w:rsid w:val="00E43275"/>
    <w:rsid w:val="00E43B33"/>
    <w:rsid w:val="00E43D61"/>
    <w:rsid w:val="00E44542"/>
    <w:rsid w:val="00E44AD8"/>
    <w:rsid w:val="00E45228"/>
    <w:rsid w:val="00E45C66"/>
    <w:rsid w:val="00E46AD0"/>
    <w:rsid w:val="00E47E1D"/>
    <w:rsid w:val="00E5009B"/>
    <w:rsid w:val="00E5142F"/>
    <w:rsid w:val="00E5156B"/>
    <w:rsid w:val="00E51DAA"/>
    <w:rsid w:val="00E52D4A"/>
    <w:rsid w:val="00E54150"/>
    <w:rsid w:val="00E5469A"/>
    <w:rsid w:val="00E54E79"/>
    <w:rsid w:val="00E55C31"/>
    <w:rsid w:val="00E560C6"/>
    <w:rsid w:val="00E56EF1"/>
    <w:rsid w:val="00E573A3"/>
    <w:rsid w:val="00E60104"/>
    <w:rsid w:val="00E60B28"/>
    <w:rsid w:val="00E61A0B"/>
    <w:rsid w:val="00E63939"/>
    <w:rsid w:val="00E63F84"/>
    <w:rsid w:val="00E64A99"/>
    <w:rsid w:val="00E64D5E"/>
    <w:rsid w:val="00E66958"/>
    <w:rsid w:val="00E67D0E"/>
    <w:rsid w:val="00E72148"/>
    <w:rsid w:val="00E72AC4"/>
    <w:rsid w:val="00E72EE2"/>
    <w:rsid w:val="00E741A9"/>
    <w:rsid w:val="00E74ADA"/>
    <w:rsid w:val="00E759C1"/>
    <w:rsid w:val="00E75A17"/>
    <w:rsid w:val="00E80FD9"/>
    <w:rsid w:val="00E81246"/>
    <w:rsid w:val="00E8144F"/>
    <w:rsid w:val="00E81C59"/>
    <w:rsid w:val="00E81F94"/>
    <w:rsid w:val="00E82E53"/>
    <w:rsid w:val="00E84E28"/>
    <w:rsid w:val="00E8710D"/>
    <w:rsid w:val="00E87829"/>
    <w:rsid w:val="00E90075"/>
    <w:rsid w:val="00E90B98"/>
    <w:rsid w:val="00E90EC3"/>
    <w:rsid w:val="00E916D5"/>
    <w:rsid w:val="00E92CE4"/>
    <w:rsid w:val="00E931A9"/>
    <w:rsid w:val="00E94063"/>
    <w:rsid w:val="00E95FC6"/>
    <w:rsid w:val="00EA13EE"/>
    <w:rsid w:val="00EA1E0B"/>
    <w:rsid w:val="00EA2324"/>
    <w:rsid w:val="00EA273E"/>
    <w:rsid w:val="00EA41A0"/>
    <w:rsid w:val="00EA4854"/>
    <w:rsid w:val="00EA5114"/>
    <w:rsid w:val="00EA5B88"/>
    <w:rsid w:val="00EA7090"/>
    <w:rsid w:val="00EA7427"/>
    <w:rsid w:val="00EA769E"/>
    <w:rsid w:val="00EA773C"/>
    <w:rsid w:val="00EA7CA5"/>
    <w:rsid w:val="00EB221F"/>
    <w:rsid w:val="00EB3B0A"/>
    <w:rsid w:val="00EC12CF"/>
    <w:rsid w:val="00EC595B"/>
    <w:rsid w:val="00EC5BB4"/>
    <w:rsid w:val="00EC735B"/>
    <w:rsid w:val="00EC7FE5"/>
    <w:rsid w:val="00ED13CC"/>
    <w:rsid w:val="00ED1EB5"/>
    <w:rsid w:val="00ED4173"/>
    <w:rsid w:val="00ED5CD1"/>
    <w:rsid w:val="00ED5E9B"/>
    <w:rsid w:val="00EE0BD4"/>
    <w:rsid w:val="00EE1EF4"/>
    <w:rsid w:val="00EE3270"/>
    <w:rsid w:val="00EE33F3"/>
    <w:rsid w:val="00EE4F21"/>
    <w:rsid w:val="00EF0239"/>
    <w:rsid w:val="00EF28C9"/>
    <w:rsid w:val="00EF4291"/>
    <w:rsid w:val="00EF4F66"/>
    <w:rsid w:val="00EF5434"/>
    <w:rsid w:val="00EF5641"/>
    <w:rsid w:val="00EF6CE3"/>
    <w:rsid w:val="00EF7482"/>
    <w:rsid w:val="00F00AE9"/>
    <w:rsid w:val="00F026C2"/>
    <w:rsid w:val="00F03179"/>
    <w:rsid w:val="00F03657"/>
    <w:rsid w:val="00F03DB3"/>
    <w:rsid w:val="00F04FCA"/>
    <w:rsid w:val="00F14023"/>
    <w:rsid w:val="00F15917"/>
    <w:rsid w:val="00F16FC9"/>
    <w:rsid w:val="00F17DED"/>
    <w:rsid w:val="00F201CD"/>
    <w:rsid w:val="00F212A8"/>
    <w:rsid w:val="00F221A0"/>
    <w:rsid w:val="00F23B06"/>
    <w:rsid w:val="00F23B97"/>
    <w:rsid w:val="00F23BE4"/>
    <w:rsid w:val="00F24828"/>
    <w:rsid w:val="00F24BA6"/>
    <w:rsid w:val="00F2521C"/>
    <w:rsid w:val="00F25298"/>
    <w:rsid w:val="00F2581B"/>
    <w:rsid w:val="00F261A7"/>
    <w:rsid w:val="00F2752F"/>
    <w:rsid w:val="00F3005F"/>
    <w:rsid w:val="00F307B7"/>
    <w:rsid w:val="00F30B3C"/>
    <w:rsid w:val="00F310FB"/>
    <w:rsid w:val="00F327D7"/>
    <w:rsid w:val="00F33527"/>
    <w:rsid w:val="00F360E8"/>
    <w:rsid w:val="00F37913"/>
    <w:rsid w:val="00F40B31"/>
    <w:rsid w:val="00F43497"/>
    <w:rsid w:val="00F4471B"/>
    <w:rsid w:val="00F452DE"/>
    <w:rsid w:val="00F4565A"/>
    <w:rsid w:val="00F47232"/>
    <w:rsid w:val="00F47606"/>
    <w:rsid w:val="00F51FA9"/>
    <w:rsid w:val="00F52159"/>
    <w:rsid w:val="00F54EF0"/>
    <w:rsid w:val="00F5611B"/>
    <w:rsid w:val="00F60D82"/>
    <w:rsid w:val="00F61D18"/>
    <w:rsid w:val="00F6217D"/>
    <w:rsid w:val="00F62F74"/>
    <w:rsid w:val="00F63A2C"/>
    <w:rsid w:val="00F6666B"/>
    <w:rsid w:val="00F66849"/>
    <w:rsid w:val="00F67582"/>
    <w:rsid w:val="00F712C3"/>
    <w:rsid w:val="00F734B1"/>
    <w:rsid w:val="00F73E86"/>
    <w:rsid w:val="00F74D9D"/>
    <w:rsid w:val="00F76D1D"/>
    <w:rsid w:val="00F770AD"/>
    <w:rsid w:val="00F77E67"/>
    <w:rsid w:val="00F80469"/>
    <w:rsid w:val="00F81336"/>
    <w:rsid w:val="00F8178B"/>
    <w:rsid w:val="00F82590"/>
    <w:rsid w:val="00F84335"/>
    <w:rsid w:val="00F9131D"/>
    <w:rsid w:val="00F914C4"/>
    <w:rsid w:val="00F9243E"/>
    <w:rsid w:val="00F92B7B"/>
    <w:rsid w:val="00F946B4"/>
    <w:rsid w:val="00F95057"/>
    <w:rsid w:val="00F95C4E"/>
    <w:rsid w:val="00F963EB"/>
    <w:rsid w:val="00F97780"/>
    <w:rsid w:val="00FA265F"/>
    <w:rsid w:val="00FA2B1B"/>
    <w:rsid w:val="00FA3849"/>
    <w:rsid w:val="00FA452A"/>
    <w:rsid w:val="00FA4ECE"/>
    <w:rsid w:val="00FA54A7"/>
    <w:rsid w:val="00FA557D"/>
    <w:rsid w:val="00FA6A9C"/>
    <w:rsid w:val="00FA7AAD"/>
    <w:rsid w:val="00FB0DFC"/>
    <w:rsid w:val="00FB3740"/>
    <w:rsid w:val="00FB532F"/>
    <w:rsid w:val="00FB6DC9"/>
    <w:rsid w:val="00FC1095"/>
    <w:rsid w:val="00FC1242"/>
    <w:rsid w:val="00FC3E2B"/>
    <w:rsid w:val="00FC6A49"/>
    <w:rsid w:val="00FC74F0"/>
    <w:rsid w:val="00FD0052"/>
    <w:rsid w:val="00FD2673"/>
    <w:rsid w:val="00FD4B52"/>
    <w:rsid w:val="00FD5C43"/>
    <w:rsid w:val="00FD7FB0"/>
    <w:rsid w:val="00FE0DDF"/>
    <w:rsid w:val="00FE1575"/>
    <w:rsid w:val="00FE1BE3"/>
    <w:rsid w:val="00FE225D"/>
    <w:rsid w:val="00FE22B6"/>
    <w:rsid w:val="00FE2861"/>
    <w:rsid w:val="00FE38C9"/>
    <w:rsid w:val="00FE3CD4"/>
    <w:rsid w:val="00FE40E5"/>
    <w:rsid w:val="00FE4C55"/>
    <w:rsid w:val="00FE51E0"/>
    <w:rsid w:val="00FE56C8"/>
    <w:rsid w:val="00FE7970"/>
    <w:rsid w:val="00FF2192"/>
    <w:rsid w:val="00FF2952"/>
    <w:rsid w:val="00FF79A4"/>
  </w:rsids>
  <m:mathPr>
    <m:mathFont m:val="Cambria Math"/>
    <m:brkBin m:val="before"/>
    <m:brkBinSub m:val="--"/>
    <m:smallFrac m:val="0"/>
    <m:dispDef/>
    <m:lMargin m:val="0"/>
    <m:rMargin m:val="0"/>
    <m:defJc m:val="centerGroup"/>
    <m:wrapIndent m:val="1440"/>
    <m:intLim m:val="subSup"/>
    <m:naryLim m:val="undOvr"/>
  </m:mathPr>
  <w:themeFontLang w:val="en-NZ"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CBBFD4E"/>
  <w14:defaultImageDpi w14:val="330"/>
  <w15:docId w15:val="{8B27B79A-E8CB-4BFF-A50D-920BEA7F6C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56CD"/>
  </w:style>
  <w:style w:type="paragraph" w:styleId="Heading1">
    <w:name w:val="heading 1"/>
    <w:basedOn w:val="Normal"/>
    <w:next w:val="Normal"/>
    <w:link w:val="Heading1Char"/>
    <w:uiPriority w:val="9"/>
    <w:qFormat/>
    <w:rsid w:val="00AA562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5">
    <w:name w:val="heading 5"/>
    <w:basedOn w:val="Normal"/>
    <w:next w:val="Normal"/>
    <w:link w:val="Heading5Char"/>
    <w:uiPriority w:val="9"/>
    <w:semiHidden/>
    <w:unhideWhenUsed/>
    <w:qFormat/>
    <w:rsid w:val="00AA4FA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AutoList2">
    <w:name w:val="1AutoList2"/>
    <w:rsid w:val="002C5B8B"/>
    <w:pPr>
      <w:widowControl w:val="0"/>
      <w:tabs>
        <w:tab w:val="left" w:pos="720"/>
      </w:tabs>
      <w:spacing w:after="0" w:line="240" w:lineRule="auto"/>
      <w:ind w:left="720" w:hanging="720"/>
      <w:jc w:val="both"/>
    </w:pPr>
    <w:rPr>
      <w:rFonts w:eastAsia="Times New Roman"/>
      <w:snapToGrid w:val="0"/>
      <w:szCs w:val="20"/>
      <w:lang w:val="en-AU"/>
    </w:rPr>
  </w:style>
  <w:style w:type="paragraph" w:styleId="BalloonText">
    <w:name w:val="Balloon Text"/>
    <w:basedOn w:val="Normal"/>
    <w:link w:val="BalloonTextChar"/>
    <w:uiPriority w:val="99"/>
    <w:semiHidden/>
    <w:unhideWhenUsed/>
    <w:rsid w:val="00E103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03CA"/>
    <w:rPr>
      <w:rFonts w:ascii="Segoe UI" w:hAnsi="Segoe UI" w:cs="Segoe UI"/>
      <w:sz w:val="18"/>
      <w:szCs w:val="18"/>
    </w:rPr>
  </w:style>
  <w:style w:type="paragraph" w:styleId="FootnoteText">
    <w:name w:val="footnote text"/>
    <w:aliases w:val="single space,FOOTNOTES,ft,footnote text,Footnote Text Char2 Char,Footnote Text Char1 Char Char,Footnote Text Char Char Char Char,Footnote Text Char2 Char Char Char Char,Footnote Text Char Char Char Char Char Char,ADB"/>
    <w:basedOn w:val="Normal"/>
    <w:link w:val="FootnoteTextChar"/>
    <w:uiPriority w:val="99"/>
    <w:unhideWhenUsed/>
    <w:qFormat/>
    <w:rsid w:val="00A97771"/>
    <w:pPr>
      <w:spacing w:after="0" w:line="240" w:lineRule="auto"/>
    </w:pPr>
    <w:rPr>
      <w:sz w:val="20"/>
      <w:szCs w:val="20"/>
    </w:rPr>
  </w:style>
  <w:style w:type="character" w:customStyle="1" w:styleId="FootnoteTextChar">
    <w:name w:val="Footnote Text Char"/>
    <w:aliases w:val="single space Char,FOOTNOTES Char,ft Char,footnote text Char,Footnote Text Char2 Char Char,Footnote Text Char1 Char Char Char,Footnote Text Char Char Char Char Char,Footnote Text Char2 Char Char Char Char Char,ADB Char"/>
    <w:basedOn w:val="DefaultParagraphFont"/>
    <w:link w:val="FootnoteText"/>
    <w:uiPriority w:val="99"/>
    <w:rsid w:val="00A97771"/>
    <w:rPr>
      <w:sz w:val="20"/>
      <w:szCs w:val="20"/>
    </w:rPr>
  </w:style>
  <w:style w:type="character" w:styleId="FootnoteReference">
    <w:name w:val="footnote reference"/>
    <w:aliases w:val="ftref,Error-Fußnotenzeichen5,Error-Fußnotenzeichen6,Error-Fußnotenzeichen3,Footnote Reference1,referencia nota al pie,Знак сноски 1,Footnote Reference Number,Footnote Reference_LVL6,Footnote Reference_LVL61,Footnote Reference_LVL62"/>
    <w:basedOn w:val="DefaultParagraphFont"/>
    <w:uiPriority w:val="99"/>
    <w:unhideWhenUsed/>
    <w:rsid w:val="00A97771"/>
    <w:rPr>
      <w:vertAlign w:val="superscript"/>
    </w:rPr>
  </w:style>
  <w:style w:type="character" w:styleId="Hyperlink">
    <w:name w:val="Hyperlink"/>
    <w:basedOn w:val="DefaultParagraphFont"/>
    <w:uiPriority w:val="99"/>
    <w:unhideWhenUsed/>
    <w:rsid w:val="00FE56C8"/>
    <w:rPr>
      <w:color w:val="0563C1" w:themeColor="hyperlink"/>
      <w:u w:val="single"/>
    </w:rPr>
  </w:style>
  <w:style w:type="character" w:customStyle="1" w:styleId="Heading1Char">
    <w:name w:val="Heading 1 Char"/>
    <w:basedOn w:val="DefaultParagraphFont"/>
    <w:link w:val="Heading1"/>
    <w:uiPriority w:val="9"/>
    <w:rsid w:val="00AA5625"/>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5811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11DF"/>
  </w:style>
  <w:style w:type="paragraph" w:styleId="Footer">
    <w:name w:val="footer"/>
    <w:basedOn w:val="Normal"/>
    <w:link w:val="FooterChar"/>
    <w:uiPriority w:val="99"/>
    <w:unhideWhenUsed/>
    <w:rsid w:val="005811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11DF"/>
  </w:style>
  <w:style w:type="paragraph" w:styleId="ListParagraph">
    <w:name w:val="List Paragraph"/>
    <w:basedOn w:val="Normal"/>
    <w:uiPriority w:val="34"/>
    <w:qFormat/>
    <w:rsid w:val="004327EE"/>
    <w:pPr>
      <w:ind w:left="720"/>
      <w:contextualSpacing/>
    </w:pPr>
  </w:style>
  <w:style w:type="paragraph" w:styleId="BodyText3">
    <w:name w:val="Body Text 3"/>
    <w:basedOn w:val="Normal"/>
    <w:link w:val="BodyText3Char"/>
    <w:rsid w:val="0032699D"/>
    <w:pPr>
      <w:spacing w:after="120" w:line="240" w:lineRule="auto"/>
    </w:pPr>
    <w:rPr>
      <w:rFonts w:eastAsia="Times New Roman"/>
      <w:sz w:val="16"/>
      <w:szCs w:val="20"/>
      <w:lang w:val="en-US"/>
    </w:rPr>
  </w:style>
  <w:style w:type="character" w:customStyle="1" w:styleId="BodyText3Char">
    <w:name w:val="Body Text 3 Char"/>
    <w:basedOn w:val="DefaultParagraphFont"/>
    <w:link w:val="BodyText3"/>
    <w:rsid w:val="0032699D"/>
    <w:rPr>
      <w:rFonts w:eastAsia="Times New Roman"/>
      <w:sz w:val="16"/>
      <w:szCs w:val="20"/>
      <w:lang w:val="en-US"/>
    </w:rPr>
  </w:style>
  <w:style w:type="character" w:styleId="HTMLCite">
    <w:name w:val="HTML Cite"/>
    <w:basedOn w:val="DefaultParagraphFont"/>
    <w:uiPriority w:val="99"/>
    <w:semiHidden/>
    <w:unhideWhenUsed/>
    <w:rsid w:val="00467A48"/>
    <w:rPr>
      <w:i/>
      <w:iCs/>
    </w:rPr>
  </w:style>
  <w:style w:type="paragraph" w:styleId="PlainText">
    <w:name w:val="Plain Text"/>
    <w:basedOn w:val="Normal"/>
    <w:link w:val="PlainTextChar"/>
    <w:unhideWhenUsed/>
    <w:rsid w:val="00FE2861"/>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FE2861"/>
    <w:rPr>
      <w:rFonts w:ascii="Consolas" w:hAnsi="Consolas"/>
      <w:sz w:val="21"/>
      <w:szCs w:val="21"/>
    </w:rPr>
  </w:style>
  <w:style w:type="table" w:styleId="TableGrid">
    <w:name w:val="Table Grid"/>
    <w:basedOn w:val="TableNormal"/>
    <w:uiPriority w:val="39"/>
    <w:rsid w:val="00FE2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author">
    <w:name w:val="post-author"/>
    <w:basedOn w:val="DefaultParagraphFont"/>
    <w:rsid w:val="001A3F51"/>
  </w:style>
  <w:style w:type="character" w:customStyle="1" w:styleId="apple-converted-space">
    <w:name w:val="apple-converted-space"/>
    <w:basedOn w:val="DefaultParagraphFont"/>
    <w:rsid w:val="001A3F51"/>
  </w:style>
  <w:style w:type="character" w:styleId="CommentReference">
    <w:name w:val="annotation reference"/>
    <w:basedOn w:val="DefaultParagraphFont"/>
    <w:uiPriority w:val="99"/>
    <w:semiHidden/>
    <w:unhideWhenUsed/>
    <w:rsid w:val="00C43A0B"/>
    <w:rPr>
      <w:sz w:val="16"/>
      <w:szCs w:val="16"/>
    </w:rPr>
  </w:style>
  <w:style w:type="paragraph" w:styleId="CommentText">
    <w:name w:val="annotation text"/>
    <w:basedOn w:val="Normal"/>
    <w:link w:val="CommentTextChar"/>
    <w:uiPriority w:val="99"/>
    <w:unhideWhenUsed/>
    <w:rsid w:val="00C43A0B"/>
    <w:pPr>
      <w:spacing w:line="240" w:lineRule="auto"/>
    </w:pPr>
    <w:rPr>
      <w:sz w:val="20"/>
      <w:szCs w:val="20"/>
    </w:rPr>
  </w:style>
  <w:style w:type="character" w:customStyle="1" w:styleId="CommentTextChar">
    <w:name w:val="Comment Text Char"/>
    <w:basedOn w:val="DefaultParagraphFont"/>
    <w:link w:val="CommentText"/>
    <w:uiPriority w:val="99"/>
    <w:rsid w:val="00C43A0B"/>
    <w:rPr>
      <w:sz w:val="20"/>
      <w:szCs w:val="20"/>
    </w:rPr>
  </w:style>
  <w:style w:type="paragraph" w:styleId="CommentSubject">
    <w:name w:val="annotation subject"/>
    <w:basedOn w:val="CommentText"/>
    <w:next w:val="CommentText"/>
    <w:link w:val="CommentSubjectChar"/>
    <w:uiPriority w:val="99"/>
    <w:semiHidden/>
    <w:unhideWhenUsed/>
    <w:rsid w:val="00C43A0B"/>
    <w:rPr>
      <w:b/>
      <w:bCs/>
    </w:rPr>
  </w:style>
  <w:style w:type="character" w:customStyle="1" w:styleId="CommentSubjectChar">
    <w:name w:val="Comment Subject Char"/>
    <w:basedOn w:val="CommentTextChar"/>
    <w:link w:val="CommentSubject"/>
    <w:uiPriority w:val="99"/>
    <w:semiHidden/>
    <w:rsid w:val="00C43A0B"/>
    <w:rPr>
      <w:b/>
      <w:bCs/>
      <w:sz w:val="20"/>
      <w:szCs w:val="20"/>
    </w:rPr>
  </w:style>
  <w:style w:type="character" w:styleId="PlaceholderText">
    <w:name w:val="Placeholder Text"/>
    <w:basedOn w:val="DefaultParagraphFont"/>
    <w:uiPriority w:val="99"/>
    <w:semiHidden/>
    <w:rsid w:val="00CF3D5C"/>
    <w:rPr>
      <w:color w:val="808080"/>
    </w:rPr>
  </w:style>
  <w:style w:type="paragraph" w:styleId="NormalWeb">
    <w:name w:val="Normal (Web)"/>
    <w:basedOn w:val="Normal"/>
    <w:uiPriority w:val="99"/>
    <w:unhideWhenUsed/>
    <w:rsid w:val="00B16101"/>
    <w:pPr>
      <w:spacing w:before="100" w:beforeAutospacing="1" w:after="100" w:afterAutospacing="1" w:line="240" w:lineRule="auto"/>
    </w:pPr>
    <w:rPr>
      <w:rFonts w:eastAsia="Times New Roman"/>
      <w:lang w:val="en-US"/>
    </w:rPr>
  </w:style>
  <w:style w:type="character" w:customStyle="1" w:styleId="Heading5Char">
    <w:name w:val="Heading 5 Char"/>
    <w:basedOn w:val="DefaultParagraphFont"/>
    <w:link w:val="Heading5"/>
    <w:uiPriority w:val="9"/>
    <w:semiHidden/>
    <w:rsid w:val="00AA4FA0"/>
    <w:rPr>
      <w:rFonts w:asciiTheme="majorHAnsi" w:eastAsiaTheme="majorEastAsia" w:hAnsiTheme="majorHAnsi" w:cstheme="majorBidi"/>
      <w:color w:val="2E74B5" w:themeColor="accent1" w:themeShade="BF"/>
    </w:rPr>
  </w:style>
  <w:style w:type="paragraph" w:styleId="HTMLPreformatted">
    <w:name w:val="HTML Preformatted"/>
    <w:basedOn w:val="Normal"/>
    <w:link w:val="HTMLPreformattedChar"/>
    <w:uiPriority w:val="99"/>
    <w:semiHidden/>
    <w:unhideWhenUsed/>
    <w:rsid w:val="00F47606"/>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47606"/>
    <w:rPr>
      <w:rFonts w:ascii="Consolas" w:hAnsi="Consolas"/>
      <w:sz w:val="20"/>
      <w:szCs w:val="20"/>
    </w:rPr>
  </w:style>
  <w:style w:type="character" w:customStyle="1" w:styleId="PlainTextChar1">
    <w:name w:val="Plain Text Char1"/>
    <w:basedOn w:val="DefaultParagraphFont"/>
    <w:uiPriority w:val="99"/>
    <w:rsid w:val="005B7D6B"/>
    <w:rPr>
      <w:rFonts w:ascii="Consolas" w:hAnsi="Consolas" w:cs="Consolas"/>
      <w:sz w:val="21"/>
      <w:szCs w:val="21"/>
    </w:rPr>
  </w:style>
  <w:style w:type="paragraph" w:styleId="BodyTextIndent3">
    <w:name w:val="Body Text Indent 3"/>
    <w:basedOn w:val="Normal"/>
    <w:link w:val="BodyTextIndent3Char"/>
    <w:uiPriority w:val="99"/>
    <w:unhideWhenUsed/>
    <w:rsid w:val="009B6326"/>
    <w:pPr>
      <w:spacing w:after="120"/>
      <w:ind w:left="283"/>
    </w:pPr>
    <w:rPr>
      <w:sz w:val="16"/>
      <w:szCs w:val="16"/>
    </w:rPr>
  </w:style>
  <w:style w:type="character" w:customStyle="1" w:styleId="BodyTextIndent3Char">
    <w:name w:val="Body Text Indent 3 Char"/>
    <w:basedOn w:val="DefaultParagraphFont"/>
    <w:link w:val="BodyTextIndent3"/>
    <w:uiPriority w:val="99"/>
    <w:rsid w:val="009B6326"/>
    <w:rPr>
      <w:sz w:val="16"/>
      <w:szCs w:val="16"/>
    </w:rPr>
  </w:style>
  <w:style w:type="paragraph" w:customStyle="1" w:styleId="MDPI31text">
    <w:name w:val="MDPI_3.1_text"/>
    <w:qFormat/>
    <w:rsid w:val="00811990"/>
    <w:pPr>
      <w:adjustRightInd w:val="0"/>
      <w:snapToGrid w:val="0"/>
      <w:spacing w:after="0" w:line="228" w:lineRule="auto"/>
      <w:ind w:left="2608" w:firstLine="425"/>
      <w:jc w:val="both"/>
    </w:pPr>
    <w:rPr>
      <w:rFonts w:ascii="Palatino Linotype" w:eastAsia="Times New Roman" w:hAnsi="Palatino Linotype"/>
      <w:snapToGrid w:val="0"/>
      <w:color w:val="000000"/>
      <w:sz w:val="20"/>
      <w:szCs w:val="22"/>
      <w:lang w:val="en-US" w:eastAsia="de-DE" w:bidi="en-US"/>
    </w:rPr>
  </w:style>
  <w:style w:type="character" w:customStyle="1" w:styleId="title-text">
    <w:name w:val="title-text"/>
    <w:basedOn w:val="DefaultParagraphFont"/>
    <w:rsid w:val="008C0378"/>
  </w:style>
  <w:style w:type="table" w:customStyle="1" w:styleId="1">
    <w:name w:val="网格型1"/>
    <w:basedOn w:val="TableNormal"/>
    <w:next w:val="TableGrid"/>
    <w:uiPriority w:val="59"/>
    <w:rsid w:val="004F3B7B"/>
    <w:pPr>
      <w:spacing w:after="0" w:line="260" w:lineRule="atLeast"/>
      <w:jc w:val="both"/>
    </w:pPr>
    <w:rPr>
      <w:rFonts w:ascii="Palatino Linotype" w:eastAsia="SimSun" w:hAnsi="Palatino Linotype"/>
      <w:color w:val="000000"/>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3C31CD"/>
    <w:rPr>
      <w:rFonts w:ascii="URWPalladioL-Bold" w:hAnsi="URWPalladioL-Bold" w:hint="default"/>
      <w:b/>
      <w:bCs/>
      <w:i w:val="0"/>
      <w:iCs w:val="0"/>
      <w:color w:val="000000"/>
      <w:sz w:val="18"/>
      <w:szCs w:val="18"/>
    </w:rPr>
  </w:style>
  <w:style w:type="character" w:customStyle="1" w:styleId="fontstyle21">
    <w:name w:val="fontstyle21"/>
    <w:basedOn w:val="DefaultParagraphFont"/>
    <w:rsid w:val="003C31CD"/>
    <w:rPr>
      <w:rFonts w:ascii="URWPalladioL-Roma" w:hAnsi="URWPalladioL-Roma" w:hint="default"/>
      <w:b w:val="0"/>
      <w:bCs w:val="0"/>
      <w:i w:val="0"/>
      <w:iCs w:val="0"/>
      <w:color w:val="000000"/>
      <w:sz w:val="18"/>
      <w:szCs w:val="18"/>
    </w:rPr>
  </w:style>
  <w:style w:type="paragraph" w:customStyle="1" w:styleId="Default">
    <w:name w:val="Default"/>
    <w:rsid w:val="00E45C66"/>
    <w:pPr>
      <w:autoSpaceDE w:val="0"/>
      <w:autoSpaceDN w:val="0"/>
      <w:adjustRightInd w:val="0"/>
      <w:spacing w:after="0" w:line="240" w:lineRule="auto"/>
    </w:pPr>
    <w:rPr>
      <w:rFonts w:eastAsia="Times New Roman"/>
      <w:color w:val="000000"/>
      <w:lang w:eastAsia="en-NZ"/>
    </w:rPr>
  </w:style>
  <w:style w:type="paragraph" w:customStyle="1" w:styleId="CM3">
    <w:name w:val="CM3"/>
    <w:basedOn w:val="Default"/>
    <w:next w:val="Default"/>
    <w:rsid w:val="00E45C66"/>
    <w:pPr>
      <w:widowControl w:val="0"/>
    </w:pPr>
    <w:rPr>
      <w:color w:val="auto"/>
      <w:lang w:val="en-US" w:eastAsia="en-US"/>
    </w:rPr>
  </w:style>
  <w:style w:type="paragraph" w:customStyle="1" w:styleId="CM4">
    <w:name w:val="CM4"/>
    <w:basedOn w:val="Default"/>
    <w:next w:val="Default"/>
    <w:rsid w:val="00E45C66"/>
    <w:pPr>
      <w:widowControl w:val="0"/>
      <w:spacing w:line="253" w:lineRule="atLeast"/>
    </w:pPr>
    <w:rPr>
      <w:color w:val="auto"/>
      <w:lang w:val="en-US" w:eastAsia="en-US"/>
    </w:rPr>
  </w:style>
  <w:style w:type="paragraph" w:customStyle="1" w:styleId="CM23">
    <w:name w:val="CM23"/>
    <w:basedOn w:val="Default"/>
    <w:next w:val="Default"/>
    <w:rsid w:val="00E45C66"/>
    <w:pPr>
      <w:widowControl w:val="0"/>
      <w:spacing w:after="233"/>
    </w:pPr>
    <w:rPr>
      <w:color w:val="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884796">
      <w:bodyDiv w:val="1"/>
      <w:marLeft w:val="0"/>
      <w:marRight w:val="0"/>
      <w:marTop w:val="0"/>
      <w:marBottom w:val="0"/>
      <w:divBdr>
        <w:top w:val="none" w:sz="0" w:space="0" w:color="auto"/>
        <w:left w:val="none" w:sz="0" w:space="0" w:color="auto"/>
        <w:bottom w:val="none" w:sz="0" w:space="0" w:color="auto"/>
        <w:right w:val="none" w:sz="0" w:space="0" w:color="auto"/>
      </w:divBdr>
    </w:div>
    <w:div w:id="477308404">
      <w:bodyDiv w:val="1"/>
      <w:marLeft w:val="0"/>
      <w:marRight w:val="0"/>
      <w:marTop w:val="0"/>
      <w:marBottom w:val="0"/>
      <w:divBdr>
        <w:top w:val="none" w:sz="0" w:space="0" w:color="auto"/>
        <w:left w:val="none" w:sz="0" w:space="0" w:color="auto"/>
        <w:bottom w:val="none" w:sz="0" w:space="0" w:color="auto"/>
        <w:right w:val="none" w:sz="0" w:space="0" w:color="auto"/>
      </w:divBdr>
    </w:div>
    <w:div w:id="619651659">
      <w:bodyDiv w:val="1"/>
      <w:marLeft w:val="0"/>
      <w:marRight w:val="0"/>
      <w:marTop w:val="0"/>
      <w:marBottom w:val="0"/>
      <w:divBdr>
        <w:top w:val="none" w:sz="0" w:space="0" w:color="auto"/>
        <w:left w:val="none" w:sz="0" w:space="0" w:color="auto"/>
        <w:bottom w:val="none" w:sz="0" w:space="0" w:color="auto"/>
        <w:right w:val="none" w:sz="0" w:space="0" w:color="auto"/>
      </w:divBdr>
    </w:div>
    <w:div w:id="871965759">
      <w:bodyDiv w:val="1"/>
      <w:marLeft w:val="0"/>
      <w:marRight w:val="0"/>
      <w:marTop w:val="0"/>
      <w:marBottom w:val="0"/>
      <w:divBdr>
        <w:top w:val="none" w:sz="0" w:space="0" w:color="auto"/>
        <w:left w:val="none" w:sz="0" w:space="0" w:color="auto"/>
        <w:bottom w:val="none" w:sz="0" w:space="0" w:color="auto"/>
        <w:right w:val="none" w:sz="0" w:space="0" w:color="auto"/>
      </w:divBdr>
      <w:divsChild>
        <w:div w:id="607080256">
          <w:marLeft w:val="0"/>
          <w:marRight w:val="0"/>
          <w:marTop w:val="0"/>
          <w:marBottom w:val="0"/>
          <w:divBdr>
            <w:top w:val="none" w:sz="0" w:space="0" w:color="auto"/>
            <w:left w:val="none" w:sz="0" w:space="0" w:color="auto"/>
            <w:bottom w:val="none" w:sz="0" w:space="0" w:color="auto"/>
            <w:right w:val="none" w:sz="0" w:space="0" w:color="auto"/>
          </w:divBdr>
        </w:div>
        <w:div w:id="1927416874">
          <w:marLeft w:val="0"/>
          <w:marRight w:val="0"/>
          <w:marTop w:val="0"/>
          <w:marBottom w:val="0"/>
          <w:divBdr>
            <w:top w:val="none" w:sz="0" w:space="0" w:color="auto"/>
            <w:left w:val="none" w:sz="0" w:space="0" w:color="auto"/>
            <w:bottom w:val="none" w:sz="0" w:space="0" w:color="auto"/>
            <w:right w:val="none" w:sz="0" w:space="0" w:color="auto"/>
          </w:divBdr>
        </w:div>
        <w:div w:id="698699032">
          <w:marLeft w:val="0"/>
          <w:marRight w:val="0"/>
          <w:marTop w:val="0"/>
          <w:marBottom w:val="0"/>
          <w:divBdr>
            <w:top w:val="none" w:sz="0" w:space="0" w:color="auto"/>
            <w:left w:val="none" w:sz="0" w:space="0" w:color="auto"/>
            <w:bottom w:val="none" w:sz="0" w:space="0" w:color="auto"/>
            <w:right w:val="none" w:sz="0" w:space="0" w:color="auto"/>
          </w:divBdr>
        </w:div>
      </w:divsChild>
    </w:div>
    <w:div w:id="1140876714">
      <w:bodyDiv w:val="1"/>
      <w:marLeft w:val="0"/>
      <w:marRight w:val="0"/>
      <w:marTop w:val="0"/>
      <w:marBottom w:val="0"/>
      <w:divBdr>
        <w:top w:val="none" w:sz="0" w:space="0" w:color="auto"/>
        <w:left w:val="none" w:sz="0" w:space="0" w:color="auto"/>
        <w:bottom w:val="none" w:sz="0" w:space="0" w:color="auto"/>
        <w:right w:val="none" w:sz="0" w:space="0" w:color="auto"/>
      </w:divBdr>
    </w:div>
    <w:div w:id="1254127886">
      <w:bodyDiv w:val="1"/>
      <w:marLeft w:val="0"/>
      <w:marRight w:val="0"/>
      <w:marTop w:val="0"/>
      <w:marBottom w:val="0"/>
      <w:divBdr>
        <w:top w:val="none" w:sz="0" w:space="0" w:color="auto"/>
        <w:left w:val="none" w:sz="0" w:space="0" w:color="auto"/>
        <w:bottom w:val="none" w:sz="0" w:space="0" w:color="auto"/>
        <w:right w:val="none" w:sz="0" w:space="0" w:color="auto"/>
      </w:divBdr>
    </w:div>
    <w:div w:id="1486430863">
      <w:bodyDiv w:val="1"/>
      <w:marLeft w:val="0"/>
      <w:marRight w:val="0"/>
      <w:marTop w:val="0"/>
      <w:marBottom w:val="0"/>
      <w:divBdr>
        <w:top w:val="none" w:sz="0" w:space="0" w:color="auto"/>
        <w:left w:val="none" w:sz="0" w:space="0" w:color="auto"/>
        <w:bottom w:val="none" w:sz="0" w:space="0" w:color="auto"/>
        <w:right w:val="none" w:sz="0" w:space="0" w:color="auto"/>
      </w:divBdr>
      <w:divsChild>
        <w:div w:id="117336757">
          <w:marLeft w:val="0"/>
          <w:marRight w:val="0"/>
          <w:marTop w:val="0"/>
          <w:marBottom w:val="0"/>
          <w:divBdr>
            <w:top w:val="none" w:sz="0" w:space="0" w:color="auto"/>
            <w:left w:val="none" w:sz="0" w:space="0" w:color="auto"/>
            <w:bottom w:val="none" w:sz="0" w:space="0" w:color="auto"/>
            <w:right w:val="none" w:sz="0" w:space="0" w:color="auto"/>
          </w:divBdr>
        </w:div>
        <w:div w:id="1384409518">
          <w:marLeft w:val="0"/>
          <w:marRight w:val="0"/>
          <w:marTop w:val="0"/>
          <w:marBottom w:val="0"/>
          <w:divBdr>
            <w:top w:val="none" w:sz="0" w:space="0" w:color="auto"/>
            <w:left w:val="none" w:sz="0" w:space="0" w:color="auto"/>
            <w:bottom w:val="none" w:sz="0" w:space="0" w:color="auto"/>
            <w:right w:val="none" w:sz="0" w:space="0" w:color="auto"/>
          </w:divBdr>
        </w:div>
        <w:div w:id="1751462381">
          <w:marLeft w:val="0"/>
          <w:marRight w:val="0"/>
          <w:marTop w:val="0"/>
          <w:marBottom w:val="0"/>
          <w:divBdr>
            <w:top w:val="none" w:sz="0" w:space="0" w:color="auto"/>
            <w:left w:val="none" w:sz="0" w:space="0" w:color="auto"/>
            <w:bottom w:val="none" w:sz="0" w:space="0" w:color="auto"/>
            <w:right w:val="none" w:sz="0" w:space="0" w:color="auto"/>
          </w:divBdr>
        </w:div>
      </w:divsChild>
    </w:div>
    <w:div w:id="1492671403">
      <w:bodyDiv w:val="1"/>
      <w:marLeft w:val="0"/>
      <w:marRight w:val="0"/>
      <w:marTop w:val="0"/>
      <w:marBottom w:val="0"/>
      <w:divBdr>
        <w:top w:val="none" w:sz="0" w:space="0" w:color="auto"/>
        <w:left w:val="none" w:sz="0" w:space="0" w:color="auto"/>
        <w:bottom w:val="none" w:sz="0" w:space="0" w:color="auto"/>
        <w:right w:val="none" w:sz="0" w:space="0" w:color="auto"/>
      </w:divBdr>
    </w:div>
    <w:div w:id="1505197990">
      <w:bodyDiv w:val="1"/>
      <w:marLeft w:val="0"/>
      <w:marRight w:val="0"/>
      <w:marTop w:val="0"/>
      <w:marBottom w:val="0"/>
      <w:divBdr>
        <w:top w:val="none" w:sz="0" w:space="0" w:color="auto"/>
        <w:left w:val="none" w:sz="0" w:space="0" w:color="auto"/>
        <w:bottom w:val="none" w:sz="0" w:space="0" w:color="auto"/>
        <w:right w:val="none" w:sz="0" w:space="0" w:color="auto"/>
      </w:divBdr>
      <w:divsChild>
        <w:div w:id="1366251374">
          <w:marLeft w:val="0"/>
          <w:marRight w:val="0"/>
          <w:marTop w:val="0"/>
          <w:marBottom w:val="0"/>
          <w:divBdr>
            <w:top w:val="none" w:sz="0" w:space="0" w:color="auto"/>
            <w:left w:val="none" w:sz="0" w:space="0" w:color="auto"/>
            <w:bottom w:val="none" w:sz="0" w:space="0" w:color="auto"/>
            <w:right w:val="none" w:sz="0" w:space="0" w:color="auto"/>
          </w:divBdr>
        </w:div>
        <w:div w:id="834342753">
          <w:marLeft w:val="0"/>
          <w:marRight w:val="0"/>
          <w:marTop w:val="0"/>
          <w:marBottom w:val="0"/>
          <w:divBdr>
            <w:top w:val="none" w:sz="0" w:space="0" w:color="auto"/>
            <w:left w:val="none" w:sz="0" w:space="0" w:color="auto"/>
            <w:bottom w:val="none" w:sz="0" w:space="0" w:color="auto"/>
            <w:right w:val="none" w:sz="0" w:space="0" w:color="auto"/>
          </w:divBdr>
        </w:div>
        <w:div w:id="2140493335">
          <w:marLeft w:val="0"/>
          <w:marRight w:val="0"/>
          <w:marTop w:val="0"/>
          <w:marBottom w:val="0"/>
          <w:divBdr>
            <w:top w:val="none" w:sz="0" w:space="0" w:color="auto"/>
            <w:left w:val="none" w:sz="0" w:space="0" w:color="auto"/>
            <w:bottom w:val="none" w:sz="0" w:space="0" w:color="auto"/>
            <w:right w:val="none" w:sz="0" w:space="0" w:color="auto"/>
          </w:divBdr>
        </w:div>
      </w:divsChild>
    </w:div>
    <w:div w:id="1677151941">
      <w:bodyDiv w:val="1"/>
      <w:marLeft w:val="0"/>
      <w:marRight w:val="0"/>
      <w:marTop w:val="0"/>
      <w:marBottom w:val="0"/>
      <w:divBdr>
        <w:top w:val="none" w:sz="0" w:space="0" w:color="auto"/>
        <w:left w:val="none" w:sz="0" w:space="0" w:color="auto"/>
        <w:bottom w:val="none" w:sz="0" w:space="0" w:color="auto"/>
        <w:right w:val="none" w:sz="0" w:space="0" w:color="auto"/>
      </w:divBdr>
    </w:div>
    <w:div w:id="1717895521">
      <w:bodyDiv w:val="1"/>
      <w:marLeft w:val="0"/>
      <w:marRight w:val="0"/>
      <w:marTop w:val="0"/>
      <w:marBottom w:val="0"/>
      <w:divBdr>
        <w:top w:val="none" w:sz="0" w:space="0" w:color="auto"/>
        <w:left w:val="none" w:sz="0" w:space="0" w:color="auto"/>
        <w:bottom w:val="none" w:sz="0" w:space="0" w:color="auto"/>
        <w:right w:val="none" w:sz="0" w:space="0" w:color="auto"/>
      </w:divBdr>
      <w:divsChild>
        <w:div w:id="976495324">
          <w:marLeft w:val="0"/>
          <w:marRight w:val="0"/>
          <w:marTop w:val="0"/>
          <w:marBottom w:val="150"/>
          <w:divBdr>
            <w:top w:val="none" w:sz="0" w:space="0" w:color="auto"/>
            <w:left w:val="none" w:sz="0" w:space="0" w:color="auto"/>
            <w:bottom w:val="none" w:sz="0" w:space="0" w:color="auto"/>
            <w:right w:val="none" w:sz="0" w:space="0" w:color="auto"/>
          </w:divBdr>
        </w:div>
      </w:divsChild>
    </w:div>
    <w:div w:id="2099980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tif"/><Relationship Id="rId19" Type="http://schemas.openxmlformats.org/officeDocument/2006/relationships/hyperlink" Target="https://doi.org/10.1111/rsp3.12716" TargetMode="Externa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yperlink" Target="http://baike.baidu.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eogdata.mines.edu/products/dmsp/"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78131547064925"/>
          <c:y val="0.14035087719298245"/>
          <c:w val="0.84587652223703191"/>
          <c:h val="0.63311669632627188"/>
        </c:manualLayout>
      </c:layout>
      <c:lineChart>
        <c:grouping val="standard"/>
        <c:varyColors val="0"/>
        <c:ser>
          <c:idx val="0"/>
          <c:order val="0"/>
          <c:tx>
            <c:strRef>
              <c:f>Sheet1!$B$1</c:f>
              <c:strCache>
                <c:ptCount val="1"/>
                <c:pt idx="0">
                  <c:v>GDP</c:v>
                </c:pt>
              </c:strCache>
            </c:strRef>
          </c:tx>
          <c:spPr>
            <a:ln w="22225" cap="rnd">
              <a:solidFill>
                <a:schemeClr val="tx1"/>
              </a:solidFill>
              <a:round/>
            </a:ln>
            <a:effectLst/>
          </c:spPr>
          <c:marker>
            <c:symbol val="none"/>
          </c:marker>
          <c:cat>
            <c:numRef>
              <c:f>Sheet1!$A$2:$A$21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Sheet1!$B$2:$B$21</c:f>
              <c:numCache>
                <c:formatCode>General</c:formatCode>
                <c:ptCount val="20"/>
                <c:pt idx="0">
                  <c:v>0.122</c:v>
                </c:pt>
                <c:pt idx="1">
                  <c:v>0.123</c:v>
                </c:pt>
                <c:pt idx="2">
                  <c:v>0.126</c:v>
                </c:pt>
                <c:pt idx="3">
                  <c:v>0.13</c:v>
                </c:pt>
                <c:pt idx="4">
                  <c:v>0.13100000000000001</c:v>
                </c:pt>
                <c:pt idx="5">
                  <c:v>0.14699999999999999</c:v>
                </c:pt>
                <c:pt idx="6">
                  <c:v>0.152</c:v>
                </c:pt>
                <c:pt idx="7">
                  <c:v>0.151</c:v>
                </c:pt>
                <c:pt idx="8">
                  <c:v>0.158</c:v>
                </c:pt>
                <c:pt idx="9">
                  <c:v>0.16</c:v>
                </c:pt>
                <c:pt idx="10">
                  <c:v>0.16300000000000001</c:v>
                </c:pt>
                <c:pt idx="11">
                  <c:v>0.16300000000000001</c:v>
                </c:pt>
                <c:pt idx="12">
                  <c:v>0.16300000000000001</c:v>
                </c:pt>
                <c:pt idx="13">
                  <c:v>0.16200000000000001</c:v>
                </c:pt>
                <c:pt idx="14">
                  <c:v>0.159</c:v>
                </c:pt>
                <c:pt idx="15">
                  <c:v>0.155</c:v>
                </c:pt>
                <c:pt idx="16">
                  <c:v>0.151</c:v>
                </c:pt>
                <c:pt idx="17">
                  <c:v>0.151</c:v>
                </c:pt>
                <c:pt idx="18">
                  <c:v>0.15</c:v>
                </c:pt>
                <c:pt idx="19">
                  <c:v>0.14799999999999999</c:v>
                </c:pt>
              </c:numCache>
            </c:numRef>
          </c:val>
          <c:smooth val="0"/>
          <c:extLst>
            <c:ext xmlns:c16="http://schemas.microsoft.com/office/drawing/2014/chart" uri="{C3380CC4-5D6E-409C-BE32-E72D297353CC}">
              <c16:uniqueId val="{00000000-90E7-4CDD-B662-BBCF605D28C1}"/>
            </c:ext>
          </c:extLst>
        </c:ser>
        <c:ser>
          <c:idx val="1"/>
          <c:order val="1"/>
          <c:tx>
            <c:strRef>
              <c:f>Sheet1!$C$1</c:f>
              <c:strCache>
                <c:ptCount val="1"/>
                <c:pt idx="0">
                  <c:v>DMSP</c:v>
                </c:pt>
              </c:strCache>
            </c:strRef>
          </c:tx>
          <c:spPr>
            <a:ln w="28575" cap="rnd">
              <a:solidFill>
                <a:schemeClr val="accent2"/>
              </a:solidFill>
              <a:prstDash val="sysDash"/>
              <a:round/>
            </a:ln>
            <a:effectLst/>
          </c:spPr>
          <c:marker>
            <c:symbol val="none"/>
          </c:marker>
          <c:cat>
            <c:numRef>
              <c:f>Sheet1!$A$2:$A$21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Sheet1!$C$2:$C$21</c:f>
              <c:numCache>
                <c:formatCode>General</c:formatCode>
                <c:ptCount val="20"/>
                <c:pt idx="0">
                  <c:v>0.32300000000000001</c:v>
                </c:pt>
                <c:pt idx="1">
                  <c:v>0.33700000000000002</c:v>
                </c:pt>
                <c:pt idx="2">
                  <c:v>0.32100000000000001</c:v>
                </c:pt>
                <c:pt idx="3">
                  <c:v>0.34300000000000003</c:v>
                </c:pt>
                <c:pt idx="4">
                  <c:v>0.36699999999999999</c:v>
                </c:pt>
                <c:pt idx="5">
                  <c:v>0.34699999999999998</c:v>
                </c:pt>
                <c:pt idx="6">
                  <c:v>0.36199999999999999</c:v>
                </c:pt>
                <c:pt idx="7">
                  <c:v>0.379</c:v>
                </c:pt>
                <c:pt idx="8">
                  <c:v>0.38</c:v>
                </c:pt>
                <c:pt idx="9">
                  <c:v>0.38900000000000001</c:v>
                </c:pt>
                <c:pt idx="10">
                  <c:v>0.41099999999999998</c:v>
                </c:pt>
                <c:pt idx="11">
                  <c:v>0.40400000000000003</c:v>
                </c:pt>
                <c:pt idx="12">
                  <c:v>0.39100000000000001</c:v>
                </c:pt>
                <c:pt idx="13">
                  <c:v>0.32900000000000001</c:v>
                </c:pt>
                <c:pt idx="14">
                  <c:v>0.32800000000000001</c:v>
                </c:pt>
                <c:pt idx="15">
                  <c:v>0.32700000000000001</c:v>
                </c:pt>
                <c:pt idx="16">
                  <c:v>0.32600000000000001</c:v>
                </c:pt>
                <c:pt idx="17">
                  <c:v>0.33900000000000002</c:v>
                </c:pt>
                <c:pt idx="18">
                  <c:v>0.34100000000000003</c:v>
                </c:pt>
                <c:pt idx="19">
                  <c:v>0.34699999999999998</c:v>
                </c:pt>
              </c:numCache>
            </c:numRef>
          </c:val>
          <c:smooth val="0"/>
          <c:extLst>
            <c:ext xmlns:c16="http://schemas.microsoft.com/office/drawing/2014/chart" uri="{C3380CC4-5D6E-409C-BE32-E72D297353CC}">
              <c16:uniqueId val="{00000001-90E7-4CDD-B662-BBCF605D28C1}"/>
            </c:ext>
          </c:extLst>
        </c:ser>
        <c:ser>
          <c:idx val="2"/>
          <c:order val="2"/>
          <c:tx>
            <c:strRef>
              <c:f>Sheet1!$D$1</c:f>
              <c:strCache>
                <c:ptCount val="1"/>
                <c:pt idx="0">
                  <c:v>BlackMarble</c:v>
                </c:pt>
              </c:strCache>
            </c:strRef>
          </c:tx>
          <c:spPr>
            <a:ln w="28575" cap="rnd">
              <a:solidFill>
                <a:srgbClr val="C00000"/>
              </a:solidFill>
              <a:prstDash val="dash"/>
              <a:round/>
            </a:ln>
            <a:effectLst/>
          </c:spPr>
          <c:marker>
            <c:symbol val="none"/>
          </c:marker>
          <c:cat>
            <c:numRef>
              <c:f>Sheet1!$A$2:$A$21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Sheet1!$D$2:$D$21</c:f>
              <c:numCache>
                <c:formatCode>General</c:formatCode>
                <c:ptCount val="20"/>
                <c:pt idx="12">
                  <c:v>0.23400000000000001</c:v>
                </c:pt>
                <c:pt idx="13">
                  <c:v>0.23899999999999999</c:v>
                </c:pt>
                <c:pt idx="14">
                  <c:v>0.24</c:v>
                </c:pt>
                <c:pt idx="15">
                  <c:v>0.23799999999999999</c:v>
                </c:pt>
                <c:pt idx="16">
                  <c:v>0.23899999999999999</c:v>
                </c:pt>
                <c:pt idx="17">
                  <c:v>0.24299999999999999</c:v>
                </c:pt>
                <c:pt idx="18">
                  <c:v>0.247</c:v>
                </c:pt>
                <c:pt idx="19">
                  <c:v>0.254</c:v>
                </c:pt>
              </c:numCache>
            </c:numRef>
          </c:val>
          <c:smooth val="0"/>
          <c:extLst>
            <c:ext xmlns:c16="http://schemas.microsoft.com/office/drawing/2014/chart" uri="{C3380CC4-5D6E-409C-BE32-E72D297353CC}">
              <c16:uniqueId val="{00000002-90E7-4CDD-B662-BBCF605D28C1}"/>
            </c:ext>
          </c:extLst>
        </c:ser>
        <c:dLbls>
          <c:showLegendKey val="0"/>
          <c:showVal val="0"/>
          <c:showCatName val="0"/>
          <c:showSerName val="0"/>
          <c:showPercent val="0"/>
          <c:showBubbleSize val="0"/>
        </c:dLbls>
        <c:smooth val="0"/>
        <c:axId val="583540000"/>
        <c:axId val="627015776"/>
      </c:lineChart>
      <c:catAx>
        <c:axId val="58354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tLang="zh-CN" baseline="0">
                    <a:solidFill>
                      <a:schemeClr val="tx1"/>
                    </a:solidFill>
                    <a:latin typeface="Times New Roman" panose="02020603050405020304" pitchFamily="18" charset="0"/>
                  </a:rPr>
                  <a:t>year</a:t>
                </a:r>
                <a:endParaRPr lang="zh-CN" altLang="en-US" baseline="0">
                  <a:solidFill>
                    <a:schemeClr val="tx1"/>
                  </a:solidFill>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627015776"/>
        <c:crosses val="autoZero"/>
        <c:auto val="1"/>
        <c:lblAlgn val="ctr"/>
        <c:lblOffset val="100"/>
        <c:noMultiLvlLbl val="0"/>
      </c:catAx>
      <c:valAx>
        <c:axId val="627015776"/>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ltLang="zh-CN" sz="1100" baseline="0">
                    <a:solidFill>
                      <a:schemeClr val="tx1"/>
                    </a:solidFill>
                    <a:latin typeface="Times New Roman" panose="02020603050405020304" pitchFamily="18" charset="0"/>
                  </a:rPr>
                  <a:t>Moran's I</a:t>
                </a:r>
                <a:endParaRPr lang="zh-CN" altLang="en-US" sz="1100" baseline="0">
                  <a:solidFill>
                    <a:schemeClr val="tx1"/>
                  </a:solidFill>
                  <a:latin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en-US"/>
          </a:p>
        </c:txPr>
        <c:crossAx val="583540000"/>
        <c:crosses val="autoZero"/>
        <c:crossBetween val="between"/>
      </c:valAx>
      <c:spPr>
        <a:noFill/>
        <a:ln>
          <a:noFill/>
        </a:ln>
        <a:effectLst/>
      </c:spPr>
    </c:plotArea>
    <c:legend>
      <c:legendPos val="b"/>
      <c:layout>
        <c:manualLayout>
          <c:xMode val="edge"/>
          <c:yMode val="edge"/>
          <c:x val="0.12869247351786298"/>
          <c:y val="5.0715487189488311E-2"/>
          <c:w val="0.32203226583192879"/>
          <c:h val="0.160842820344051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EB8EC5-A633-4420-8F2B-22602C102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26</Pages>
  <Words>7835</Words>
  <Characters>44664</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University of Waikato</Company>
  <LinksUpToDate>false</LinksUpToDate>
  <CharactersWithSpaces>52395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Gibson</dc:creator>
  <cp:lastModifiedBy>Geua Boe-Gibson</cp:lastModifiedBy>
  <cp:revision>5</cp:revision>
  <cp:lastPrinted>2023-11-07T05:04:00Z</cp:lastPrinted>
  <dcterms:created xsi:type="dcterms:W3CDTF">2023-11-07T04:49:00Z</dcterms:created>
  <dcterms:modified xsi:type="dcterms:W3CDTF">2023-11-07T05:05:00Z</dcterms:modified>
</cp:coreProperties>
</file>