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6A07" w14:textId="77777777" w:rsidR="004932B0" w:rsidRPr="000D7820" w:rsidRDefault="004932B0" w:rsidP="004932B0">
      <w:pPr>
        <w:pStyle w:val="PlainText"/>
        <w:tabs>
          <w:tab w:val="left" w:pos="284"/>
        </w:tabs>
        <w:jc w:val="center"/>
        <w:rPr>
          <w:rFonts w:ascii="Times New Roman" w:hAnsi="Times New Roman" w:cs="Times New Roman"/>
          <w:b/>
          <w:sz w:val="28"/>
        </w:rPr>
      </w:pPr>
      <w:r w:rsidRPr="000D7820">
        <w:rPr>
          <w:rFonts w:ascii="Times New Roman" w:hAnsi="Times New Roman" w:cs="Times New Roman"/>
          <w:b/>
          <w:sz w:val="28"/>
        </w:rPr>
        <w:t>UNIVERSITY OF WAIKATO</w:t>
      </w:r>
    </w:p>
    <w:p w14:paraId="64DA715F" w14:textId="77777777" w:rsidR="004932B0" w:rsidRPr="000D7820" w:rsidRDefault="004932B0" w:rsidP="004932B0">
      <w:pPr>
        <w:pStyle w:val="PlainText"/>
        <w:tabs>
          <w:tab w:val="left" w:pos="284"/>
        </w:tabs>
        <w:jc w:val="center"/>
        <w:rPr>
          <w:rFonts w:ascii="Times New Roman" w:hAnsi="Times New Roman" w:cs="Times New Roman"/>
          <w:b/>
          <w:sz w:val="28"/>
        </w:rPr>
      </w:pPr>
    </w:p>
    <w:p w14:paraId="2B3C39D5" w14:textId="77777777" w:rsidR="004932B0" w:rsidRPr="000D7820" w:rsidRDefault="004932B0" w:rsidP="004932B0">
      <w:pPr>
        <w:pStyle w:val="PlainText"/>
        <w:tabs>
          <w:tab w:val="left" w:pos="284"/>
        </w:tabs>
        <w:jc w:val="center"/>
        <w:rPr>
          <w:rFonts w:ascii="Times New Roman" w:hAnsi="Times New Roman" w:cs="Times New Roman"/>
          <w:b/>
          <w:sz w:val="28"/>
        </w:rPr>
      </w:pPr>
      <w:r w:rsidRPr="000D7820">
        <w:rPr>
          <w:rFonts w:ascii="Times New Roman" w:hAnsi="Times New Roman" w:cs="Times New Roman"/>
          <w:b/>
          <w:sz w:val="28"/>
        </w:rPr>
        <w:t>Hamilton</w:t>
      </w:r>
    </w:p>
    <w:p w14:paraId="40835E92" w14:textId="77777777" w:rsidR="004932B0" w:rsidRPr="000D7820" w:rsidRDefault="004932B0" w:rsidP="004932B0">
      <w:pPr>
        <w:pStyle w:val="PlainText"/>
        <w:tabs>
          <w:tab w:val="left" w:pos="284"/>
        </w:tabs>
        <w:jc w:val="center"/>
        <w:rPr>
          <w:rFonts w:ascii="Times New Roman" w:hAnsi="Times New Roman" w:cs="Times New Roman"/>
          <w:b/>
          <w:sz w:val="28"/>
        </w:rPr>
      </w:pPr>
      <w:smartTag w:uri="urn:schemas-microsoft-com:office:smarttags" w:element="country-region">
        <w:smartTag w:uri="urn:schemas-microsoft-com:office:smarttags" w:element="place">
          <w:r w:rsidRPr="000D7820">
            <w:rPr>
              <w:rFonts w:ascii="Times New Roman" w:hAnsi="Times New Roman" w:cs="Times New Roman"/>
              <w:b/>
              <w:sz w:val="28"/>
            </w:rPr>
            <w:t>New Zealand</w:t>
          </w:r>
        </w:smartTag>
      </w:smartTag>
    </w:p>
    <w:p w14:paraId="0ACFD7BE" w14:textId="77777777" w:rsidR="004932B0" w:rsidRPr="000D7820" w:rsidRDefault="004932B0" w:rsidP="004932B0">
      <w:pPr>
        <w:pStyle w:val="PlainText"/>
        <w:tabs>
          <w:tab w:val="left" w:pos="284"/>
        </w:tabs>
        <w:jc w:val="center"/>
        <w:rPr>
          <w:rFonts w:ascii="Times New Roman" w:hAnsi="Times New Roman" w:cs="Times New Roman"/>
          <w:b/>
          <w:sz w:val="28"/>
        </w:rPr>
      </w:pPr>
    </w:p>
    <w:p w14:paraId="62943930" w14:textId="77777777" w:rsidR="004932B0" w:rsidRPr="000D7820" w:rsidRDefault="004932B0" w:rsidP="004932B0">
      <w:pPr>
        <w:pStyle w:val="PlainText"/>
        <w:tabs>
          <w:tab w:val="left" w:pos="284"/>
        </w:tabs>
        <w:jc w:val="center"/>
        <w:rPr>
          <w:rFonts w:ascii="Times New Roman" w:hAnsi="Times New Roman" w:cs="Times New Roman"/>
          <w:b/>
          <w:sz w:val="28"/>
        </w:rPr>
      </w:pPr>
    </w:p>
    <w:p w14:paraId="6B62C3DF" w14:textId="77777777" w:rsidR="004932B0" w:rsidRPr="000D7820" w:rsidRDefault="004932B0" w:rsidP="004932B0">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cs="Times New Roman"/>
          <w:b/>
          <w:sz w:val="16"/>
          <w:szCs w:val="16"/>
        </w:rPr>
      </w:pPr>
    </w:p>
    <w:p w14:paraId="47012F42" w14:textId="77777777" w:rsidR="004932B0" w:rsidRPr="00344465" w:rsidRDefault="004932B0" w:rsidP="004932B0">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cs="Times New Roman"/>
          <w:b/>
          <w:sz w:val="28"/>
          <w:szCs w:val="28"/>
        </w:rPr>
      </w:pPr>
      <w:r w:rsidRPr="00344465">
        <w:rPr>
          <w:rFonts w:ascii="Times New Roman" w:eastAsia="Arial" w:hAnsi="Times New Roman" w:cs="Times New Roman"/>
          <w:b/>
          <w:bCs/>
          <w:sz w:val="28"/>
          <w:szCs w:val="28"/>
        </w:rPr>
        <w:t>The Changing Effect of Energy and Rice Prices and Remittances on Overall Inflation in Emerging Markets</w:t>
      </w:r>
      <w:r>
        <w:rPr>
          <w:rFonts w:ascii="Times New Roman" w:eastAsia="Arial" w:hAnsi="Times New Roman" w:cs="Times New Roman"/>
          <w:b/>
          <w:bCs/>
          <w:sz w:val="28"/>
          <w:szCs w:val="28"/>
        </w:rPr>
        <w:t xml:space="preserve">: </w:t>
      </w:r>
      <w:r w:rsidRPr="00344465">
        <w:rPr>
          <w:rFonts w:ascii="Times New Roman" w:eastAsia="Arial" w:hAnsi="Times New Roman" w:cs="Times New Roman"/>
          <w:b/>
          <w:bCs/>
          <w:sz w:val="28"/>
          <w:szCs w:val="28"/>
        </w:rPr>
        <w:t>Evidence from the Philippines</w:t>
      </w:r>
    </w:p>
    <w:p w14:paraId="137ECA86" w14:textId="77777777" w:rsidR="004932B0" w:rsidRPr="000D7820" w:rsidRDefault="004932B0" w:rsidP="004932B0">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cs="Times New Roman"/>
          <w:sz w:val="28"/>
          <w:szCs w:val="28"/>
        </w:rPr>
      </w:pPr>
      <w:r w:rsidRPr="000D7820">
        <w:rPr>
          <w:rFonts w:ascii="Times New Roman" w:hAnsi="Times New Roman" w:cs="Times New Roman"/>
          <w:sz w:val="28"/>
        </w:rPr>
        <w:t xml:space="preserve"> </w:t>
      </w:r>
      <w:r>
        <w:rPr>
          <w:rFonts w:ascii="Times New Roman" w:hAnsi="Times New Roman" w:cs="Times New Roman"/>
          <w:sz w:val="28"/>
        </w:rPr>
        <w:t xml:space="preserve">Harold Glenn A. Valera, Mark J. Holmes and Vic K. Delloro </w:t>
      </w:r>
    </w:p>
    <w:p w14:paraId="022C3E77" w14:textId="77777777" w:rsidR="004932B0" w:rsidRPr="00E31E45" w:rsidRDefault="004932B0" w:rsidP="004932B0">
      <w:pPr>
        <w:pStyle w:val="PlainText"/>
        <w:pBdr>
          <w:top w:val="thinThickSmallGap" w:sz="24" w:space="1" w:color="auto"/>
          <w:left w:val="thinThickSmallGap" w:sz="24" w:space="4" w:color="auto"/>
          <w:bottom w:val="thickThinSmallGap" w:sz="24" w:space="1" w:color="auto"/>
          <w:right w:val="thickThinSmallGap" w:sz="24" w:space="4" w:color="auto"/>
        </w:pBdr>
        <w:tabs>
          <w:tab w:val="left" w:pos="284"/>
        </w:tabs>
        <w:spacing w:line="360" w:lineRule="auto"/>
        <w:jc w:val="center"/>
        <w:rPr>
          <w:rFonts w:ascii="Times New Roman" w:hAnsi="Times New Roman" w:cs="Times New Roman"/>
          <w:b/>
          <w:sz w:val="8"/>
        </w:rPr>
      </w:pPr>
    </w:p>
    <w:p w14:paraId="76650F27" w14:textId="77777777" w:rsidR="004932B0" w:rsidRPr="00E31E45" w:rsidRDefault="004932B0" w:rsidP="004932B0">
      <w:pPr>
        <w:pStyle w:val="PlainText"/>
        <w:tabs>
          <w:tab w:val="left" w:pos="284"/>
        </w:tabs>
        <w:jc w:val="both"/>
        <w:rPr>
          <w:rFonts w:ascii="Times New Roman" w:hAnsi="Times New Roman" w:cs="Times New Roman"/>
          <w:b/>
          <w:sz w:val="28"/>
        </w:rPr>
      </w:pPr>
    </w:p>
    <w:p w14:paraId="1E0346A8" w14:textId="77777777" w:rsidR="004932B0" w:rsidRPr="0050031F" w:rsidRDefault="004932B0" w:rsidP="004932B0">
      <w:pPr>
        <w:jc w:val="center"/>
        <w:rPr>
          <w:rFonts w:ascii="Palatino Linotype" w:hAnsi="Palatino Linotype" w:cs="Times New Roman"/>
        </w:rPr>
      </w:pPr>
      <w:r w:rsidRPr="0050031F">
        <w:rPr>
          <w:rFonts w:ascii="Palatino Linotype" w:hAnsi="Palatino Linotype" w:cs="Times New Roman"/>
        </w:rPr>
        <w:t xml:space="preserve"> </w:t>
      </w:r>
    </w:p>
    <w:p w14:paraId="7EBA4C68" w14:textId="77777777" w:rsidR="004932B0" w:rsidRPr="000D7820" w:rsidRDefault="004932B0" w:rsidP="004932B0">
      <w:pPr>
        <w:pStyle w:val="PlainText"/>
        <w:tabs>
          <w:tab w:val="left" w:pos="284"/>
        </w:tabs>
        <w:spacing w:before="100" w:line="360" w:lineRule="auto"/>
        <w:jc w:val="center"/>
        <w:rPr>
          <w:rFonts w:ascii="Times New Roman" w:hAnsi="Times New Roman" w:cs="Times New Roman"/>
          <w:b/>
          <w:bCs/>
          <w:sz w:val="28"/>
        </w:rPr>
      </w:pPr>
      <w:r w:rsidRPr="000D7820">
        <w:rPr>
          <w:rFonts w:ascii="Times New Roman" w:hAnsi="Times New Roman" w:cs="Times New Roman"/>
          <w:b/>
          <w:bCs/>
          <w:sz w:val="28"/>
        </w:rPr>
        <w:t>Department of Economics</w:t>
      </w:r>
    </w:p>
    <w:p w14:paraId="4C122685" w14:textId="77777777" w:rsidR="004932B0" w:rsidRPr="000D7820" w:rsidRDefault="004932B0" w:rsidP="004932B0">
      <w:pPr>
        <w:pStyle w:val="PlainText"/>
        <w:tabs>
          <w:tab w:val="left" w:pos="284"/>
        </w:tabs>
        <w:spacing w:before="100" w:line="360" w:lineRule="auto"/>
        <w:jc w:val="center"/>
        <w:rPr>
          <w:rFonts w:ascii="Times New Roman" w:hAnsi="Times New Roman" w:cs="Times New Roman"/>
          <w:b/>
          <w:bCs/>
          <w:sz w:val="28"/>
        </w:rPr>
      </w:pPr>
      <w:r w:rsidRPr="000D7820">
        <w:rPr>
          <w:rFonts w:ascii="Times New Roman" w:hAnsi="Times New Roman" w:cs="Times New Roman"/>
          <w:b/>
          <w:bCs/>
          <w:sz w:val="28"/>
        </w:rPr>
        <w:t>Working Paper in Economics 5/</w:t>
      </w:r>
      <w:r>
        <w:rPr>
          <w:rFonts w:ascii="Times New Roman" w:hAnsi="Times New Roman" w:cs="Times New Roman"/>
          <w:b/>
          <w:bCs/>
          <w:sz w:val="28"/>
        </w:rPr>
        <w:t>25</w:t>
      </w:r>
    </w:p>
    <w:p w14:paraId="6F5C9627" w14:textId="77777777" w:rsidR="004932B0" w:rsidRDefault="004932B0" w:rsidP="004932B0">
      <w:pPr>
        <w:pStyle w:val="PlainText"/>
        <w:tabs>
          <w:tab w:val="left" w:pos="284"/>
        </w:tabs>
        <w:spacing w:before="100" w:line="360" w:lineRule="auto"/>
        <w:jc w:val="center"/>
        <w:rPr>
          <w:rFonts w:ascii="Times New Roman" w:hAnsi="Times New Roman" w:cs="Times New Roman"/>
          <w:sz w:val="28"/>
        </w:rPr>
      </w:pPr>
      <w:r>
        <w:rPr>
          <w:rFonts w:ascii="Times New Roman" w:hAnsi="Times New Roman" w:cs="Times New Roman"/>
          <w:sz w:val="28"/>
        </w:rPr>
        <w:t>May 2025</w:t>
      </w:r>
    </w:p>
    <w:tbl>
      <w:tblPr>
        <w:tblW w:w="0" w:type="auto"/>
        <w:tblLook w:val="04A0" w:firstRow="1" w:lastRow="0" w:firstColumn="1" w:lastColumn="0" w:noHBand="0" w:noVBand="1"/>
      </w:tblPr>
      <w:tblGrid>
        <w:gridCol w:w="4513"/>
        <w:gridCol w:w="4513"/>
      </w:tblGrid>
      <w:tr w:rsidR="004932B0" w:rsidRPr="000D7820" w14:paraId="7B492A1F" w14:textId="77777777" w:rsidTr="00425413">
        <w:tc>
          <w:tcPr>
            <w:tcW w:w="4621" w:type="dxa"/>
          </w:tcPr>
          <w:p w14:paraId="4DF94E34" w14:textId="77777777" w:rsidR="004932B0" w:rsidRPr="000D7820" w:rsidRDefault="004932B0" w:rsidP="00425413">
            <w:pPr>
              <w:pStyle w:val="Default"/>
              <w:jc w:val="center"/>
            </w:pPr>
          </w:p>
        </w:tc>
        <w:tc>
          <w:tcPr>
            <w:tcW w:w="4621" w:type="dxa"/>
          </w:tcPr>
          <w:p w14:paraId="7039FA6D" w14:textId="77777777" w:rsidR="004932B0" w:rsidRPr="000D7820" w:rsidRDefault="004932B0" w:rsidP="00425413">
            <w:pPr>
              <w:pStyle w:val="CM3"/>
              <w:jc w:val="center"/>
              <w:rPr>
                <w:b/>
                <w:lang w:val="it-IT"/>
              </w:rPr>
            </w:pPr>
          </w:p>
        </w:tc>
      </w:tr>
    </w:tbl>
    <w:p w14:paraId="40E1D149" w14:textId="77777777" w:rsidR="004932B0" w:rsidRPr="000D7820" w:rsidRDefault="004932B0" w:rsidP="004932B0">
      <w:pPr>
        <w:pStyle w:val="CM4"/>
        <w:spacing w:after="100" w:line="240" w:lineRule="auto"/>
        <w:jc w:val="center"/>
        <w:rPr>
          <w:bCs/>
          <w:i/>
        </w:rPr>
      </w:pPr>
      <w:r w:rsidRPr="000D7820">
        <w:rPr>
          <w:bCs/>
          <w:i/>
        </w:rPr>
        <w:t>Corresponding Author</w:t>
      </w:r>
    </w:p>
    <w:p w14:paraId="3226B842" w14:textId="77777777" w:rsidR="004932B0" w:rsidRPr="000D7820" w:rsidRDefault="004932B0" w:rsidP="004932B0">
      <w:pPr>
        <w:jc w:val="center"/>
        <w:rPr>
          <w:rFonts w:ascii="Times New Roman" w:hAnsi="Times New Roman" w:cs="Times New Roman"/>
          <w:b/>
          <w:sz w:val="24"/>
          <w:szCs w:val="24"/>
        </w:rPr>
      </w:pPr>
      <w:r>
        <w:rPr>
          <w:rFonts w:ascii="Times New Roman" w:hAnsi="Times New Roman" w:cs="Times New Roman"/>
          <w:b/>
          <w:sz w:val="24"/>
          <w:szCs w:val="24"/>
        </w:rPr>
        <w:t>Harold Glenn A. Valera</w:t>
      </w:r>
    </w:p>
    <w:p w14:paraId="1277948B" w14:textId="77777777" w:rsidR="004932B0" w:rsidRDefault="004932B0" w:rsidP="004932B0">
      <w:pPr>
        <w:pStyle w:val="CM23"/>
        <w:spacing w:after="0"/>
        <w:jc w:val="center"/>
      </w:pPr>
      <w:r>
        <w:t>BSP Research Academy</w:t>
      </w:r>
    </w:p>
    <w:p w14:paraId="783D7E67" w14:textId="77777777" w:rsidR="00F01F84" w:rsidRDefault="004932B0" w:rsidP="004932B0">
      <w:pPr>
        <w:pStyle w:val="CM23"/>
        <w:spacing w:after="0"/>
        <w:jc w:val="center"/>
      </w:pPr>
      <w:proofErr w:type="spellStart"/>
      <w:r>
        <w:t>Bangko</w:t>
      </w:r>
      <w:proofErr w:type="spellEnd"/>
      <w:r>
        <w:t xml:space="preserve"> Sentr</w:t>
      </w:r>
      <w:r w:rsidR="00E32900">
        <w:t>a</w:t>
      </w:r>
      <w:r>
        <w:t xml:space="preserve">l ng </w:t>
      </w:r>
      <w:proofErr w:type="spellStart"/>
      <w:r>
        <w:t>Pilipinas</w:t>
      </w:r>
      <w:proofErr w:type="spellEnd"/>
    </w:p>
    <w:p w14:paraId="6F975DD1" w14:textId="6E28FD85" w:rsidR="00F01F84" w:rsidRDefault="00F01F84" w:rsidP="00F01F84">
      <w:pPr>
        <w:pStyle w:val="Default"/>
        <w:jc w:val="center"/>
        <w:rPr>
          <w:lang w:val="en-US"/>
        </w:rPr>
      </w:pPr>
      <w:r w:rsidRPr="00F01F84">
        <w:rPr>
          <w:lang w:val="en-US"/>
        </w:rPr>
        <w:t>Malate</w:t>
      </w:r>
      <w:r>
        <w:rPr>
          <w:lang w:val="en-US"/>
        </w:rPr>
        <w:t xml:space="preserve"> 1004</w:t>
      </w:r>
      <w:r w:rsidRPr="00F01F84">
        <w:rPr>
          <w:lang w:val="en-US"/>
        </w:rPr>
        <w:t>, Manila</w:t>
      </w:r>
    </w:p>
    <w:p w14:paraId="21D205DC" w14:textId="38E3C85E" w:rsidR="00F01F84" w:rsidRPr="00F01F84" w:rsidRDefault="00F01F84" w:rsidP="00F01F84">
      <w:pPr>
        <w:pStyle w:val="Default"/>
        <w:jc w:val="center"/>
        <w:rPr>
          <w:lang w:val="en-US"/>
        </w:rPr>
      </w:pPr>
      <w:r>
        <w:rPr>
          <w:lang w:val="en-US"/>
        </w:rPr>
        <w:t>Philippines</w:t>
      </w:r>
    </w:p>
    <w:p w14:paraId="289672D5" w14:textId="77777777" w:rsidR="004932B0" w:rsidRPr="000D7820" w:rsidRDefault="004932B0" w:rsidP="004932B0">
      <w:pPr>
        <w:pStyle w:val="CM3"/>
        <w:jc w:val="center"/>
        <w:rPr>
          <w:bCs/>
          <w:color w:val="000000" w:themeColor="text1"/>
          <w:lang w:val="it-IT"/>
        </w:rPr>
      </w:pPr>
      <w:r w:rsidRPr="000D7820">
        <w:rPr>
          <w:bCs/>
          <w:lang w:val="it-IT"/>
        </w:rPr>
        <w:t xml:space="preserve">Email: </w:t>
      </w:r>
      <w:r w:rsidRPr="00645838">
        <w:t>ValeraHA@bsp.gov.ph</w:t>
      </w:r>
    </w:p>
    <w:p w14:paraId="2EC01D3D" w14:textId="77777777" w:rsidR="004932B0" w:rsidRDefault="004932B0" w:rsidP="001503F2">
      <w:pPr>
        <w:spacing w:before="100" w:line="288" w:lineRule="auto"/>
        <w:jc w:val="center"/>
        <w:rPr>
          <w:rFonts w:ascii="Times New Roman" w:hAnsi="Times New Roman" w:cs="Times New Roman"/>
          <w:b/>
          <w:sz w:val="24"/>
          <w:szCs w:val="24"/>
        </w:rPr>
      </w:pPr>
    </w:p>
    <w:p w14:paraId="1B2E680E" w14:textId="77777777" w:rsidR="004932B0" w:rsidRPr="000D7820" w:rsidRDefault="004932B0" w:rsidP="004932B0">
      <w:pPr>
        <w:jc w:val="center"/>
        <w:rPr>
          <w:rFonts w:ascii="Times New Roman" w:hAnsi="Times New Roman" w:cs="Times New Roman"/>
          <w:b/>
          <w:sz w:val="24"/>
          <w:szCs w:val="24"/>
        </w:rPr>
      </w:pPr>
      <w:r>
        <w:rPr>
          <w:rFonts w:ascii="Times New Roman" w:hAnsi="Times New Roman" w:cs="Times New Roman"/>
          <w:b/>
          <w:sz w:val="24"/>
          <w:szCs w:val="24"/>
        </w:rPr>
        <w:t>Mark J. Holmes</w:t>
      </w:r>
    </w:p>
    <w:p w14:paraId="5E5AB215" w14:textId="77777777" w:rsidR="004932B0" w:rsidRPr="000D7820" w:rsidRDefault="004932B0" w:rsidP="004932B0">
      <w:pPr>
        <w:pStyle w:val="CM23"/>
        <w:spacing w:after="0"/>
        <w:jc w:val="center"/>
      </w:pPr>
      <w:r>
        <w:t>School of Accounting, Finance and Economics</w:t>
      </w:r>
    </w:p>
    <w:p w14:paraId="586EB707" w14:textId="77777777" w:rsidR="004932B0" w:rsidRPr="000D7820" w:rsidRDefault="004932B0" w:rsidP="004932B0">
      <w:pPr>
        <w:pStyle w:val="CM23"/>
        <w:spacing w:after="0"/>
        <w:jc w:val="center"/>
      </w:pPr>
      <w:r w:rsidRPr="000D7820">
        <w:t>University of Waikato</w:t>
      </w:r>
    </w:p>
    <w:p w14:paraId="2A707ADC" w14:textId="77777777" w:rsidR="004932B0" w:rsidRPr="000D7820" w:rsidRDefault="004932B0" w:rsidP="004932B0">
      <w:pPr>
        <w:pStyle w:val="CM23"/>
        <w:spacing w:after="0"/>
        <w:jc w:val="center"/>
      </w:pPr>
      <w:r w:rsidRPr="000D7820">
        <w:t>Hamilton, 3240</w:t>
      </w:r>
    </w:p>
    <w:p w14:paraId="3826124E" w14:textId="3E166D95" w:rsidR="004932B0" w:rsidRPr="000D7820" w:rsidRDefault="004932B0" w:rsidP="004932B0">
      <w:pPr>
        <w:pStyle w:val="CM23"/>
        <w:spacing w:after="0"/>
        <w:jc w:val="center"/>
      </w:pPr>
      <w:r w:rsidRPr="000D7820">
        <w:t>N</w:t>
      </w:r>
      <w:r w:rsidR="00F01F84">
        <w:t>ew</w:t>
      </w:r>
      <w:r w:rsidRPr="000D7820">
        <w:t xml:space="preserve"> Z</w:t>
      </w:r>
      <w:r w:rsidR="00F01F84">
        <w:t>ealand</w:t>
      </w:r>
      <w:r w:rsidRPr="000D7820">
        <w:t xml:space="preserve"> </w:t>
      </w:r>
    </w:p>
    <w:p w14:paraId="2798FFA5" w14:textId="77777777" w:rsidR="004932B0" w:rsidRPr="000D7820" w:rsidRDefault="004932B0" w:rsidP="004932B0">
      <w:pPr>
        <w:pStyle w:val="CM3"/>
        <w:jc w:val="center"/>
        <w:rPr>
          <w:bCs/>
          <w:color w:val="000000" w:themeColor="text1"/>
          <w:lang w:val="it-IT"/>
        </w:rPr>
      </w:pPr>
      <w:r w:rsidRPr="000D7820">
        <w:rPr>
          <w:bCs/>
          <w:lang w:val="it-IT"/>
        </w:rPr>
        <w:t xml:space="preserve">Email: </w:t>
      </w:r>
      <w:r w:rsidRPr="000D7820">
        <w:rPr>
          <w:bCs/>
        </w:rPr>
        <w:t>holmesmj@waikato.ac.nz</w:t>
      </w:r>
    </w:p>
    <w:p w14:paraId="33943775" w14:textId="77777777" w:rsidR="004932B0" w:rsidRDefault="004932B0" w:rsidP="004932B0">
      <w:pPr>
        <w:spacing w:before="100" w:line="288" w:lineRule="auto"/>
        <w:jc w:val="center"/>
        <w:rPr>
          <w:rFonts w:ascii="Times New Roman" w:hAnsi="Times New Roman" w:cs="Times New Roman"/>
          <w:b/>
          <w:sz w:val="24"/>
          <w:szCs w:val="24"/>
        </w:rPr>
      </w:pPr>
    </w:p>
    <w:p w14:paraId="5820472A" w14:textId="77777777" w:rsidR="004932B0" w:rsidRPr="000D7820" w:rsidRDefault="004932B0" w:rsidP="004932B0">
      <w:pPr>
        <w:spacing w:before="100" w:line="288" w:lineRule="auto"/>
        <w:jc w:val="center"/>
        <w:rPr>
          <w:rFonts w:ascii="Times New Roman" w:hAnsi="Times New Roman" w:cs="Times New Roman"/>
          <w:b/>
          <w:sz w:val="24"/>
          <w:szCs w:val="24"/>
        </w:rPr>
      </w:pPr>
      <w:r>
        <w:rPr>
          <w:rFonts w:ascii="Times New Roman" w:hAnsi="Times New Roman" w:cs="Times New Roman"/>
          <w:b/>
          <w:sz w:val="24"/>
          <w:szCs w:val="24"/>
        </w:rPr>
        <w:t>Vic K. Delloro</w:t>
      </w:r>
    </w:p>
    <w:p w14:paraId="0C5DF1B0" w14:textId="17AFC6DD" w:rsidR="00E32900" w:rsidRDefault="004932B0" w:rsidP="00E32900">
      <w:pPr>
        <w:jc w:val="center"/>
        <w:rPr>
          <w:rFonts w:ascii="Times New Roman" w:hAnsi="Times New Roman" w:cs="Times New Roman"/>
          <w:sz w:val="24"/>
          <w:szCs w:val="24"/>
        </w:rPr>
      </w:pPr>
      <w:proofErr w:type="spellStart"/>
      <w:r w:rsidRPr="004932B0">
        <w:rPr>
          <w:rFonts w:ascii="Times New Roman" w:hAnsi="Times New Roman" w:cs="Times New Roman"/>
          <w:sz w:val="24"/>
          <w:szCs w:val="24"/>
        </w:rPr>
        <w:t>Bangko</w:t>
      </w:r>
      <w:proofErr w:type="spellEnd"/>
      <w:r w:rsidRPr="004932B0">
        <w:rPr>
          <w:rFonts w:ascii="Times New Roman" w:hAnsi="Times New Roman" w:cs="Times New Roman"/>
          <w:sz w:val="24"/>
          <w:szCs w:val="24"/>
        </w:rPr>
        <w:t xml:space="preserve"> Sentr</w:t>
      </w:r>
      <w:r w:rsidR="00E32900">
        <w:rPr>
          <w:rFonts w:ascii="Times New Roman" w:hAnsi="Times New Roman" w:cs="Times New Roman"/>
          <w:sz w:val="24"/>
          <w:szCs w:val="24"/>
        </w:rPr>
        <w:t>a</w:t>
      </w:r>
      <w:r w:rsidRPr="004932B0">
        <w:rPr>
          <w:rFonts w:ascii="Times New Roman" w:hAnsi="Times New Roman" w:cs="Times New Roman"/>
          <w:sz w:val="24"/>
          <w:szCs w:val="24"/>
        </w:rPr>
        <w:t xml:space="preserve">l ng </w:t>
      </w:r>
      <w:proofErr w:type="spellStart"/>
      <w:r w:rsidRPr="004932B0">
        <w:rPr>
          <w:rFonts w:ascii="Times New Roman" w:hAnsi="Times New Roman" w:cs="Times New Roman"/>
          <w:sz w:val="24"/>
          <w:szCs w:val="24"/>
        </w:rPr>
        <w:t>Pilipinas</w:t>
      </w:r>
      <w:proofErr w:type="spellEnd"/>
    </w:p>
    <w:p w14:paraId="5AE907F9" w14:textId="77777777" w:rsidR="00F01F84" w:rsidRDefault="00F01F84" w:rsidP="00F01F84">
      <w:pPr>
        <w:pStyle w:val="Default"/>
        <w:jc w:val="center"/>
        <w:rPr>
          <w:lang w:val="en-US"/>
        </w:rPr>
      </w:pPr>
      <w:r w:rsidRPr="00F01F84">
        <w:rPr>
          <w:lang w:val="en-US"/>
        </w:rPr>
        <w:t>Malate</w:t>
      </w:r>
      <w:r>
        <w:rPr>
          <w:lang w:val="en-US"/>
        </w:rPr>
        <w:t xml:space="preserve"> 1004</w:t>
      </w:r>
      <w:r w:rsidRPr="00F01F84">
        <w:rPr>
          <w:lang w:val="en-US"/>
        </w:rPr>
        <w:t>, Manila</w:t>
      </w:r>
    </w:p>
    <w:p w14:paraId="38E3D165" w14:textId="77777777" w:rsidR="00F01F84" w:rsidRPr="00F01F84" w:rsidRDefault="00F01F84" w:rsidP="00F01F84">
      <w:pPr>
        <w:pStyle w:val="Default"/>
        <w:jc w:val="center"/>
        <w:rPr>
          <w:lang w:val="en-US"/>
        </w:rPr>
      </w:pPr>
      <w:r>
        <w:rPr>
          <w:lang w:val="en-US"/>
        </w:rPr>
        <w:t>Philippines</w:t>
      </w:r>
    </w:p>
    <w:p w14:paraId="1DB46ACD" w14:textId="476B40B2" w:rsidR="00F01F84" w:rsidRPr="00F01F84" w:rsidRDefault="00F01F84" w:rsidP="00F01F84">
      <w:pPr>
        <w:jc w:val="center"/>
        <w:rPr>
          <w:rFonts w:ascii="Times New Roman" w:hAnsi="Times New Roman" w:cs="Times New Roman"/>
          <w:sz w:val="24"/>
          <w:szCs w:val="24"/>
        </w:rPr>
      </w:pPr>
      <w:r w:rsidRPr="00F01F84">
        <w:rPr>
          <w:rFonts w:ascii="Times New Roman" w:hAnsi="Times New Roman" w:cs="Times New Roman"/>
          <w:bCs/>
          <w:sz w:val="24"/>
          <w:szCs w:val="24"/>
          <w:lang w:val="it-IT"/>
        </w:rPr>
        <w:t xml:space="preserve">Email: </w:t>
      </w:r>
      <w:r>
        <w:rPr>
          <w:rFonts w:ascii="Times New Roman" w:hAnsi="Times New Roman" w:cs="Times New Roman"/>
          <w:sz w:val="24"/>
          <w:szCs w:val="24"/>
        </w:rPr>
        <w:t>vicdelloro</w:t>
      </w:r>
      <w:r w:rsidRPr="00F01F84">
        <w:rPr>
          <w:rFonts w:ascii="Times New Roman" w:hAnsi="Times New Roman" w:cs="Times New Roman"/>
          <w:sz w:val="24"/>
          <w:szCs w:val="24"/>
        </w:rPr>
        <w:t>@bsp.gov.ph</w:t>
      </w:r>
    </w:p>
    <w:p w14:paraId="708D11D7" w14:textId="093B3FC2" w:rsidR="004932B0" w:rsidRPr="00792324" w:rsidRDefault="004932B0" w:rsidP="00E32900">
      <w:pPr>
        <w:jc w:val="center"/>
        <w:rPr>
          <w:rFonts w:ascii="Times New Roman" w:eastAsia="Arial" w:hAnsi="Times New Roman" w:cs="Times New Roman"/>
          <w:color w:val="2F5496" w:themeColor="accent1" w:themeShade="BF"/>
          <w:sz w:val="24"/>
          <w:szCs w:val="24"/>
          <w:lang w:val="en-US" w:eastAsia="en-US"/>
        </w:rPr>
      </w:pPr>
      <w:r w:rsidRPr="004932B0">
        <w:rPr>
          <w:rStyle w:val="Strong"/>
          <w:rFonts w:ascii="Times New Roman" w:hAnsi="Times New Roman" w:cs="Times New Roman"/>
          <w:iCs/>
          <w:sz w:val="24"/>
          <w:szCs w:val="24"/>
          <w:lang w:val="it-IT"/>
        </w:rPr>
        <w:t xml:space="preserve"> </w:t>
      </w:r>
    </w:p>
    <w:p w14:paraId="6B0E4181" w14:textId="77777777" w:rsidR="00F01F84" w:rsidRDefault="00F01F84" w:rsidP="00792324">
      <w:pPr>
        <w:jc w:val="center"/>
        <w:rPr>
          <w:rFonts w:ascii="Times New Roman" w:hAnsi="Times New Roman" w:cs="Times New Roman"/>
          <w:b/>
          <w:bCs/>
          <w:sz w:val="24"/>
          <w:szCs w:val="24"/>
        </w:rPr>
      </w:pPr>
      <w:bookmarkStart w:id="0" w:name="_Toc197460309"/>
    </w:p>
    <w:p w14:paraId="7152CF31" w14:textId="77777777" w:rsidR="00F01F84" w:rsidRDefault="00F01F84" w:rsidP="00792324">
      <w:pPr>
        <w:jc w:val="center"/>
        <w:rPr>
          <w:rFonts w:ascii="Times New Roman" w:hAnsi="Times New Roman" w:cs="Times New Roman"/>
          <w:b/>
          <w:bCs/>
          <w:sz w:val="24"/>
          <w:szCs w:val="24"/>
        </w:rPr>
      </w:pPr>
    </w:p>
    <w:p w14:paraId="5E6BD53C" w14:textId="77777777" w:rsidR="00F01F84" w:rsidRDefault="00F01F84" w:rsidP="00792324">
      <w:pPr>
        <w:jc w:val="center"/>
        <w:rPr>
          <w:rFonts w:ascii="Times New Roman" w:hAnsi="Times New Roman" w:cs="Times New Roman"/>
          <w:b/>
          <w:bCs/>
          <w:sz w:val="24"/>
          <w:szCs w:val="24"/>
        </w:rPr>
      </w:pPr>
    </w:p>
    <w:p w14:paraId="2CEEEE64" w14:textId="77777777" w:rsidR="00F01F84" w:rsidRDefault="00F01F84" w:rsidP="00792324">
      <w:pPr>
        <w:jc w:val="center"/>
        <w:rPr>
          <w:rFonts w:ascii="Times New Roman" w:hAnsi="Times New Roman" w:cs="Times New Roman"/>
          <w:b/>
          <w:bCs/>
          <w:sz w:val="24"/>
          <w:szCs w:val="24"/>
        </w:rPr>
      </w:pPr>
    </w:p>
    <w:p w14:paraId="20C60138" w14:textId="2DAEFB64" w:rsidR="005E7390" w:rsidRPr="00792324" w:rsidRDefault="005E7390" w:rsidP="00792324">
      <w:pPr>
        <w:jc w:val="center"/>
        <w:rPr>
          <w:rFonts w:ascii="Times New Roman" w:hAnsi="Times New Roman" w:cs="Times New Roman"/>
          <w:b/>
          <w:bCs/>
          <w:sz w:val="24"/>
          <w:szCs w:val="24"/>
        </w:rPr>
      </w:pPr>
      <w:r w:rsidRPr="00792324">
        <w:rPr>
          <w:rFonts w:ascii="Times New Roman" w:hAnsi="Times New Roman" w:cs="Times New Roman"/>
          <w:b/>
          <w:bCs/>
          <w:sz w:val="24"/>
          <w:szCs w:val="24"/>
        </w:rPr>
        <w:t>Abstract</w:t>
      </w:r>
      <w:bookmarkEnd w:id="0"/>
    </w:p>
    <w:p w14:paraId="51A67FA5" w14:textId="77777777" w:rsidR="00E17E31" w:rsidRPr="00D6728E" w:rsidRDefault="00E17E31" w:rsidP="00F8039A">
      <w:pPr>
        <w:rPr>
          <w:b/>
        </w:rPr>
      </w:pPr>
    </w:p>
    <w:p w14:paraId="641E7143" w14:textId="77777777" w:rsidR="009F2F12" w:rsidRPr="00F504AE" w:rsidRDefault="009F2F12" w:rsidP="005A6EEC">
      <w:pPr>
        <w:spacing w:line="360" w:lineRule="auto"/>
        <w:ind w:right="28"/>
        <w:jc w:val="both"/>
        <w:rPr>
          <w:rFonts w:ascii="Times New Roman" w:eastAsia="Arial" w:hAnsi="Times New Roman" w:cs="Times New Roman"/>
          <w:spacing w:val="-2"/>
          <w:sz w:val="24"/>
          <w:szCs w:val="24"/>
        </w:rPr>
      </w:pPr>
      <w:r w:rsidRPr="00F504AE">
        <w:rPr>
          <w:rFonts w:ascii="Times New Roman" w:eastAsia="Arial" w:hAnsi="Times New Roman" w:cs="Times New Roman"/>
          <w:spacing w:val="-2"/>
          <w:sz w:val="24"/>
          <w:szCs w:val="24"/>
        </w:rPr>
        <w:t>In this paper, we address the challenge of using aggregate data to study the effects of fuel and rice prices on overall inflation in emerging markets. Our quantile regression analysis using the Philippines' province-level monthly data from 1996 to 2024 finds a strong impact during periods of higher inflation. Indeed, this impact is verified in Indonesia, Thailand, and India. We also find that inflation targeting and rice tariffication reduce such an impact and that high-poverty and rice-deficit areas exhibit a higher fall in rice inflation effect post-tariffication. In addition, the impact of remittances on Philippine inflation is nonlinear, while it is asymmetric for the other three countries.</w:t>
      </w:r>
    </w:p>
    <w:p w14:paraId="7EEC0089" w14:textId="77777777" w:rsidR="009F2F12" w:rsidRDefault="009F2F12" w:rsidP="009F2F12">
      <w:pPr>
        <w:tabs>
          <w:tab w:val="left" w:pos="426"/>
        </w:tabs>
        <w:spacing w:line="288" w:lineRule="auto"/>
        <w:jc w:val="center"/>
        <w:rPr>
          <w:rFonts w:ascii="Times New Roman" w:hAnsi="Times New Roman" w:cs="Times New Roman"/>
          <w:b/>
          <w:sz w:val="24"/>
          <w:szCs w:val="24"/>
        </w:rPr>
      </w:pPr>
    </w:p>
    <w:p w14:paraId="3EDD88DF" w14:textId="77777777" w:rsidR="009F2F12" w:rsidRPr="00A540D5" w:rsidRDefault="009F2F12" w:rsidP="001503F2">
      <w:pPr>
        <w:tabs>
          <w:tab w:val="left" w:pos="426"/>
        </w:tabs>
        <w:spacing w:after="120" w:line="288" w:lineRule="auto"/>
        <w:jc w:val="center"/>
        <w:rPr>
          <w:rFonts w:ascii="Times New Roman" w:hAnsi="Times New Roman" w:cs="Times New Roman"/>
          <w:b/>
          <w:sz w:val="24"/>
          <w:szCs w:val="24"/>
        </w:rPr>
      </w:pPr>
      <w:r w:rsidRPr="00A540D5">
        <w:rPr>
          <w:rFonts w:ascii="Times New Roman" w:hAnsi="Times New Roman" w:cs="Times New Roman"/>
          <w:b/>
          <w:sz w:val="24"/>
          <w:szCs w:val="24"/>
        </w:rPr>
        <w:t>Key words</w:t>
      </w:r>
    </w:p>
    <w:p w14:paraId="53D8ABA7" w14:textId="77777777" w:rsidR="009F2F12" w:rsidRDefault="009F2F12" w:rsidP="009F2F12">
      <w:pPr>
        <w:tabs>
          <w:tab w:val="left" w:pos="426"/>
        </w:tabs>
        <w:spacing w:line="288" w:lineRule="auto"/>
        <w:jc w:val="center"/>
        <w:rPr>
          <w:rFonts w:ascii="Times New Roman" w:eastAsia="Arial" w:hAnsi="Times New Roman" w:cs="Times New Roman"/>
          <w:sz w:val="24"/>
          <w:szCs w:val="24"/>
        </w:rPr>
      </w:pPr>
      <w:r w:rsidRPr="006E7F28">
        <w:rPr>
          <w:rFonts w:ascii="Times New Roman" w:eastAsia="Arial" w:hAnsi="Times New Roman" w:cs="Times New Roman"/>
          <w:sz w:val="24"/>
          <w:szCs w:val="24"/>
        </w:rPr>
        <w:t xml:space="preserve">CPI inflation </w:t>
      </w:r>
    </w:p>
    <w:p w14:paraId="3A3DFAF0" w14:textId="77777777" w:rsidR="009F2F12" w:rsidRDefault="009F2F12" w:rsidP="009F2F12">
      <w:pPr>
        <w:tabs>
          <w:tab w:val="left" w:pos="426"/>
        </w:tabs>
        <w:spacing w:line="288" w:lineRule="auto"/>
        <w:jc w:val="center"/>
        <w:rPr>
          <w:rFonts w:ascii="Times New Roman" w:eastAsia="Arial" w:hAnsi="Times New Roman" w:cs="Times New Roman"/>
          <w:sz w:val="24"/>
          <w:szCs w:val="24"/>
        </w:rPr>
      </w:pPr>
      <w:r w:rsidRPr="006E7F28">
        <w:rPr>
          <w:rFonts w:ascii="Times New Roman" w:eastAsia="Arial" w:hAnsi="Times New Roman" w:cs="Times New Roman"/>
          <w:sz w:val="24"/>
          <w:szCs w:val="24"/>
        </w:rPr>
        <w:t>energy and rice prices</w:t>
      </w:r>
    </w:p>
    <w:p w14:paraId="76D097C9" w14:textId="77777777" w:rsidR="009F2F12" w:rsidRDefault="009F2F12" w:rsidP="009F2F12">
      <w:pPr>
        <w:tabs>
          <w:tab w:val="left" w:pos="426"/>
        </w:tabs>
        <w:spacing w:line="288" w:lineRule="auto"/>
        <w:jc w:val="center"/>
        <w:rPr>
          <w:rFonts w:ascii="Times New Roman" w:eastAsia="Arial" w:hAnsi="Times New Roman" w:cs="Times New Roman"/>
          <w:sz w:val="24"/>
          <w:szCs w:val="24"/>
        </w:rPr>
      </w:pPr>
      <w:r w:rsidRPr="006E7F28">
        <w:rPr>
          <w:rFonts w:ascii="Times New Roman" w:eastAsia="Arial" w:hAnsi="Times New Roman" w:cs="Times New Roman"/>
          <w:sz w:val="24"/>
          <w:szCs w:val="24"/>
        </w:rPr>
        <w:t>remittances</w:t>
      </w:r>
    </w:p>
    <w:p w14:paraId="3B5BE89D" w14:textId="77777777" w:rsidR="009F2F12" w:rsidRDefault="009F2F12" w:rsidP="009F2F12">
      <w:pPr>
        <w:tabs>
          <w:tab w:val="left" w:pos="426"/>
        </w:tabs>
        <w:spacing w:line="288" w:lineRule="auto"/>
        <w:jc w:val="center"/>
        <w:rPr>
          <w:rFonts w:ascii="Times New Roman" w:eastAsia="Arial" w:hAnsi="Times New Roman" w:cs="Times New Roman"/>
          <w:sz w:val="24"/>
          <w:szCs w:val="24"/>
        </w:rPr>
      </w:pPr>
      <w:r w:rsidRPr="006E7F28">
        <w:rPr>
          <w:rFonts w:ascii="Times New Roman" w:eastAsia="Arial" w:hAnsi="Times New Roman" w:cs="Times New Roman"/>
          <w:sz w:val="24"/>
          <w:szCs w:val="24"/>
        </w:rPr>
        <w:t>quantile regression</w:t>
      </w:r>
    </w:p>
    <w:p w14:paraId="4FF7ACC5" w14:textId="77777777" w:rsidR="009F2F12" w:rsidRDefault="009F2F12" w:rsidP="009F2F12">
      <w:pPr>
        <w:tabs>
          <w:tab w:val="left" w:pos="426"/>
        </w:tabs>
        <w:spacing w:line="288" w:lineRule="auto"/>
        <w:jc w:val="center"/>
        <w:rPr>
          <w:rFonts w:ascii="Times New Roman" w:eastAsia="Arial" w:hAnsi="Times New Roman" w:cs="Times New Roman"/>
          <w:sz w:val="24"/>
          <w:szCs w:val="24"/>
        </w:rPr>
      </w:pPr>
      <w:r w:rsidRPr="006E7F28">
        <w:rPr>
          <w:rFonts w:ascii="Times New Roman" w:eastAsia="Arial" w:hAnsi="Times New Roman" w:cs="Times New Roman"/>
          <w:sz w:val="24"/>
          <w:szCs w:val="24"/>
        </w:rPr>
        <w:t>panel data</w:t>
      </w:r>
    </w:p>
    <w:p w14:paraId="6BABE452" w14:textId="77777777" w:rsidR="009F2F12" w:rsidRPr="006E7F28" w:rsidRDefault="009F2F12" w:rsidP="001503F2">
      <w:pPr>
        <w:tabs>
          <w:tab w:val="left" w:pos="426"/>
        </w:tabs>
        <w:spacing w:after="120" w:line="288" w:lineRule="auto"/>
        <w:jc w:val="center"/>
        <w:rPr>
          <w:rFonts w:ascii="Times New Roman" w:hAnsi="Times New Roman" w:cs="Times New Roman"/>
          <w:b/>
          <w:sz w:val="24"/>
          <w:szCs w:val="24"/>
        </w:rPr>
      </w:pPr>
      <w:r w:rsidRPr="006E7F28">
        <w:rPr>
          <w:rFonts w:ascii="Times New Roman" w:eastAsia="Arial" w:hAnsi="Times New Roman" w:cs="Times New Roman"/>
          <w:sz w:val="24"/>
          <w:szCs w:val="24"/>
        </w:rPr>
        <w:t>emerging markets</w:t>
      </w:r>
    </w:p>
    <w:p w14:paraId="3C630710" w14:textId="77777777" w:rsidR="009F2F12" w:rsidRPr="00A540D5" w:rsidRDefault="009F2F12" w:rsidP="009F2F12">
      <w:pPr>
        <w:tabs>
          <w:tab w:val="left" w:pos="426"/>
        </w:tabs>
        <w:spacing w:line="288" w:lineRule="auto"/>
        <w:jc w:val="center"/>
        <w:rPr>
          <w:rFonts w:ascii="Times New Roman" w:hAnsi="Times New Roman" w:cs="Times New Roman"/>
          <w:b/>
          <w:sz w:val="24"/>
          <w:szCs w:val="24"/>
        </w:rPr>
      </w:pPr>
    </w:p>
    <w:p w14:paraId="3E12D298" w14:textId="77777777" w:rsidR="009F2F12" w:rsidRPr="00A540D5" w:rsidRDefault="009F2F12" w:rsidP="001503F2">
      <w:pPr>
        <w:tabs>
          <w:tab w:val="left" w:pos="426"/>
        </w:tabs>
        <w:spacing w:after="120" w:line="288" w:lineRule="auto"/>
        <w:jc w:val="center"/>
        <w:rPr>
          <w:rFonts w:ascii="Times New Roman" w:hAnsi="Times New Roman" w:cs="Times New Roman"/>
          <w:b/>
          <w:sz w:val="24"/>
          <w:szCs w:val="24"/>
        </w:rPr>
      </w:pPr>
      <w:r w:rsidRPr="00A540D5">
        <w:rPr>
          <w:rFonts w:ascii="Times New Roman" w:hAnsi="Times New Roman" w:cs="Times New Roman"/>
          <w:b/>
          <w:sz w:val="24"/>
          <w:szCs w:val="24"/>
        </w:rPr>
        <w:t>JEL Classification</w:t>
      </w:r>
    </w:p>
    <w:p w14:paraId="7325ECA1" w14:textId="77777777" w:rsidR="009F2F12" w:rsidRDefault="009F2F12" w:rsidP="009F2F12">
      <w:pPr>
        <w:spacing w:line="288" w:lineRule="auto"/>
        <w:jc w:val="center"/>
        <w:rPr>
          <w:rFonts w:ascii="Times New Roman" w:hAnsi="Times New Roman" w:cs="Times New Roman"/>
          <w:sz w:val="24"/>
          <w:szCs w:val="24"/>
        </w:rPr>
      </w:pPr>
      <w:r w:rsidRPr="00A540D5">
        <w:rPr>
          <w:rFonts w:ascii="Times New Roman" w:hAnsi="Times New Roman" w:cs="Times New Roman"/>
          <w:sz w:val="24"/>
          <w:szCs w:val="24"/>
        </w:rPr>
        <w:t xml:space="preserve">C33 </w:t>
      </w:r>
    </w:p>
    <w:p w14:paraId="10F3CD69" w14:textId="77777777" w:rsidR="009F2F12" w:rsidRPr="00A540D5" w:rsidRDefault="009F2F12" w:rsidP="009F2F12">
      <w:pPr>
        <w:spacing w:line="288" w:lineRule="auto"/>
        <w:jc w:val="center"/>
        <w:rPr>
          <w:rFonts w:ascii="Times New Roman" w:hAnsi="Times New Roman" w:cs="Times New Roman"/>
        </w:rPr>
      </w:pPr>
      <w:r w:rsidRPr="00A540D5">
        <w:rPr>
          <w:rFonts w:ascii="Times New Roman" w:hAnsi="Times New Roman" w:cs="Times New Roman"/>
          <w:sz w:val="24"/>
          <w:szCs w:val="24"/>
        </w:rPr>
        <w:t>E43</w:t>
      </w:r>
    </w:p>
    <w:p w14:paraId="741BDE6D" w14:textId="77777777" w:rsidR="009F2F12" w:rsidRDefault="009F2F12" w:rsidP="009F2F12">
      <w:pPr>
        <w:spacing w:line="288" w:lineRule="auto"/>
        <w:jc w:val="center"/>
        <w:rPr>
          <w:rFonts w:ascii="Palatino Linotype" w:hAnsi="Palatino Linotype"/>
        </w:rPr>
      </w:pPr>
    </w:p>
    <w:p w14:paraId="6C30FF05" w14:textId="77777777" w:rsidR="009F2F12" w:rsidRDefault="009F2F12" w:rsidP="009F2F12">
      <w:pPr>
        <w:spacing w:line="288" w:lineRule="auto"/>
        <w:jc w:val="center"/>
        <w:rPr>
          <w:rFonts w:ascii="Palatino Linotype" w:hAnsi="Palatino Linotype"/>
        </w:rPr>
      </w:pPr>
    </w:p>
    <w:p w14:paraId="56FD22F2" w14:textId="77777777" w:rsidR="009F2F12" w:rsidRPr="00975B1E" w:rsidRDefault="009F2F12" w:rsidP="009F2F12">
      <w:pPr>
        <w:spacing w:line="288" w:lineRule="auto"/>
        <w:jc w:val="center"/>
        <w:rPr>
          <w:rFonts w:ascii="Palatino Linotype" w:hAnsi="Palatino Linotype"/>
        </w:rPr>
      </w:pPr>
    </w:p>
    <w:p w14:paraId="48327AFA" w14:textId="77777777" w:rsidR="009F2F12" w:rsidRPr="00457918" w:rsidRDefault="009F2F12" w:rsidP="00BF420C">
      <w:pPr>
        <w:spacing w:after="60" w:line="288" w:lineRule="auto"/>
        <w:jc w:val="center"/>
        <w:rPr>
          <w:rFonts w:ascii="Times New Roman" w:eastAsia="Times New Roman" w:hAnsi="Times New Roman" w:cs="Times New Roman"/>
          <w:b/>
          <w:sz w:val="24"/>
          <w:szCs w:val="24"/>
          <w:lang w:val="en-AU"/>
        </w:rPr>
      </w:pPr>
      <w:r w:rsidRPr="00457918">
        <w:rPr>
          <w:rFonts w:ascii="Times New Roman" w:eastAsia="Times New Roman" w:hAnsi="Times New Roman" w:cs="Times New Roman"/>
          <w:b/>
          <w:sz w:val="24"/>
          <w:szCs w:val="24"/>
          <w:lang w:val="en-AU"/>
        </w:rPr>
        <w:t>Acknowledgements</w:t>
      </w:r>
    </w:p>
    <w:p w14:paraId="53A49339" w14:textId="77777777" w:rsidR="009F2F12" w:rsidRPr="009E7DC1" w:rsidRDefault="009F2F12" w:rsidP="009F2F12">
      <w:pPr>
        <w:jc w:val="both"/>
        <w:rPr>
          <w:rFonts w:ascii="Times New Roman" w:hAnsi="Times New Roman" w:cs="Times New Roman"/>
          <w:sz w:val="22"/>
          <w:szCs w:val="22"/>
        </w:rPr>
      </w:pPr>
      <w:r w:rsidRPr="009E7DC1">
        <w:rPr>
          <w:rFonts w:ascii="Times New Roman" w:hAnsi="Times New Roman" w:cs="Times New Roman"/>
          <w:sz w:val="22"/>
          <w:szCs w:val="22"/>
        </w:rPr>
        <w:t>We would like to express our gratitude to Calla Weimer from the American Committee on Asian Economic Studies and participants at the BSP Research Huddle in April 2024 and the Philippine Economic Society's 62</w:t>
      </w:r>
      <w:r w:rsidRPr="009E7DC1">
        <w:rPr>
          <w:rFonts w:ascii="Times New Roman" w:hAnsi="Times New Roman" w:cs="Times New Roman"/>
          <w:sz w:val="22"/>
          <w:szCs w:val="22"/>
          <w:vertAlign w:val="superscript"/>
        </w:rPr>
        <w:t>nd</w:t>
      </w:r>
      <w:r w:rsidRPr="009E7DC1">
        <w:rPr>
          <w:rFonts w:ascii="Times New Roman" w:hAnsi="Times New Roman" w:cs="Times New Roman"/>
          <w:sz w:val="22"/>
          <w:szCs w:val="22"/>
        </w:rPr>
        <w:t xml:space="preserve"> Annual Meeting and Conference session on "Central Banking in the Post-pandemic Era: New Trends in Inflation, Financial Stability, and External Factors" in November 2024 for their valuable insights and suggestions. The authors also thank the BSP Department of Economic Statistics for providing the Consumer Expectations Survey microdata. We also thank Shirley Mustafa of the Food </w:t>
      </w:r>
      <w:r w:rsidRPr="009E7DC1">
        <w:rPr>
          <w:rFonts w:ascii="Times New Roman" w:hAnsi="Times New Roman" w:cs="Times New Roman"/>
          <w:spacing w:val="-4"/>
          <w:sz w:val="22"/>
          <w:szCs w:val="22"/>
        </w:rPr>
        <w:t xml:space="preserve">and Agriculture Organization's Trade and Market Division for helpful comments on organizing sub-national </w:t>
      </w:r>
      <w:r w:rsidRPr="009E7DC1">
        <w:rPr>
          <w:rFonts w:ascii="Times New Roman" w:hAnsi="Times New Roman" w:cs="Times New Roman"/>
          <w:sz w:val="22"/>
          <w:szCs w:val="22"/>
        </w:rPr>
        <w:t>data on rice prices for Indonesia and Thailand. We also thank Jessie G. Esquivel from the BSP Research Academy for his excellent assistance in gathering and organizing data and visualization.</w:t>
      </w:r>
    </w:p>
    <w:p w14:paraId="6BB0D9B5" w14:textId="77777777" w:rsidR="009F2F12" w:rsidRPr="009E7DC1" w:rsidRDefault="009F2F12" w:rsidP="009F2F12">
      <w:pPr>
        <w:jc w:val="both"/>
        <w:rPr>
          <w:rFonts w:ascii="Times New Roman" w:hAnsi="Times New Roman" w:cs="Times New Roman"/>
          <w:sz w:val="22"/>
          <w:szCs w:val="22"/>
        </w:rPr>
      </w:pPr>
    </w:p>
    <w:p w14:paraId="65705DF7" w14:textId="56F762A9" w:rsidR="00506A3D" w:rsidRPr="000A4ABC" w:rsidRDefault="009F2F12" w:rsidP="00B139C9">
      <w:pPr>
        <w:jc w:val="both"/>
        <w:rPr>
          <w:rFonts w:ascii="Times New Roman" w:hAnsi="Times New Roman" w:cs="Times New Roman"/>
          <w:i/>
          <w:iCs/>
          <w:sz w:val="21"/>
          <w:szCs w:val="21"/>
        </w:rPr>
      </w:pPr>
      <w:r w:rsidRPr="009E7DC1">
        <w:rPr>
          <w:rFonts w:ascii="Times New Roman" w:hAnsi="Times New Roman" w:cs="Times New Roman"/>
          <w:i/>
          <w:iCs/>
          <w:sz w:val="22"/>
          <w:szCs w:val="22"/>
        </w:rPr>
        <w:t xml:space="preserve">Disclaimer: This paper presents a draft research output and is disseminated for discussion purposes. Comments are welcome and may be sent to the corresponding author's email address. The views expressed in this discussion paper are those of the author/s and do not represent the official position of the </w:t>
      </w:r>
      <w:proofErr w:type="spellStart"/>
      <w:r w:rsidRPr="009E7DC1">
        <w:rPr>
          <w:rFonts w:ascii="Times New Roman" w:hAnsi="Times New Roman" w:cs="Times New Roman"/>
          <w:i/>
          <w:iCs/>
          <w:sz w:val="22"/>
          <w:szCs w:val="22"/>
        </w:rPr>
        <w:t>Bangko</w:t>
      </w:r>
      <w:proofErr w:type="spellEnd"/>
      <w:r w:rsidRPr="009E7DC1">
        <w:rPr>
          <w:rFonts w:ascii="Times New Roman" w:hAnsi="Times New Roman" w:cs="Times New Roman"/>
          <w:i/>
          <w:iCs/>
          <w:sz w:val="22"/>
          <w:szCs w:val="22"/>
        </w:rPr>
        <w:t xml:space="preserve"> Sentral ng </w:t>
      </w:r>
      <w:proofErr w:type="spellStart"/>
      <w:r w:rsidRPr="009E7DC1">
        <w:rPr>
          <w:rFonts w:ascii="Times New Roman" w:hAnsi="Times New Roman" w:cs="Times New Roman"/>
          <w:i/>
          <w:iCs/>
          <w:sz w:val="22"/>
          <w:szCs w:val="22"/>
        </w:rPr>
        <w:t>Pilipinas</w:t>
      </w:r>
      <w:proofErr w:type="spellEnd"/>
      <w:r w:rsidR="004932B0" w:rsidRPr="009E7DC1">
        <w:rPr>
          <w:rFonts w:ascii="Times New Roman" w:hAnsi="Times New Roman" w:cs="Times New Roman"/>
          <w:i/>
          <w:iCs/>
          <w:sz w:val="22"/>
          <w:szCs w:val="22"/>
        </w:rPr>
        <w:t>.</w:t>
      </w:r>
      <w:r w:rsidR="00506A3D" w:rsidRPr="000A4ABC">
        <w:rPr>
          <w:rFonts w:ascii="Times New Roman" w:hAnsi="Times New Roman" w:cs="Times New Roman"/>
          <w:sz w:val="21"/>
          <w:szCs w:val="21"/>
        </w:rPr>
        <w:br w:type="page"/>
      </w:r>
    </w:p>
    <w:p w14:paraId="02F85870" w14:textId="08E84CE4" w:rsidR="004E2B5B" w:rsidRPr="00792324" w:rsidRDefault="00792324" w:rsidP="009D14B5">
      <w:pPr>
        <w:rPr>
          <w:rFonts w:ascii="Times New Roman" w:hAnsi="Times New Roman" w:cs="Times New Roman"/>
          <w:bCs/>
          <w:sz w:val="24"/>
          <w:szCs w:val="24"/>
        </w:rPr>
      </w:pPr>
      <w:bookmarkStart w:id="1" w:name="_Toc197460310"/>
      <w:r>
        <w:rPr>
          <w:rFonts w:ascii="Times New Roman" w:hAnsi="Times New Roman" w:cs="Times New Roman"/>
          <w:b/>
          <w:bCs/>
          <w:sz w:val="24"/>
          <w:szCs w:val="24"/>
        </w:rPr>
        <w:lastRenderedPageBreak/>
        <w:t>1</w:t>
      </w:r>
      <w:r w:rsidR="004E2B5B" w:rsidRPr="00792324">
        <w:rPr>
          <w:rFonts w:ascii="Times New Roman" w:hAnsi="Times New Roman" w:cs="Times New Roman"/>
          <w:b/>
          <w:bCs/>
          <w:sz w:val="24"/>
          <w:szCs w:val="24"/>
        </w:rPr>
        <w:t>. Introduction</w:t>
      </w:r>
      <w:bookmarkEnd w:id="1"/>
    </w:p>
    <w:p w14:paraId="0C65694D" w14:textId="77777777" w:rsidR="004E2B5B" w:rsidRPr="00D6728E" w:rsidRDefault="004E2B5B" w:rsidP="004E2B5B">
      <w:pPr>
        <w:ind w:firstLine="360"/>
        <w:jc w:val="both"/>
        <w:rPr>
          <w:rFonts w:ascii="Montserrat" w:hAnsi="Montserrat"/>
          <w:sz w:val="22"/>
          <w:szCs w:val="22"/>
        </w:rPr>
      </w:pPr>
    </w:p>
    <w:p w14:paraId="298573B0" w14:textId="78C972A0" w:rsidR="004E2B5B" w:rsidRPr="00CB7A02" w:rsidRDefault="004E2B5B" w:rsidP="00CB7A02">
      <w:pPr>
        <w:jc w:val="both"/>
        <w:rPr>
          <w:rFonts w:ascii="Times New Roman" w:hAnsi="Times New Roman" w:cs="Times New Roman"/>
          <w:sz w:val="24"/>
          <w:szCs w:val="24"/>
        </w:rPr>
      </w:pPr>
      <w:r w:rsidRPr="00CB7A02">
        <w:rPr>
          <w:rFonts w:ascii="Times New Roman" w:hAnsi="Times New Roman" w:cs="Times New Roman"/>
          <w:sz w:val="24"/>
          <w:szCs w:val="24"/>
        </w:rPr>
        <w:t>How sensitive is the inflationary impact of food and energy prices to different inflation states is perhaps one of the most pressing questions in the recent periods of the global inflation surge. Evaluating inflation drivers and their sensitivity to varying conditions is complicated by bias from endogenous policy and omission of regional heterogeneity when using aggregate data. Fitzgerald et al. (2024) argue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that such bias blurs the true relationship in the aggregate data if a central bank reacts to shocks to meet an inflation target. Despite extensive literature showing that monetary policy is a key driver of macro-level inflation, the mechanisms for regional dynamics of this linkage are unclear. This paper sheds new light on these mechanisms by focusing on the role of province-level data on fuel and rice prices in the Philippines. This analysis is particularly pertinent whe</w:t>
      </w:r>
      <w:r w:rsidR="00927E1B" w:rsidRPr="00CB7A02">
        <w:rPr>
          <w:rFonts w:ascii="Times New Roman" w:hAnsi="Times New Roman" w:cs="Times New Roman"/>
          <w:sz w:val="24"/>
          <w:szCs w:val="24"/>
        </w:rPr>
        <w:t>n</w:t>
      </w:r>
      <w:r w:rsidRPr="00CB7A02">
        <w:rPr>
          <w:rFonts w:ascii="Times New Roman" w:hAnsi="Times New Roman" w:cs="Times New Roman"/>
          <w:sz w:val="24"/>
          <w:szCs w:val="24"/>
        </w:rPr>
        <w:t xml:space="preserve"> provinces experience an increase in overall inflation.</w:t>
      </w:r>
    </w:p>
    <w:p w14:paraId="7FB3E0B2" w14:textId="77777777" w:rsidR="004E2B5B" w:rsidRPr="00CB7A02" w:rsidRDefault="004E2B5B" w:rsidP="004E2B5B">
      <w:pPr>
        <w:ind w:firstLine="360"/>
        <w:jc w:val="both"/>
        <w:rPr>
          <w:rFonts w:ascii="Times New Roman" w:hAnsi="Times New Roman" w:cs="Times New Roman"/>
          <w:sz w:val="24"/>
          <w:szCs w:val="24"/>
        </w:rPr>
      </w:pPr>
    </w:p>
    <w:p w14:paraId="32BFFF58" w14:textId="447FDE26" w:rsidR="004E2B5B" w:rsidRPr="00CB7A02" w:rsidRDefault="00927E1B"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For the first time, this paper shows</w:t>
      </w:r>
      <w:r w:rsidR="004E2B5B" w:rsidRPr="00CB7A02">
        <w:rPr>
          <w:rFonts w:ascii="Times New Roman" w:hAnsi="Times New Roman" w:cs="Times New Roman"/>
          <w:sz w:val="24"/>
          <w:szCs w:val="24"/>
        </w:rPr>
        <w:t xml:space="preserve"> that rising fuel and rice inflation has a </w:t>
      </w:r>
      <w:r w:rsidRPr="00CB7A02">
        <w:rPr>
          <w:rFonts w:ascii="Times New Roman" w:hAnsi="Times New Roman" w:cs="Times New Roman"/>
          <w:sz w:val="24"/>
          <w:szCs w:val="24"/>
        </w:rPr>
        <w:t>more significant</w:t>
      </w:r>
      <w:r w:rsidR="004E2B5B" w:rsidRPr="00CB7A02">
        <w:rPr>
          <w:rFonts w:ascii="Times New Roman" w:hAnsi="Times New Roman" w:cs="Times New Roman"/>
          <w:sz w:val="24"/>
          <w:szCs w:val="24"/>
        </w:rPr>
        <w:t xml:space="preserve"> impact during periods of high overall inflation</w:t>
      </w:r>
      <w:r w:rsidRPr="00CB7A02">
        <w:rPr>
          <w:rFonts w:ascii="Times New Roman" w:hAnsi="Times New Roman" w:cs="Times New Roman"/>
          <w:sz w:val="24"/>
          <w:szCs w:val="24"/>
        </w:rPr>
        <w:t>. Still,</w:t>
      </w:r>
      <w:r w:rsidR="004E2B5B" w:rsidRPr="00CB7A02">
        <w:rPr>
          <w:rFonts w:ascii="Times New Roman" w:hAnsi="Times New Roman" w:cs="Times New Roman"/>
          <w:sz w:val="24"/>
          <w:szCs w:val="24"/>
        </w:rPr>
        <w:t xml:space="preserve"> this effect is significantly mitigated by inflation targeting and rice tariffication. After tariffication, a significant drop in the effect of rice price inflation </w:t>
      </w:r>
      <w:r w:rsidRPr="00CB7A02">
        <w:rPr>
          <w:rFonts w:ascii="Times New Roman" w:hAnsi="Times New Roman" w:cs="Times New Roman"/>
          <w:sz w:val="24"/>
          <w:szCs w:val="24"/>
        </w:rPr>
        <w:t>was observed in high-poverty and rice-deficit areas, which</w:t>
      </w:r>
      <w:r w:rsidR="004E2B5B" w:rsidRPr="00CB7A02">
        <w:rPr>
          <w:rFonts w:ascii="Times New Roman" w:hAnsi="Times New Roman" w:cs="Times New Roman"/>
          <w:sz w:val="24"/>
          <w:szCs w:val="24"/>
        </w:rPr>
        <w:t xml:space="preserve"> were identified using large, nationally representative data.</w:t>
      </w:r>
    </w:p>
    <w:p w14:paraId="0AB399C8" w14:textId="77777777" w:rsidR="004E2B5B" w:rsidRPr="00CB7A02" w:rsidRDefault="004E2B5B" w:rsidP="004E2B5B">
      <w:pPr>
        <w:ind w:firstLine="360"/>
        <w:jc w:val="both"/>
        <w:rPr>
          <w:rFonts w:ascii="Times New Roman" w:hAnsi="Times New Roman" w:cs="Times New Roman"/>
          <w:sz w:val="24"/>
          <w:szCs w:val="24"/>
        </w:rPr>
      </w:pPr>
    </w:p>
    <w:p w14:paraId="271F33B9" w14:textId="43268717" w:rsidR="004E2B5B" w:rsidRPr="00CB7A02" w:rsidRDefault="004E2B5B"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The analysis is based on unique monthly provincial panel data from 1996</w:t>
      </w:r>
      <w:r w:rsidR="00631AD3" w:rsidRPr="00CB7A02">
        <w:rPr>
          <w:rFonts w:ascii="Times New Roman" w:hAnsi="Times New Roman" w:cs="Times New Roman"/>
          <w:sz w:val="24"/>
          <w:szCs w:val="24"/>
        </w:rPr>
        <w:t>–</w:t>
      </w:r>
      <w:r w:rsidRPr="00CB7A02">
        <w:rPr>
          <w:rFonts w:ascii="Times New Roman" w:hAnsi="Times New Roman" w:cs="Times New Roman"/>
          <w:sz w:val="24"/>
          <w:szCs w:val="24"/>
        </w:rPr>
        <w:t xml:space="preserve"> 2024. The paper offers four key contributions. </w:t>
      </w:r>
      <w:r w:rsidR="00927E1B" w:rsidRPr="00CB7A02">
        <w:rPr>
          <w:rFonts w:ascii="Times New Roman" w:hAnsi="Times New Roman" w:cs="Times New Roman"/>
          <w:sz w:val="24"/>
          <w:szCs w:val="24"/>
        </w:rPr>
        <w:t>First,</w:t>
      </w:r>
      <w:r w:rsidRPr="00CB7A02">
        <w:rPr>
          <w:rFonts w:ascii="Times New Roman" w:hAnsi="Times New Roman" w:cs="Times New Roman"/>
          <w:sz w:val="24"/>
          <w:szCs w:val="24"/>
        </w:rPr>
        <w:t xml:space="preserve"> </w:t>
      </w:r>
      <w:r w:rsidRPr="00CB7A02">
        <w:rPr>
          <w:rFonts w:ascii="Times New Roman" w:hAnsi="Times New Roman" w:cs="Times New Roman"/>
          <w:spacing w:val="-2"/>
          <w:sz w:val="24"/>
          <w:szCs w:val="24"/>
        </w:rPr>
        <w:t xml:space="preserve">we used the fixed effects quantile regression approach </w:t>
      </w:r>
      <w:r w:rsidR="008C580F" w:rsidRPr="00CB7A02">
        <w:rPr>
          <w:rFonts w:ascii="Times New Roman" w:hAnsi="Times New Roman" w:cs="Times New Roman"/>
          <w:spacing w:val="-2"/>
          <w:sz w:val="24"/>
          <w:szCs w:val="24"/>
        </w:rPr>
        <w:t>that Machado and Silva (2019) proposed</w:t>
      </w:r>
      <w:r w:rsidRPr="00CB7A02">
        <w:rPr>
          <w:rFonts w:ascii="Times New Roman" w:hAnsi="Times New Roman" w:cs="Times New Roman"/>
          <w:spacing w:val="-2"/>
          <w:sz w:val="24"/>
          <w:szCs w:val="24"/>
        </w:rPr>
        <w:t xml:space="preserve"> to estimate overall inflation</w:t>
      </w:r>
      <w:r w:rsidR="00927E1B" w:rsidRPr="00CB7A02">
        <w:rPr>
          <w:rFonts w:ascii="Times New Roman" w:hAnsi="Times New Roman" w:cs="Times New Roman"/>
          <w:spacing w:val="-2"/>
          <w:sz w:val="24"/>
          <w:szCs w:val="24"/>
        </w:rPr>
        <w:t>'</w:t>
      </w:r>
      <w:r w:rsidRPr="00CB7A02">
        <w:rPr>
          <w:rFonts w:ascii="Times New Roman" w:hAnsi="Times New Roman" w:cs="Times New Roman"/>
          <w:spacing w:val="-2"/>
          <w:sz w:val="24"/>
          <w:szCs w:val="24"/>
        </w:rPr>
        <w:t>s conditional quantiles. Unlike most studies on a country</w:t>
      </w:r>
      <w:r w:rsidR="00927E1B" w:rsidRPr="00CB7A02">
        <w:rPr>
          <w:rFonts w:ascii="Times New Roman" w:hAnsi="Times New Roman" w:cs="Times New Roman"/>
          <w:spacing w:val="-2"/>
          <w:sz w:val="24"/>
          <w:szCs w:val="24"/>
        </w:rPr>
        <w:t>'</w:t>
      </w:r>
      <w:r w:rsidRPr="00CB7A02">
        <w:rPr>
          <w:rFonts w:ascii="Times New Roman" w:hAnsi="Times New Roman" w:cs="Times New Roman"/>
          <w:spacing w:val="-2"/>
          <w:sz w:val="24"/>
          <w:szCs w:val="24"/>
        </w:rPr>
        <w:t>s regions, we applied this framework to a panel setting to capture state-dependent price heterogeneity. This allows us to interpret our results in the context of price-setting behavior theories, such as Taylor</w:t>
      </w:r>
      <w:r w:rsidR="00927E1B" w:rsidRPr="00CB7A02">
        <w:rPr>
          <w:rFonts w:ascii="Times New Roman" w:hAnsi="Times New Roman" w:cs="Times New Roman"/>
          <w:spacing w:val="-2"/>
          <w:sz w:val="24"/>
          <w:szCs w:val="24"/>
        </w:rPr>
        <w:t>'</w:t>
      </w:r>
      <w:r w:rsidRPr="00CB7A02">
        <w:rPr>
          <w:rFonts w:ascii="Times New Roman" w:hAnsi="Times New Roman" w:cs="Times New Roman"/>
          <w:spacing w:val="-2"/>
          <w:sz w:val="24"/>
          <w:szCs w:val="24"/>
        </w:rPr>
        <w:t xml:space="preserve">s (2000) notion that firms pass on costs during times of high inflation and the insights from </w:t>
      </w:r>
      <w:proofErr w:type="spellStart"/>
      <w:r w:rsidRPr="00CB7A02">
        <w:rPr>
          <w:rFonts w:ascii="Times New Roman" w:hAnsi="Times New Roman" w:cs="Times New Roman"/>
          <w:spacing w:val="-2"/>
          <w:sz w:val="24"/>
          <w:szCs w:val="24"/>
        </w:rPr>
        <w:t>Golosov</w:t>
      </w:r>
      <w:proofErr w:type="spellEnd"/>
      <w:r w:rsidRPr="00CB7A02">
        <w:rPr>
          <w:rFonts w:ascii="Times New Roman" w:hAnsi="Times New Roman" w:cs="Times New Roman"/>
          <w:spacing w:val="-2"/>
          <w:sz w:val="24"/>
          <w:szCs w:val="24"/>
        </w:rPr>
        <w:t xml:space="preserve"> and Lucas (2007) that firms prioritize price adjustments in high-inflation periods despite reluctance to change prices frequently.</w:t>
      </w:r>
    </w:p>
    <w:p w14:paraId="730FFE2C" w14:textId="77777777" w:rsidR="004E2B5B" w:rsidRPr="00CB7A02" w:rsidRDefault="004E2B5B" w:rsidP="004E2B5B">
      <w:pPr>
        <w:ind w:firstLine="360"/>
        <w:jc w:val="both"/>
        <w:rPr>
          <w:rFonts w:ascii="Times New Roman" w:hAnsi="Times New Roman" w:cs="Times New Roman"/>
          <w:sz w:val="24"/>
          <w:szCs w:val="24"/>
        </w:rPr>
      </w:pPr>
    </w:p>
    <w:p w14:paraId="4796C024" w14:textId="47E3EDF1" w:rsidR="004E2B5B" w:rsidRPr="00CB7A02" w:rsidRDefault="004248DE"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The second contribution is that we draw policy connections to inflation targeting in 2002 and rice tariffication in 2019. Inflation targeting can reduce the fuel price shock-induced inflation. The switch from quantitative restriction on rice imports to tariff only could help lower inflation via the decline in rice prices due to the increase in private sector rice import quantities</w:t>
      </w:r>
      <w:r w:rsidR="004E2B5B" w:rsidRPr="00CB7A02">
        <w:rPr>
          <w:rFonts w:ascii="Times New Roman" w:hAnsi="Times New Roman" w:cs="Times New Roman"/>
          <w:sz w:val="24"/>
          <w:szCs w:val="24"/>
        </w:rPr>
        <w:t>.</w:t>
      </w:r>
    </w:p>
    <w:p w14:paraId="7D55FD1E" w14:textId="77777777" w:rsidR="004E2B5B" w:rsidRPr="00CB7A02" w:rsidRDefault="004E2B5B" w:rsidP="004E2B5B">
      <w:pPr>
        <w:ind w:firstLine="360"/>
        <w:jc w:val="both"/>
        <w:rPr>
          <w:rFonts w:ascii="Times New Roman" w:hAnsi="Times New Roman" w:cs="Times New Roman"/>
          <w:sz w:val="24"/>
          <w:szCs w:val="24"/>
        </w:rPr>
      </w:pPr>
    </w:p>
    <w:p w14:paraId="66DC5225" w14:textId="222F6004" w:rsidR="004E2B5B" w:rsidRPr="00CB7A02" w:rsidRDefault="004E2B5B"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 xml:space="preserve">The third contribution is the comparison using panel data from Indonesia, India, and Thailand. This offers insights into how rice prices influence inflation in traditional rice importers like the Philippines and Indonesia relative to large exporters like India and Thailand. We also employ a proxy for monthly sub-national remittance data to align with prior studies on Philippine inflation (Lartey, 2016; Valera, </w:t>
      </w:r>
      <w:proofErr w:type="spellStart"/>
      <w:r w:rsidRPr="00CB7A02">
        <w:rPr>
          <w:rFonts w:ascii="Times New Roman" w:hAnsi="Times New Roman" w:cs="Times New Roman"/>
          <w:sz w:val="24"/>
          <w:szCs w:val="24"/>
        </w:rPr>
        <w:t>Balié</w:t>
      </w:r>
      <w:proofErr w:type="spellEnd"/>
      <w:r w:rsidRPr="00CB7A02">
        <w:rPr>
          <w:rFonts w:ascii="Times New Roman" w:hAnsi="Times New Roman" w:cs="Times New Roman"/>
          <w:sz w:val="24"/>
          <w:szCs w:val="24"/>
        </w:rPr>
        <w:t xml:space="preserve"> &amp; Magrini, 2022) and to </w:t>
      </w:r>
      <w:r w:rsidR="00927E1B" w:rsidRPr="00CB7A02">
        <w:rPr>
          <w:rFonts w:ascii="Times New Roman" w:hAnsi="Times New Roman" w:cs="Times New Roman"/>
          <w:sz w:val="24"/>
          <w:szCs w:val="24"/>
        </w:rPr>
        <w:t>analyze better</w:t>
      </w:r>
      <w:r w:rsidRPr="00CB7A02">
        <w:rPr>
          <w:rFonts w:ascii="Times New Roman" w:hAnsi="Times New Roman" w:cs="Times New Roman"/>
          <w:sz w:val="24"/>
          <w:szCs w:val="24"/>
        </w:rPr>
        <w:t xml:space="preserve"> the mechanism that the real wealth boost from remittances induces consumption spending and inflation.</w:t>
      </w:r>
    </w:p>
    <w:p w14:paraId="2D484529" w14:textId="77777777" w:rsidR="004E2B5B" w:rsidRPr="00CB7A02" w:rsidRDefault="004E2B5B" w:rsidP="004E2B5B">
      <w:pPr>
        <w:ind w:firstLine="360"/>
        <w:jc w:val="both"/>
        <w:rPr>
          <w:rFonts w:ascii="Times New Roman" w:hAnsi="Times New Roman" w:cs="Times New Roman"/>
          <w:sz w:val="24"/>
          <w:szCs w:val="24"/>
        </w:rPr>
      </w:pPr>
    </w:p>
    <w:p w14:paraId="48920911" w14:textId="5DC6456F" w:rsidR="004E2B5B" w:rsidRPr="00CB7A02" w:rsidRDefault="004E2B5B"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Finally, we compare the effects of rice and fuel prices on inflation before and after rice tariffication, focusing on provinces with varying rice self-sufficiency and poverty levels. Using a nationally representative dataset and Deaton</w:t>
      </w:r>
      <w:r w:rsidR="00927E1B" w:rsidRPr="00CB7A02">
        <w:rPr>
          <w:rFonts w:ascii="Times New Roman" w:hAnsi="Times New Roman" w:cs="Times New Roman"/>
          <w:sz w:val="24"/>
          <w:szCs w:val="24"/>
        </w:rPr>
        <w:t>'</w:t>
      </w:r>
      <w:r w:rsidRPr="00CB7A02">
        <w:rPr>
          <w:rFonts w:ascii="Times New Roman" w:hAnsi="Times New Roman" w:cs="Times New Roman"/>
          <w:sz w:val="24"/>
          <w:szCs w:val="24"/>
        </w:rPr>
        <w:t>s (1989) net benefit ratio to estimate household rice production and consumption at the provinc</w:t>
      </w:r>
      <w:r w:rsidR="00927E1B" w:rsidRPr="00CB7A02">
        <w:rPr>
          <w:rFonts w:ascii="Times New Roman" w:hAnsi="Times New Roman" w:cs="Times New Roman"/>
          <w:sz w:val="24"/>
          <w:szCs w:val="24"/>
        </w:rPr>
        <w:t>ial</w:t>
      </w:r>
      <w:r w:rsidRPr="00CB7A02">
        <w:rPr>
          <w:rFonts w:ascii="Times New Roman" w:hAnsi="Times New Roman" w:cs="Times New Roman"/>
          <w:sz w:val="24"/>
          <w:szCs w:val="24"/>
        </w:rPr>
        <w:t xml:space="preserve"> level, we aim to support the idea that food and fuel prices affect household inflation expectations due to their salience (Binder, 2018; </w:t>
      </w:r>
      <w:proofErr w:type="spellStart"/>
      <w:r w:rsidRPr="00CB7A02">
        <w:rPr>
          <w:rFonts w:ascii="Times New Roman" w:hAnsi="Times New Roman" w:cs="Times New Roman"/>
          <w:sz w:val="24"/>
          <w:szCs w:val="24"/>
        </w:rPr>
        <w:t>Coibion</w:t>
      </w:r>
      <w:proofErr w:type="spellEnd"/>
      <w:r w:rsidRPr="00CB7A02">
        <w:rPr>
          <w:rFonts w:ascii="Times New Roman" w:hAnsi="Times New Roman" w:cs="Times New Roman"/>
          <w:sz w:val="24"/>
          <w:szCs w:val="24"/>
        </w:rPr>
        <w:t xml:space="preserve"> &amp; </w:t>
      </w:r>
      <w:proofErr w:type="spellStart"/>
      <w:r w:rsidRPr="00CB7A02">
        <w:rPr>
          <w:rFonts w:ascii="Times New Roman" w:hAnsi="Times New Roman" w:cs="Times New Roman"/>
          <w:sz w:val="24"/>
          <w:szCs w:val="24"/>
        </w:rPr>
        <w:t>Gorodnichenko</w:t>
      </w:r>
      <w:proofErr w:type="spellEnd"/>
      <w:r w:rsidRPr="00CB7A02">
        <w:rPr>
          <w:rFonts w:ascii="Times New Roman" w:hAnsi="Times New Roman" w:cs="Times New Roman"/>
          <w:sz w:val="24"/>
          <w:szCs w:val="24"/>
        </w:rPr>
        <w:t>, 2015). This is tested through a simple correlation analysis of provincial inflation expectations and rice or fuel prices using quarterly consumer expectations survey data.</w:t>
      </w:r>
    </w:p>
    <w:p w14:paraId="25729C7B" w14:textId="77777777" w:rsidR="004E2B5B" w:rsidRPr="00CB7A02" w:rsidRDefault="004E2B5B" w:rsidP="004E2B5B">
      <w:pPr>
        <w:ind w:firstLine="360"/>
        <w:jc w:val="both"/>
        <w:rPr>
          <w:rFonts w:ascii="Times New Roman" w:hAnsi="Times New Roman" w:cs="Times New Roman"/>
          <w:sz w:val="24"/>
          <w:szCs w:val="24"/>
        </w:rPr>
      </w:pPr>
    </w:p>
    <w:p w14:paraId="38E9E337" w14:textId="17A1E439" w:rsidR="004E2B5B" w:rsidRPr="00CB7A02" w:rsidRDefault="004E2B5B"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lastRenderedPageBreak/>
        <w:t>With this contribution in mind, we focus on the Philippines for three main reasons. First, the elevated inflation in recent years was unique for the country relative to its Asian peers due to the dominance of supply shock. Second, the country is a net energy importer</w:t>
      </w:r>
      <w:r w:rsidR="00927E1B" w:rsidRPr="00CB7A02">
        <w:rPr>
          <w:rFonts w:ascii="Times New Roman" w:hAnsi="Times New Roman" w:cs="Times New Roman"/>
          <w:sz w:val="24"/>
          <w:szCs w:val="24"/>
        </w:rPr>
        <w:t>,</w:t>
      </w:r>
      <w:r w:rsidRPr="00CB7A02">
        <w:rPr>
          <w:rFonts w:ascii="Times New Roman" w:hAnsi="Times New Roman" w:cs="Times New Roman"/>
          <w:sz w:val="24"/>
          <w:szCs w:val="24"/>
        </w:rPr>
        <w:t xml:space="preserve"> and so the rising global prices triggered by recent events surrounding geopolitical tensions ha</w:t>
      </w:r>
      <w:r w:rsidR="00927E1B" w:rsidRPr="00CB7A02">
        <w:rPr>
          <w:rFonts w:ascii="Times New Roman" w:hAnsi="Times New Roman" w:cs="Times New Roman"/>
          <w:sz w:val="24"/>
          <w:szCs w:val="24"/>
        </w:rPr>
        <w:t>ve</w:t>
      </w:r>
      <w:r w:rsidRPr="00CB7A02">
        <w:rPr>
          <w:rFonts w:ascii="Times New Roman" w:hAnsi="Times New Roman" w:cs="Times New Roman"/>
          <w:sz w:val="24"/>
          <w:szCs w:val="24"/>
        </w:rPr>
        <w:t xml:space="preserve"> raised domestic inflation. Third, rice is a key concern as the Philippines is also a net food importer.</w:t>
      </w:r>
    </w:p>
    <w:p w14:paraId="38BD1BB3" w14:textId="49DC7652" w:rsidR="00887AAC" w:rsidRPr="00CB7A02" w:rsidRDefault="00887AAC" w:rsidP="004E2B5B">
      <w:pPr>
        <w:ind w:firstLine="360"/>
        <w:jc w:val="both"/>
        <w:rPr>
          <w:rFonts w:ascii="Times New Roman" w:hAnsi="Times New Roman" w:cs="Times New Roman"/>
          <w:sz w:val="24"/>
          <w:szCs w:val="24"/>
        </w:rPr>
      </w:pPr>
    </w:p>
    <w:p w14:paraId="29B40EE4" w14:textId="2E041169" w:rsidR="00887AAC" w:rsidRPr="00CB7A02" w:rsidRDefault="00887AAC"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 xml:space="preserve">The remainder of the paper is structured as follows: Motivating literature is discussed in Section </w:t>
      </w:r>
      <w:r w:rsidR="00A965F7">
        <w:rPr>
          <w:rFonts w:ascii="Times New Roman" w:hAnsi="Times New Roman" w:cs="Times New Roman"/>
          <w:sz w:val="24"/>
          <w:szCs w:val="24"/>
        </w:rPr>
        <w:t>2</w:t>
      </w:r>
      <w:r w:rsidRPr="00CB7A02">
        <w:rPr>
          <w:rFonts w:ascii="Times New Roman" w:hAnsi="Times New Roman" w:cs="Times New Roman"/>
          <w:sz w:val="24"/>
          <w:szCs w:val="24"/>
        </w:rPr>
        <w:t xml:space="preserve">. Section </w:t>
      </w:r>
      <w:r w:rsidR="00A965F7">
        <w:rPr>
          <w:rFonts w:ascii="Times New Roman" w:hAnsi="Times New Roman" w:cs="Times New Roman"/>
          <w:sz w:val="24"/>
          <w:szCs w:val="24"/>
        </w:rPr>
        <w:t>3</w:t>
      </w:r>
      <w:r w:rsidRPr="00CB7A02">
        <w:rPr>
          <w:rFonts w:ascii="Times New Roman" w:hAnsi="Times New Roman" w:cs="Times New Roman"/>
          <w:sz w:val="24"/>
          <w:szCs w:val="24"/>
        </w:rPr>
        <w:t xml:space="preserve"> presents the methodology and data. Empirical evidence on the impact of rice and fuel prices and remittances on inflation is presented in Section </w:t>
      </w:r>
      <w:r w:rsidR="00A965F7">
        <w:rPr>
          <w:rFonts w:ascii="Times New Roman" w:hAnsi="Times New Roman" w:cs="Times New Roman"/>
          <w:sz w:val="24"/>
          <w:szCs w:val="24"/>
        </w:rPr>
        <w:t>4</w:t>
      </w:r>
      <w:r w:rsidRPr="00CB7A02">
        <w:rPr>
          <w:rFonts w:ascii="Times New Roman" w:hAnsi="Times New Roman" w:cs="Times New Roman"/>
          <w:sz w:val="24"/>
          <w:szCs w:val="24"/>
        </w:rPr>
        <w:t xml:space="preserve">. Section </w:t>
      </w:r>
      <w:r w:rsidR="00A965F7">
        <w:rPr>
          <w:rFonts w:ascii="Times New Roman" w:hAnsi="Times New Roman" w:cs="Times New Roman"/>
          <w:sz w:val="24"/>
          <w:szCs w:val="24"/>
        </w:rPr>
        <w:t>5</w:t>
      </w:r>
      <w:r w:rsidRPr="00CB7A02">
        <w:rPr>
          <w:rFonts w:ascii="Times New Roman" w:hAnsi="Times New Roman" w:cs="Times New Roman"/>
          <w:sz w:val="24"/>
          <w:szCs w:val="24"/>
        </w:rPr>
        <w:t xml:space="preserve"> concludes.</w:t>
      </w:r>
    </w:p>
    <w:p w14:paraId="4B7CEB57" w14:textId="352FE86D" w:rsidR="004E2B5B" w:rsidRPr="00FC4DF4" w:rsidRDefault="00792324" w:rsidP="004E2B5B">
      <w:pPr>
        <w:pStyle w:val="Heading1"/>
        <w:spacing w:after="240"/>
        <w:rPr>
          <w:rFonts w:ascii="Times New Roman" w:hAnsi="Times New Roman" w:cs="Times New Roman"/>
          <w:sz w:val="24"/>
          <w:szCs w:val="24"/>
        </w:rPr>
      </w:pPr>
      <w:bookmarkStart w:id="2" w:name="_Toc197460311"/>
      <w:r w:rsidRPr="00792324">
        <w:rPr>
          <w:rFonts w:ascii="Times New Roman" w:hAnsi="Times New Roman" w:cs="Times New Roman"/>
          <w:color w:val="auto"/>
          <w:sz w:val="24"/>
          <w:szCs w:val="24"/>
        </w:rPr>
        <w:t>2</w:t>
      </w:r>
      <w:r w:rsidR="004E2B5B" w:rsidRPr="00792324">
        <w:rPr>
          <w:rFonts w:ascii="Times New Roman" w:hAnsi="Times New Roman" w:cs="Times New Roman"/>
          <w:color w:val="auto"/>
          <w:sz w:val="24"/>
          <w:szCs w:val="24"/>
        </w:rPr>
        <w:t>. Literature</w:t>
      </w:r>
      <w:bookmarkEnd w:id="2"/>
      <w:r w:rsidR="00F01F84">
        <w:rPr>
          <w:rFonts w:ascii="Times New Roman" w:hAnsi="Times New Roman" w:cs="Times New Roman"/>
          <w:color w:val="auto"/>
          <w:sz w:val="24"/>
          <w:szCs w:val="24"/>
        </w:rPr>
        <w:t xml:space="preserve"> review</w:t>
      </w:r>
    </w:p>
    <w:p w14:paraId="125D5388" w14:textId="32246094" w:rsidR="004E2B5B" w:rsidRPr="00CB7A02" w:rsidRDefault="004248DE" w:rsidP="00CB7A02">
      <w:pPr>
        <w:jc w:val="both"/>
        <w:rPr>
          <w:rFonts w:ascii="Times New Roman" w:hAnsi="Times New Roman" w:cs="Times New Roman"/>
          <w:sz w:val="24"/>
          <w:szCs w:val="24"/>
        </w:rPr>
      </w:pPr>
      <w:r w:rsidRPr="00CB7A02">
        <w:rPr>
          <w:rFonts w:ascii="Times New Roman" w:hAnsi="Times New Roman" w:cs="Times New Roman"/>
          <w:sz w:val="24"/>
          <w:szCs w:val="24"/>
        </w:rPr>
        <w:t xml:space="preserve">Our paper is related to three strands of research. The first literature examines the state-dependent effects of oil and food prices on domestic inflation. In terms of theories, our starting point is motivated by a rich literature that uses insights about price-setting behavior in different inflation environments. The theories suggested by </w:t>
      </w:r>
      <w:proofErr w:type="spellStart"/>
      <w:r w:rsidRPr="00CB7A02">
        <w:rPr>
          <w:rFonts w:ascii="Times New Roman" w:hAnsi="Times New Roman" w:cs="Times New Roman"/>
          <w:sz w:val="24"/>
          <w:szCs w:val="24"/>
        </w:rPr>
        <w:t>Golosov</w:t>
      </w:r>
      <w:proofErr w:type="spellEnd"/>
      <w:r w:rsidRPr="00CB7A02">
        <w:rPr>
          <w:rFonts w:ascii="Times New Roman" w:hAnsi="Times New Roman" w:cs="Times New Roman"/>
          <w:sz w:val="24"/>
          <w:szCs w:val="24"/>
        </w:rPr>
        <w:t xml:space="preserve"> and Lucas (2007), Costain and </w:t>
      </w:r>
      <w:proofErr w:type="spellStart"/>
      <w:r w:rsidRPr="00CB7A02">
        <w:rPr>
          <w:rFonts w:ascii="Times New Roman" w:hAnsi="Times New Roman" w:cs="Times New Roman"/>
          <w:sz w:val="24"/>
          <w:szCs w:val="24"/>
        </w:rPr>
        <w:t>Nakov</w:t>
      </w:r>
      <w:proofErr w:type="spellEnd"/>
      <w:r w:rsidRPr="00CB7A02">
        <w:rPr>
          <w:rFonts w:ascii="Times New Roman" w:hAnsi="Times New Roman" w:cs="Times New Roman"/>
          <w:sz w:val="24"/>
          <w:szCs w:val="24"/>
        </w:rPr>
        <w:t xml:space="preserve"> (2011), and Devereux and Siu (2007) connect</w:t>
      </w:r>
      <w:r w:rsidR="00631AD3" w:rsidRPr="00CB7A02">
        <w:rPr>
          <w:rFonts w:ascii="Times New Roman" w:hAnsi="Times New Roman" w:cs="Times New Roman"/>
          <w:sz w:val="24"/>
          <w:szCs w:val="24"/>
        </w:rPr>
        <w:t>ed</w:t>
      </w:r>
      <w:r w:rsidRPr="00CB7A02">
        <w:rPr>
          <w:rFonts w:ascii="Times New Roman" w:hAnsi="Times New Roman" w:cs="Times New Roman"/>
          <w:sz w:val="24"/>
          <w:szCs w:val="24"/>
        </w:rPr>
        <w:t xml:space="preserve"> with the theoretical interpretations we provide for our findings.</w:t>
      </w:r>
    </w:p>
    <w:p w14:paraId="215A439A" w14:textId="77777777" w:rsidR="004E2B5B" w:rsidRPr="00CB7A02" w:rsidRDefault="004E2B5B" w:rsidP="004E2B5B">
      <w:pPr>
        <w:ind w:firstLine="360"/>
        <w:jc w:val="both"/>
        <w:rPr>
          <w:rFonts w:ascii="Times New Roman" w:hAnsi="Times New Roman" w:cs="Times New Roman"/>
          <w:sz w:val="24"/>
          <w:szCs w:val="24"/>
        </w:rPr>
      </w:pPr>
    </w:p>
    <w:p w14:paraId="1EE03175" w14:textId="4A4FD0B9" w:rsidR="004E2B5B" w:rsidRPr="00CB7A02" w:rsidRDefault="004248DE"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 xml:space="preserve">On the matter of technique, our work connects to the literature that applies the quantile regression framework. Recent examples include Ge and Sun (2024), and Iddrisu and </w:t>
      </w:r>
      <w:proofErr w:type="spellStart"/>
      <w:r w:rsidRPr="00CB7A02">
        <w:rPr>
          <w:rFonts w:ascii="Times New Roman" w:hAnsi="Times New Roman" w:cs="Times New Roman"/>
          <w:sz w:val="24"/>
          <w:szCs w:val="24"/>
        </w:rPr>
        <w:t>Alagidede</w:t>
      </w:r>
      <w:proofErr w:type="spellEnd"/>
      <w:r w:rsidRPr="00CB7A02">
        <w:rPr>
          <w:rFonts w:ascii="Times New Roman" w:hAnsi="Times New Roman" w:cs="Times New Roman"/>
          <w:sz w:val="24"/>
          <w:szCs w:val="24"/>
        </w:rPr>
        <w:t xml:space="preserve"> (2020, 2021). Most of these studies focus</w:t>
      </w:r>
      <w:r w:rsidR="00631AD3" w:rsidRPr="00CB7A02">
        <w:rPr>
          <w:rFonts w:ascii="Times New Roman" w:hAnsi="Times New Roman" w:cs="Times New Roman"/>
          <w:sz w:val="24"/>
          <w:szCs w:val="24"/>
        </w:rPr>
        <w:t>ed</w:t>
      </w:r>
      <w:r w:rsidRPr="00CB7A02">
        <w:rPr>
          <w:rFonts w:ascii="Times New Roman" w:hAnsi="Times New Roman" w:cs="Times New Roman"/>
          <w:sz w:val="24"/>
          <w:szCs w:val="24"/>
        </w:rPr>
        <w:t xml:space="preserve"> on analyzing national-level overall inflation. Iddrisu and </w:t>
      </w:r>
      <w:proofErr w:type="spellStart"/>
      <w:r w:rsidRPr="00CB7A02">
        <w:rPr>
          <w:rFonts w:ascii="Times New Roman" w:hAnsi="Times New Roman" w:cs="Times New Roman"/>
          <w:sz w:val="24"/>
          <w:szCs w:val="24"/>
        </w:rPr>
        <w:t>Alagidede</w:t>
      </w:r>
      <w:proofErr w:type="spellEnd"/>
      <w:r w:rsidRPr="00CB7A02">
        <w:rPr>
          <w:rFonts w:ascii="Times New Roman" w:hAnsi="Times New Roman" w:cs="Times New Roman"/>
          <w:sz w:val="24"/>
          <w:szCs w:val="24"/>
        </w:rPr>
        <w:t xml:space="preserve"> (2020) and Ge and Sun (2024) examine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the impact of monetary policy and oil prices on overall inflation. Iddrisu and </w:t>
      </w:r>
      <w:proofErr w:type="spellStart"/>
      <w:r w:rsidRPr="00CB7A02">
        <w:rPr>
          <w:rFonts w:ascii="Times New Roman" w:hAnsi="Times New Roman" w:cs="Times New Roman"/>
          <w:sz w:val="24"/>
          <w:szCs w:val="24"/>
        </w:rPr>
        <w:t>Alagidede</w:t>
      </w:r>
      <w:proofErr w:type="spellEnd"/>
      <w:r w:rsidRPr="00CB7A02">
        <w:rPr>
          <w:rFonts w:ascii="Times New Roman" w:hAnsi="Times New Roman" w:cs="Times New Roman"/>
          <w:sz w:val="24"/>
          <w:szCs w:val="24"/>
        </w:rPr>
        <w:t xml:space="preserve"> (2021) analyze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the impact of monetary policy on inflation for individual provinces in Ghana. Our main departure from those studies is the analysis of the effects of rice and fuel prices on provincial overall inflation using a panel quantile regression. Recent studies also use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a quantile-based method but focus</w:t>
      </w:r>
      <w:r w:rsidR="00631AD3" w:rsidRPr="00CB7A02">
        <w:rPr>
          <w:rFonts w:ascii="Times New Roman" w:hAnsi="Times New Roman" w:cs="Times New Roman"/>
          <w:sz w:val="24"/>
          <w:szCs w:val="24"/>
        </w:rPr>
        <w:t>ed</w:t>
      </w:r>
      <w:r w:rsidRPr="00CB7A02">
        <w:rPr>
          <w:rFonts w:ascii="Times New Roman" w:hAnsi="Times New Roman" w:cs="Times New Roman"/>
          <w:sz w:val="24"/>
          <w:szCs w:val="24"/>
        </w:rPr>
        <w:t xml:space="preserve"> on cross-country analysis of inflation at risk (Banerjee et al., 2024; López-Salido &amp; Loria, 2024).</w:t>
      </w:r>
    </w:p>
    <w:p w14:paraId="19D6060F" w14:textId="77777777" w:rsidR="004E2B5B" w:rsidRPr="00CB7A02" w:rsidRDefault="004E2B5B" w:rsidP="004E2B5B">
      <w:pPr>
        <w:ind w:firstLine="360"/>
        <w:jc w:val="both"/>
        <w:rPr>
          <w:rFonts w:ascii="Times New Roman" w:hAnsi="Times New Roman" w:cs="Times New Roman"/>
          <w:sz w:val="24"/>
          <w:szCs w:val="24"/>
        </w:rPr>
      </w:pPr>
    </w:p>
    <w:p w14:paraId="42B33BE6" w14:textId="4B123B24" w:rsidR="004E2B5B" w:rsidRPr="00CB7A02" w:rsidRDefault="004248DE"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The second strand of literature includes works in monetary policy that investigate the effects of inflation targeting on inflation. For instance, Sethi and Mishra (2024) examine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the effects of inflation targeting on 24 Asian economies and f</w:t>
      </w:r>
      <w:r w:rsidR="00631AD3" w:rsidRPr="00CB7A02">
        <w:rPr>
          <w:rFonts w:ascii="Times New Roman" w:hAnsi="Times New Roman" w:cs="Times New Roman"/>
          <w:sz w:val="24"/>
          <w:szCs w:val="24"/>
        </w:rPr>
        <w:t>ou</w:t>
      </w:r>
      <w:r w:rsidRPr="00CB7A02">
        <w:rPr>
          <w:rFonts w:ascii="Times New Roman" w:hAnsi="Times New Roman" w:cs="Times New Roman"/>
          <w:sz w:val="24"/>
          <w:szCs w:val="24"/>
        </w:rPr>
        <w:t>nd that such a policy regime reduces inflation's level and volatility, especially during the Global Financial Crisis. Hwang and Zhu (2024) f</w:t>
      </w:r>
      <w:r w:rsidR="00631AD3" w:rsidRPr="00CB7A02">
        <w:rPr>
          <w:rFonts w:ascii="Times New Roman" w:hAnsi="Times New Roman" w:cs="Times New Roman"/>
          <w:sz w:val="24"/>
          <w:szCs w:val="24"/>
        </w:rPr>
        <w:t>ou</w:t>
      </w:r>
      <w:r w:rsidRPr="00CB7A02">
        <w:rPr>
          <w:rFonts w:ascii="Times New Roman" w:hAnsi="Times New Roman" w:cs="Times New Roman"/>
          <w:sz w:val="24"/>
          <w:szCs w:val="24"/>
        </w:rPr>
        <w:t>nd that while inflation targeting helps to shorten the duration of inflation that exceeds the upper limit of the inflation target caused by oil price shocks, it does not significantly reduce the level or volatility of inflation. Relative to these papers, we examine the consequences of both the monetary policy shift to inflation targeting and change in food policy through the implementation of the rice tariffication policy. This is the first paper that explains the overall inflation differential across provinces and considers its dynamics under those two policy regimes.</w:t>
      </w:r>
    </w:p>
    <w:p w14:paraId="710DC736" w14:textId="77777777" w:rsidR="004E2B5B" w:rsidRPr="00CB7A02" w:rsidRDefault="004E2B5B" w:rsidP="004E2B5B">
      <w:pPr>
        <w:ind w:firstLine="360"/>
        <w:jc w:val="both"/>
        <w:rPr>
          <w:rFonts w:ascii="Times New Roman" w:hAnsi="Times New Roman" w:cs="Times New Roman"/>
          <w:sz w:val="24"/>
          <w:szCs w:val="24"/>
        </w:rPr>
      </w:pPr>
    </w:p>
    <w:p w14:paraId="38A04898" w14:textId="1573AA79" w:rsidR="004E2B5B" w:rsidRPr="00CB7A02" w:rsidRDefault="004248DE" w:rsidP="004E2B5B">
      <w:pPr>
        <w:ind w:firstLine="360"/>
        <w:jc w:val="both"/>
        <w:rPr>
          <w:rFonts w:ascii="Times New Roman" w:hAnsi="Times New Roman" w:cs="Times New Roman"/>
          <w:sz w:val="24"/>
          <w:szCs w:val="24"/>
        </w:rPr>
      </w:pPr>
      <w:r w:rsidRPr="00CB7A02">
        <w:rPr>
          <w:rFonts w:ascii="Times New Roman" w:hAnsi="Times New Roman" w:cs="Times New Roman"/>
          <w:sz w:val="24"/>
          <w:szCs w:val="24"/>
        </w:rPr>
        <w:t>The third strand of literature we contribute to is related to regional inflation analysis. A recent example is Fitzgerald et al. (2024) who use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city- and state-level data to identify the structural relationship between the US unemployment and inflation. A particularly closely related paper to ours is Valera, </w:t>
      </w:r>
      <w:proofErr w:type="spellStart"/>
      <w:r w:rsidRPr="00CB7A02">
        <w:rPr>
          <w:rFonts w:ascii="Times New Roman" w:hAnsi="Times New Roman" w:cs="Times New Roman"/>
          <w:sz w:val="24"/>
          <w:szCs w:val="24"/>
        </w:rPr>
        <w:t>Balié</w:t>
      </w:r>
      <w:proofErr w:type="spellEnd"/>
      <w:r w:rsidRPr="00CB7A02">
        <w:rPr>
          <w:rFonts w:ascii="Times New Roman" w:hAnsi="Times New Roman" w:cs="Times New Roman"/>
          <w:sz w:val="24"/>
          <w:szCs w:val="24"/>
        </w:rPr>
        <w:t>, and Magrini (2022), who analyze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regional monthly inflation dynamics in the Philippines using a panel vector auto-regression model from 2007 to 2019. They f</w:t>
      </w:r>
      <w:r w:rsidR="00631AD3" w:rsidRPr="00CB7A02">
        <w:rPr>
          <w:rFonts w:ascii="Times New Roman" w:hAnsi="Times New Roman" w:cs="Times New Roman"/>
          <w:sz w:val="24"/>
          <w:szCs w:val="24"/>
        </w:rPr>
        <w:t>ou</w:t>
      </w:r>
      <w:r w:rsidRPr="00CB7A02">
        <w:rPr>
          <w:rFonts w:ascii="Times New Roman" w:hAnsi="Times New Roman" w:cs="Times New Roman"/>
          <w:sz w:val="24"/>
          <w:szCs w:val="24"/>
        </w:rPr>
        <w:t xml:space="preserve">nd that the effect of rice prices on inflation is more significant than that of fuel prices and remittances. In Ghana, Iddrisu and </w:t>
      </w:r>
      <w:proofErr w:type="spellStart"/>
      <w:r w:rsidRPr="00CB7A02">
        <w:rPr>
          <w:rFonts w:ascii="Times New Roman" w:hAnsi="Times New Roman" w:cs="Times New Roman"/>
          <w:sz w:val="24"/>
          <w:szCs w:val="24"/>
        </w:rPr>
        <w:t>Alagidede</w:t>
      </w:r>
      <w:proofErr w:type="spellEnd"/>
      <w:r w:rsidRPr="00CB7A02">
        <w:rPr>
          <w:rFonts w:ascii="Times New Roman" w:hAnsi="Times New Roman" w:cs="Times New Roman"/>
          <w:sz w:val="24"/>
          <w:szCs w:val="24"/>
        </w:rPr>
        <w:t xml:space="preserve"> (2021) use</w:t>
      </w:r>
      <w:r w:rsidR="00631AD3" w:rsidRPr="00CB7A02">
        <w:rPr>
          <w:rFonts w:ascii="Times New Roman" w:hAnsi="Times New Roman" w:cs="Times New Roman"/>
          <w:sz w:val="24"/>
          <w:szCs w:val="24"/>
        </w:rPr>
        <w:t>d</w:t>
      </w:r>
      <w:r w:rsidRPr="00CB7A02">
        <w:rPr>
          <w:rFonts w:ascii="Times New Roman" w:hAnsi="Times New Roman" w:cs="Times New Roman"/>
          <w:sz w:val="24"/>
          <w:szCs w:val="24"/>
        </w:rPr>
        <w:t xml:space="preserve"> a quantile method and find that restrictive monetary policy delivers stability in prices in some provinces, but prices in </w:t>
      </w:r>
      <w:r w:rsidRPr="00CB7A02">
        <w:rPr>
          <w:rFonts w:ascii="Times New Roman" w:hAnsi="Times New Roman" w:cs="Times New Roman"/>
          <w:sz w:val="24"/>
          <w:szCs w:val="24"/>
        </w:rPr>
        <w:lastRenderedPageBreak/>
        <w:t>other locations are destabilizing. We contribute to the existing literature by presenting regional drivers of overall inflation in the Philippines and in other selected emerging markets in Asia.</w:t>
      </w:r>
    </w:p>
    <w:p w14:paraId="780DD14C" w14:textId="77777777" w:rsidR="004E2B5B" w:rsidRPr="00D6728E" w:rsidRDefault="004E2B5B" w:rsidP="004E2B5B">
      <w:pPr>
        <w:ind w:firstLine="360"/>
        <w:jc w:val="both"/>
        <w:rPr>
          <w:rFonts w:ascii="Montserrat" w:hAnsi="Montserrat"/>
          <w:sz w:val="22"/>
          <w:szCs w:val="22"/>
        </w:rPr>
      </w:pPr>
    </w:p>
    <w:p w14:paraId="452347E5" w14:textId="55B9B315" w:rsidR="004E2B5B" w:rsidRPr="00FC4DF4" w:rsidRDefault="00F01F84" w:rsidP="004E2B5B">
      <w:pPr>
        <w:pStyle w:val="Heading2"/>
        <w:spacing w:before="0" w:after="240"/>
        <w:rPr>
          <w:rFonts w:ascii="Times New Roman" w:hAnsi="Times New Roman" w:cs="Times New Roman"/>
          <w:sz w:val="24"/>
          <w:szCs w:val="24"/>
        </w:rPr>
      </w:pPr>
      <w:bookmarkStart w:id="3" w:name="_Toc197460312"/>
      <w:r w:rsidRPr="00F01F84">
        <w:rPr>
          <w:rFonts w:ascii="Times New Roman" w:hAnsi="Times New Roman" w:cs="Times New Roman"/>
          <w:color w:val="auto"/>
          <w:sz w:val="24"/>
          <w:szCs w:val="24"/>
        </w:rPr>
        <w:t xml:space="preserve">3. </w:t>
      </w:r>
      <w:r w:rsidR="004E2B5B" w:rsidRPr="00F01F84">
        <w:rPr>
          <w:rFonts w:ascii="Times New Roman" w:hAnsi="Times New Roman" w:cs="Times New Roman"/>
          <w:color w:val="auto"/>
          <w:sz w:val="24"/>
          <w:szCs w:val="24"/>
        </w:rPr>
        <w:t xml:space="preserve">Methodology and </w:t>
      </w:r>
      <w:r>
        <w:rPr>
          <w:rFonts w:ascii="Times New Roman" w:hAnsi="Times New Roman" w:cs="Times New Roman"/>
          <w:color w:val="auto"/>
          <w:sz w:val="24"/>
          <w:szCs w:val="24"/>
        </w:rPr>
        <w:t>d</w:t>
      </w:r>
      <w:r w:rsidR="004E2B5B" w:rsidRPr="00F01F84">
        <w:rPr>
          <w:rFonts w:ascii="Times New Roman" w:hAnsi="Times New Roman" w:cs="Times New Roman"/>
          <w:color w:val="auto"/>
          <w:sz w:val="24"/>
          <w:szCs w:val="24"/>
        </w:rPr>
        <w:t>ata</w:t>
      </w:r>
      <w:bookmarkEnd w:id="3"/>
    </w:p>
    <w:p w14:paraId="492E6388" w14:textId="4795FFBD" w:rsidR="005676CB" w:rsidRDefault="005676CB" w:rsidP="005676CB">
      <w:pPr>
        <w:jc w:val="both"/>
        <w:rPr>
          <w:rFonts w:ascii="Times New Roman" w:hAnsi="Times New Roman" w:cs="Times New Roman"/>
          <w:sz w:val="24"/>
          <w:szCs w:val="24"/>
        </w:rPr>
      </w:pPr>
      <w:r w:rsidRPr="005676CB">
        <w:rPr>
          <w:rFonts w:ascii="Times New Roman" w:hAnsi="Times New Roman" w:cs="Times New Roman"/>
          <w:sz w:val="24"/>
          <w:szCs w:val="24"/>
        </w:rPr>
        <w:t>The main objective of this section is to outline the fixed effects quantile regression methodology. Next, we document three distinct datasets. The first is sub-national level data on overall inflation and its drivers in the Philippines and other Asian countries for international comparison. The second is provincial remittance proxy data based on publicly available overseas workers' and national-level surveys. The third is provincial data on net benefit ratio. This latter dataset, estimated from a nationally representative household survey data and microsimulation, enable us to report results across different provinces based on their rice self-sufficiency</w:t>
      </w:r>
      <w:r>
        <w:rPr>
          <w:rFonts w:ascii="Times New Roman" w:hAnsi="Times New Roman" w:cs="Times New Roman"/>
          <w:sz w:val="24"/>
          <w:szCs w:val="24"/>
        </w:rPr>
        <w:t xml:space="preserve"> levels</w:t>
      </w:r>
      <w:r w:rsidRPr="00CB7A02">
        <w:rPr>
          <w:rFonts w:ascii="Times New Roman" w:hAnsi="Times New Roman" w:cs="Times New Roman"/>
          <w:sz w:val="24"/>
          <w:szCs w:val="24"/>
        </w:rPr>
        <w:t xml:space="preserve">. </w:t>
      </w:r>
    </w:p>
    <w:p w14:paraId="449497F1" w14:textId="77777777" w:rsidR="005676CB" w:rsidRDefault="005676CB" w:rsidP="005676CB">
      <w:pPr>
        <w:jc w:val="both"/>
        <w:rPr>
          <w:rFonts w:ascii="Times New Roman" w:hAnsi="Times New Roman" w:cs="Times New Roman"/>
          <w:sz w:val="24"/>
          <w:szCs w:val="24"/>
        </w:rPr>
      </w:pPr>
    </w:p>
    <w:p w14:paraId="49AD5732" w14:textId="37C5EC1E" w:rsidR="004E2B5B" w:rsidRPr="00F01F84" w:rsidRDefault="00F01F84" w:rsidP="00F01F84">
      <w:pPr>
        <w:rPr>
          <w:rFonts w:ascii="Times New Roman" w:hAnsi="Times New Roman" w:cs="Times New Roman"/>
          <w:b/>
          <w:bCs/>
          <w:sz w:val="24"/>
          <w:szCs w:val="24"/>
        </w:rPr>
      </w:pPr>
      <w:bookmarkStart w:id="4" w:name="_Toc197460313"/>
      <w:r>
        <w:rPr>
          <w:rFonts w:ascii="Times New Roman" w:hAnsi="Times New Roman" w:cs="Times New Roman"/>
          <w:b/>
          <w:bCs/>
          <w:sz w:val="24"/>
          <w:szCs w:val="24"/>
        </w:rPr>
        <w:t>3.1</w:t>
      </w:r>
      <w:r w:rsidR="004E2B5B" w:rsidRPr="00F01F84">
        <w:rPr>
          <w:rFonts w:ascii="Times New Roman" w:hAnsi="Times New Roman" w:cs="Times New Roman"/>
          <w:b/>
          <w:bCs/>
          <w:sz w:val="24"/>
          <w:szCs w:val="24"/>
        </w:rPr>
        <w:t xml:space="preserve"> Estimation </w:t>
      </w:r>
      <w:r w:rsidRPr="00F01F84">
        <w:rPr>
          <w:rFonts w:ascii="Times New Roman" w:hAnsi="Times New Roman" w:cs="Times New Roman"/>
          <w:b/>
          <w:bCs/>
          <w:sz w:val="24"/>
          <w:szCs w:val="24"/>
        </w:rPr>
        <w:t>m</w:t>
      </w:r>
      <w:r w:rsidR="004E2B5B" w:rsidRPr="00F01F84">
        <w:rPr>
          <w:rFonts w:ascii="Times New Roman" w:hAnsi="Times New Roman" w:cs="Times New Roman"/>
          <w:b/>
          <w:bCs/>
          <w:sz w:val="24"/>
          <w:szCs w:val="24"/>
        </w:rPr>
        <w:t>ethodology</w:t>
      </w:r>
      <w:bookmarkEnd w:id="4"/>
    </w:p>
    <w:p w14:paraId="19F707B0" w14:textId="6388446C" w:rsidR="004E2B5B" w:rsidRPr="00CB7A02" w:rsidRDefault="004E2B5B" w:rsidP="00CB7A02">
      <w:pPr>
        <w:jc w:val="both"/>
        <w:rPr>
          <w:rFonts w:ascii="Times New Roman" w:hAnsi="Times New Roman" w:cs="Times New Roman"/>
          <w:sz w:val="24"/>
          <w:szCs w:val="24"/>
        </w:rPr>
      </w:pPr>
      <w:r w:rsidRPr="00CB7A02">
        <w:rPr>
          <w:rFonts w:ascii="Times New Roman" w:hAnsi="Times New Roman" w:cs="Times New Roman"/>
          <w:sz w:val="24"/>
          <w:szCs w:val="24"/>
        </w:rPr>
        <w:t>In this section, we begin with a reduced-form model of an economy</w:t>
      </w:r>
      <w:r w:rsidR="00927E1B" w:rsidRPr="00CB7A02">
        <w:rPr>
          <w:rFonts w:ascii="Times New Roman" w:hAnsi="Times New Roman" w:cs="Times New Roman"/>
          <w:sz w:val="24"/>
          <w:szCs w:val="24"/>
        </w:rPr>
        <w:t>'</w:t>
      </w:r>
      <w:r w:rsidRPr="00CB7A02">
        <w:rPr>
          <w:rFonts w:ascii="Times New Roman" w:hAnsi="Times New Roman" w:cs="Times New Roman"/>
          <w:sz w:val="24"/>
          <w:szCs w:val="24"/>
        </w:rPr>
        <w:t xml:space="preserve">s inflation process that is determined by a commodity price as stated in </w:t>
      </w:r>
      <w:r w:rsidR="005676CB">
        <w:rPr>
          <w:rFonts w:ascii="Times New Roman" w:hAnsi="Times New Roman" w:cs="Times New Roman"/>
          <w:sz w:val="24"/>
          <w:szCs w:val="24"/>
        </w:rPr>
        <w:t>e</w:t>
      </w:r>
      <w:r w:rsidRPr="005676CB">
        <w:rPr>
          <w:rFonts w:ascii="Times New Roman" w:hAnsi="Times New Roman" w:cs="Times New Roman"/>
          <w:sz w:val="24"/>
          <w:szCs w:val="24"/>
        </w:rPr>
        <w:t>q</w:t>
      </w:r>
      <w:r w:rsidR="00E16A90" w:rsidRPr="005676CB">
        <w:rPr>
          <w:rFonts w:ascii="Times New Roman" w:hAnsi="Times New Roman" w:cs="Times New Roman"/>
          <w:sz w:val="24"/>
          <w:szCs w:val="24"/>
        </w:rPr>
        <w:t>uation</w:t>
      </w:r>
      <w:r w:rsidRPr="005676CB">
        <w:rPr>
          <w:rFonts w:ascii="Times New Roman" w:hAnsi="Times New Roman" w:cs="Times New Roman"/>
          <w:sz w:val="24"/>
          <w:szCs w:val="24"/>
        </w:rPr>
        <w:t xml:space="preserve"> </w:t>
      </w:r>
      <w:r w:rsidR="005676CB">
        <w:rPr>
          <w:rFonts w:ascii="Times New Roman" w:hAnsi="Times New Roman" w:cs="Times New Roman"/>
          <w:sz w:val="24"/>
          <w:szCs w:val="24"/>
        </w:rPr>
        <w:t>(</w:t>
      </w:r>
      <w:r w:rsidRPr="005676CB">
        <w:rPr>
          <w:rFonts w:ascii="Times New Roman" w:hAnsi="Times New Roman" w:cs="Times New Roman"/>
          <w:sz w:val="24"/>
          <w:szCs w:val="24"/>
        </w:rPr>
        <w:t>1</w:t>
      </w:r>
      <w:r w:rsidR="005676CB">
        <w:rPr>
          <w:rFonts w:ascii="Times New Roman" w:hAnsi="Times New Roman" w:cs="Times New Roman"/>
          <w:sz w:val="24"/>
          <w:szCs w:val="24"/>
        </w:rPr>
        <w:t>)</w:t>
      </w:r>
      <w:r w:rsidRPr="00CB7A02">
        <w:rPr>
          <w:rFonts w:ascii="Times New Roman" w:hAnsi="Times New Roman" w:cs="Times New Roman"/>
          <w:sz w:val="24"/>
          <w:szCs w:val="24"/>
        </w:rPr>
        <w:t xml:space="preserve">. </w:t>
      </w:r>
      <w:r w:rsidR="004248DE" w:rsidRPr="00CB7A02">
        <w:rPr>
          <w:rFonts w:ascii="Times New Roman" w:hAnsi="Times New Roman" w:cs="Times New Roman"/>
          <w:sz w:val="24"/>
          <w:szCs w:val="24"/>
        </w:rPr>
        <w:t xml:space="preserve">If </w:t>
      </w:r>
      <w:r w:rsidRPr="00CB7A02">
        <w:rPr>
          <w:rFonts w:ascii="Times New Roman" w:hAnsi="Times New Roman" w:cs="Times New Roman"/>
          <w:sz w:val="24"/>
          <w:szCs w:val="24"/>
        </w:rPr>
        <w:t>this equation treats price homogeneity for all economic agents in different parts of such an economy, we obtain:</w:t>
      </w:r>
    </w:p>
    <w:p w14:paraId="34EE9B58" w14:textId="77777777" w:rsidR="004E2B5B" w:rsidRPr="00D6728E" w:rsidRDefault="004E2B5B" w:rsidP="004E2B5B">
      <w:pPr>
        <w:ind w:firstLine="360"/>
        <w:jc w:val="both"/>
        <w:rPr>
          <w:rFonts w:ascii="Montserrat" w:hAnsi="Montserrat"/>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1521"/>
      </w:tblGrid>
      <w:tr w:rsidR="004E2B5B" w:rsidRPr="00D6728E" w14:paraId="4CBE4B5B" w14:textId="77777777" w:rsidTr="00532745">
        <w:trPr>
          <w:trHeight w:val="69"/>
          <w:jc w:val="center"/>
        </w:trPr>
        <w:tc>
          <w:tcPr>
            <w:tcW w:w="0" w:type="auto"/>
            <w:vAlign w:val="center"/>
          </w:tcPr>
          <w:p w14:paraId="40CA3F7B" w14:textId="77777777" w:rsidR="004E2B5B" w:rsidRPr="00D6728E" w:rsidRDefault="00000000" w:rsidP="00532745">
            <w:pPr>
              <w:rPr>
                <w:rFonts w:ascii="Montserrat" w:hAnsi="Montserrat"/>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t</m:t>
                    </m:r>
                  </m:sub>
                </m:sSub>
                <m:r>
                  <w:rPr>
                    <w:rFonts w:ascii="Cambria Math" w:hAnsi="Cambria Math"/>
                    <w:sz w:val="22"/>
                    <w:szCs w:val="22"/>
                  </w:rPr>
                  <m:t>=α+β</m:t>
                </m:r>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Δ</m:t>
                    </m:r>
                    <m:r>
                      <w:rPr>
                        <w:rFonts w:ascii="Cambria Math" w:eastAsiaTheme="minorEastAsia" w:hAnsi="Cambria Math"/>
                        <w:sz w:val="22"/>
                        <w:szCs w:val="22"/>
                      </w:rPr>
                      <m:t>c</m:t>
                    </m:r>
                  </m:e>
                  <m:sub>
                    <m:r>
                      <w:rPr>
                        <w:rFonts w:ascii="Cambria Math" w:eastAsiaTheme="minorEastAsia" w:hAnsi="Cambria Math"/>
                        <w:sz w:val="22"/>
                        <w:szCs w:val="22"/>
                      </w:rPr>
                      <m:t>t</m:t>
                    </m:r>
                  </m:sub>
                </m:sSub>
                <m:r>
                  <w:rPr>
                    <w:rFonts w:ascii="Cambria Math" w:hAnsi="Cambria Math"/>
                    <w:sz w:val="22"/>
                    <w:szCs w:val="22"/>
                  </w:rPr>
                  <m:t>+</m:t>
                </m:r>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λπ</m:t>
                    </m:r>
                  </m:e>
                  <m:sub>
                    <m:r>
                      <w:rPr>
                        <w:rFonts w:ascii="Cambria Math" w:eastAsiaTheme="minorEastAsia" w:hAnsi="Cambria Math"/>
                        <w:sz w:val="22"/>
                        <w:szCs w:val="22"/>
                      </w:rPr>
                      <m:t>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ε</m:t>
                    </m:r>
                  </m:e>
                  <m:sub>
                    <m:r>
                      <w:rPr>
                        <w:rFonts w:ascii="Cambria Math" w:eastAsiaTheme="minorEastAsia" w:hAnsi="Cambria Math"/>
                        <w:sz w:val="22"/>
                        <w:szCs w:val="22"/>
                      </w:rPr>
                      <m:t>t</m:t>
                    </m:r>
                  </m:sub>
                </m:sSub>
                <m:r>
                  <w:rPr>
                    <w:rFonts w:ascii="Cambria Math" w:eastAsiaTheme="minorEastAsia" w:hAnsi="Cambria Math"/>
                    <w:sz w:val="22"/>
                    <w:szCs w:val="22"/>
                  </w:rPr>
                  <m:t>,</m:t>
                </m:r>
              </m:oMath>
            </m:oMathPara>
          </w:p>
        </w:tc>
        <w:tc>
          <w:tcPr>
            <w:tcW w:w="1521" w:type="dxa"/>
            <w:vAlign w:val="center"/>
          </w:tcPr>
          <w:p w14:paraId="29F23A96" w14:textId="77777777" w:rsidR="004E2B5B" w:rsidRPr="00D6728E" w:rsidRDefault="004E2B5B" w:rsidP="00532745">
            <w:pPr>
              <w:pStyle w:val="ListParagraph"/>
              <w:numPr>
                <w:ilvl w:val="0"/>
                <w:numId w:val="11"/>
              </w:numPr>
              <w:spacing w:after="0" w:line="240" w:lineRule="auto"/>
              <w:jc w:val="center"/>
              <w:rPr>
                <w:rFonts w:ascii="Montserrat" w:hAnsi="Montserrat" w:cs="Segoe UI"/>
              </w:rPr>
            </w:pPr>
          </w:p>
        </w:tc>
      </w:tr>
    </w:tbl>
    <w:p w14:paraId="3B5DCB1C" w14:textId="77777777" w:rsidR="004E2B5B" w:rsidRPr="00D6728E" w:rsidRDefault="004E2B5B" w:rsidP="004E2B5B">
      <w:pPr>
        <w:jc w:val="both"/>
        <w:rPr>
          <w:rFonts w:ascii="Montserrat" w:hAnsi="Montserrat"/>
          <w:sz w:val="22"/>
          <w:szCs w:val="22"/>
        </w:rPr>
      </w:pPr>
    </w:p>
    <w:p w14:paraId="1845BDFA" w14:textId="7DB5E202" w:rsidR="004E2B5B" w:rsidRPr="00CB7A02" w:rsidRDefault="004E2B5B" w:rsidP="004E2B5B">
      <w:pPr>
        <w:ind w:right="95"/>
        <w:jc w:val="both"/>
        <w:rPr>
          <w:rFonts w:ascii="Times New Roman" w:hAnsi="Times New Roman" w:cs="Times New Roman"/>
          <w:sz w:val="24"/>
          <w:szCs w:val="24"/>
        </w:rPr>
      </w:pPr>
      <w:r w:rsidRPr="00CB7A02">
        <w:rPr>
          <w:rFonts w:ascii="Times New Roman" w:eastAsiaTheme="minorHAnsi" w:hAnsi="Times New Roman" w:cs="Times New Roman"/>
          <w:color w:val="000000"/>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t</m:t>
            </m:r>
          </m:sub>
        </m:sSub>
      </m:oMath>
      <w:r w:rsidRPr="00CB7A02">
        <w:rPr>
          <w:rFonts w:ascii="Times New Roman" w:eastAsiaTheme="minorEastAsia" w:hAnsi="Times New Roman" w:cs="Times New Roman"/>
          <w:sz w:val="24"/>
          <w:szCs w:val="24"/>
        </w:rPr>
        <w:t xml:space="preserve"> denotes domestic overall inflation,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t</m:t>
            </m:r>
          </m:sub>
        </m:sSub>
      </m:oMath>
      <w:r w:rsidR="00F529B7" w:rsidRPr="00CB7A02">
        <w:rPr>
          <w:rFonts w:ascii="Times New Roman" w:eastAsiaTheme="minorEastAsia" w:hAnsi="Times New Roman" w:cs="Times New Roman"/>
          <w:sz w:val="24"/>
          <w:szCs w:val="24"/>
        </w:rPr>
        <w:t xml:space="preserve"> </w:t>
      </w:r>
      <w:r w:rsidRPr="00CB7A02">
        <w:rPr>
          <w:rFonts w:ascii="Times New Roman" w:eastAsiaTheme="minorEastAsia" w:hAnsi="Times New Roman" w:cs="Times New Roman"/>
          <w:sz w:val="24"/>
          <w:szCs w:val="24"/>
        </w:rPr>
        <w:t xml:space="preserve">is the percentage change in our commodity price variables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m:t>
            </m:r>
          </m:sub>
        </m:sSub>
      </m:oMath>
      <w:r w:rsidRPr="00CB7A02">
        <w:rPr>
          <w:rFonts w:ascii="Times New Roman" w:eastAsiaTheme="minorEastAsia" w:hAnsi="Times New Roman" w:cs="Times New Roman"/>
          <w:sz w:val="24"/>
          <w:szCs w:val="24"/>
        </w:rPr>
        <w:t xml:space="preserve"> is the residual. The reduced-form representation of the relationship in </w:t>
      </w:r>
      <w:r w:rsidR="005676CB" w:rsidRPr="005676CB">
        <w:rPr>
          <w:rFonts w:ascii="Times New Roman" w:eastAsiaTheme="minorEastAsia" w:hAnsi="Times New Roman" w:cs="Times New Roman"/>
          <w:sz w:val="24"/>
          <w:szCs w:val="24"/>
        </w:rPr>
        <w:t>e</w:t>
      </w:r>
      <w:r w:rsidRPr="005676CB">
        <w:rPr>
          <w:rFonts w:ascii="Times New Roman" w:eastAsiaTheme="minorEastAsia" w:hAnsi="Times New Roman" w:cs="Times New Roman"/>
          <w:sz w:val="24"/>
          <w:szCs w:val="24"/>
        </w:rPr>
        <w:t xml:space="preserve">quation </w:t>
      </w:r>
      <w:r w:rsidR="005676CB" w:rsidRPr="005676CB">
        <w:rPr>
          <w:rFonts w:ascii="Times New Roman" w:eastAsiaTheme="minorEastAsia" w:hAnsi="Times New Roman" w:cs="Times New Roman"/>
          <w:sz w:val="24"/>
          <w:szCs w:val="24"/>
        </w:rPr>
        <w:t>(</w:t>
      </w:r>
      <w:r w:rsidRPr="005676CB">
        <w:rPr>
          <w:rFonts w:ascii="Times New Roman" w:eastAsiaTheme="minorEastAsia" w:hAnsi="Times New Roman" w:cs="Times New Roman"/>
          <w:sz w:val="24"/>
          <w:szCs w:val="24"/>
        </w:rPr>
        <w:t>1</w:t>
      </w:r>
      <w:r w:rsidR="005676CB" w:rsidRPr="005676CB">
        <w:rPr>
          <w:rFonts w:ascii="Times New Roman" w:eastAsiaTheme="minorEastAsia" w:hAnsi="Times New Roman" w:cs="Times New Roman"/>
          <w:sz w:val="24"/>
          <w:szCs w:val="24"/>
        </w:rPr>
        <w:t>)</w:t>
      </w:r>
      <w:r w:rsidRPr="00CB7A02">
        <w:rPr>
          <w:rFonts w:ascii="Times New Roman" w:eastAsiaTheme="minorEastAsia" w:hAnsi="Times New Roman" w:cs="Times New Roman"/>
          <w:sz w:val="24"/>
          <w:szCs w:val="24"/>
        </w:rPr>
        <w:t xml:space="preserve"> follows </w:t>
      </w:r>
      <w:r w:rsidRPr="00CB7A02">
        <w:rPr>
          <w:rFonts w:ascii="Times New Roman" w:eastAsiaTheme="minorHAnsi" w:hAnsi="Times New Roman" w:cs="Times New Roman"/>
          <w:color w:val="000000"/>
          <w:sz w:val="24"/>
          <w:szCs w:val="24"/>
        </w:rPr>
        <w:t>Gerlach and Stuart (2024).</w:t>
      </w:r>
    </w:p>
    <w:p w14:paraId="4695DA44" w14:textId="77777777" w:rsidR="004E2B5B" w:rsidRPr="00CB7A02" w:rsidRDefault="004E2B5B" w:rsidP="004E2B5B">
      <w:pPr>
        <w:ind w:left="1134" w:right="1088"/>
        <w:jc w:val="both"/>
        <w:rPr>
          <w:rFonts w:ascii="Times New Roman" w:hAnsi="Times New Roman" w:cs="Times New Roman"/>
          <w:sz w:val="24"/>
          <w:szCs w:val="24"/>
        </w:rPr>
      </w:pPr>
    </w:p>
    <w:p w14:paraId="7DE33040" w14:textId="3CDC4D54" w:rsidR="004E2B5B" w:rsidRPr="00CB7A02" w:rsidRDefault="004248DE" w:rsidP="004E2B5B">
      <w:pPr>
        <w:ind w:right="96" w:firstLine="357"/>
        <w:jc w:val="both"/>
        <w:rPr>
          <w:rFonts w:ascii="Times New Roman" w:hAnsi="Times New Roman" w:cs="Times New Roman"/>
          <w:spacing w:val="-8"/>
          <w:sz w:val="24"/>
          <w:szCs w:val="24"/>
        </w:rPr>
      </w:pPr>
      <w:r w:rsidRPr="00CB7A02">
        <w:rPr>
          <w:rFonts w:ascii="Times New Roman" w:eastAsiaTheme="minorEastAsia" w:hAnsi="Times New Roman" w:cs="Times New Roman"/>
          <w:sz w:val="24"/>
          <w:szCs w:val="24"/>
        </w:rPr>
        <w:t>Considering</w:t>
      </w:r>
      <w:r w:rsidR="004E2B5B" w:rsidRPr="00CB7A02">
        <w:rPr>
          <w:rFonts w:ascii="Times New Roman" w:eastAsiaTheme="minorEastAsia" w:hAnsi="Times New Roman" w:cs="Times New Roman"/>
          <w:sz w:val="24"/>
          <w:szCs w:val="24"/>
        </w:rPr>
        <w:t xml:space="preserve"> evidence regarding the importance of price frictions that can potentially display in an economy comprised of a continuum of </w:t>
      </w:r>
      <w:r w:rsidR="004E2B5B" w:rsidRPr="00CB7A02">
        <w:rPr>
          <w:rFonts w:ascii="Times New Roman" w:eastAsiaTheme="minorHAnsi" w:hAnsi="Times New Roman" w:cs="Times New Roman"/>
          <w:color w:val="000000"/>
          <w:sz w:val="24"/>
          <w:szCs w:val="24"/>
        </w:rPr>
        <w:t>geographically separated regions (e.g., Fitzgerald et al., 2024), the estimation considers a panel of provinces that face the same monetary policy and food policy. We also account for varying sensitivities of the effect of rising commodity prices on inflation during different inflation states. This leads us to use the following fixed effects quantile regression of Machado and Silva (2019)</w:t>
      </w:r>
      <w:r w:rsidR="004E2B5B" w:rsidRPr="00CB7A02">
        <w:rPr>
          <w:rStyle w:val="FootnoteReference"/>
          <w:rFonts w:ascii="Times New Roman" w:eastAsiaTheme="minorHAnsi" w:hAnsi="Times New Roman" w:cs="Times New Roman"/>
          <w:color w:val="000000"/>
          <w:sz w:val="24"/>
          <w:szCs w:val="24"/>
        </w:rPr>
        <w:footnoteReference w:id="1"/>
      </w:r>
      <w:r w:rsidR="00F529B7" w:rsidRPr="00CB7A02">
        <w:rPr>
          <w:rFonts w:ascii="Times New Roman" w:eastAsiaTheme="minorHAnsi" w:hAnsi="Times New Roman" w:cs="Times New Roman"/>
          <w:color w:val="000000"/>
          <w:sz w:val="24"/>
          <w:szCs w:val="24"/>
        </w:rPr>
        <w:t xml:space="preserve"> </w:t>
      </w:r>
      <w:r w:rsidR="004E2B5B" w:rsidRPr="00CB7A02">
        <w:rPr>
          <w:rFonts w:ascii="Times New Roman" w:hAnsi="Times New Roman" w:cs="Times New Roman"/>
          <w:sz w:val="24"/>
          <w:szCs w:val="24"/>
        </w:rPr>
        <w:t>on the Philippine provincial inflation data</w:t>
      </w:r>
      <w:r w:rsidR="004E2B5B" w:rsidRPr="00CB7A02">
        <w:rPr>
          <w:rFonts w:ascii="Times New Roman" w:eastAsiaTheme="minorHAnsi" w:hAnsi="Times New Roman" w:cs="Times New Roman"/>
          <w:color w:val="000000"/>
          <w:sz w:val="24"/>
          <w:szCs w:val="24"/>
        </w:rPr>
        <w:t>:</w:t>
      </w:r>
    </w:p>
    <w:p w14:paraId="0FBF0761" w14:textId="77777777" w:rsidR="004E2B5B" w:rsidRPr="00D6728E" w:rsidRDefault="004E2B5B" w:rsidP="004E2B5B">
      <w:pPr>
        <w:ind w:right="96"/>
        <w:jc w:val="both"/>
        <w:rPr>
          <w:rFonts w:ascii="Montserrat" w:hAnsi="Montserrat"/>
          <w:spacing w:val="-8"/>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7"/>
        <w:gridCol w:w="1521"/>
      </w:tblGrid>
      <w:tr w:rsidR="004E2B5B" w:rsidRPr="00D6728E" w14:paraId="50978472" w14:textId="77777777" w:rsidTr="00532745">
        <w:trPr>
          <w:trHeight w:val="69"/>
          <w:jc w:val="center"/>
        </w:trPr>
        <w:tc>
          <w:tcPr>
            <w:tcW w:w="0" w:type="auto"/>
            <w:vAlign w:val="center"/>
          </w:tcPr>
          <w:p w14:paraId="2E8ADF18" w14:textId="77777777" w:rsidR="004E2B5B" w:rsidRPr="00D6728E" w:rsidRDefault="00000000" w:rsidP="00532745">
            <w:pPr>
              <w:rPr>
                <w:rFonts w:ascii="Montserrat" w:hAnsi="Montserrat"/>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i,t,m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1,τ</m:t>
                    </m:r>
                  </m:sub>
                </m:sSub>
                <m:sSubSup>
                  <m:sSubSupPr>
                    <m:ctrlPr>
                      <w:rPr>
                        <w:rFonts w:ascii="Cambria Math" w:eastAsiaTheme="minorEastAsia" w:hAnsi="Cambria Math"/>
                        <w:sz w:val="22"/>
                        <w:szCs w:val="22"/>
                      </w:rPr>
                    </m:ctrlPr>
                  </m:sSubSupPr>
                  <m:e>
                    <m:r>
                      <m:rPr>
                        <m:sty m:val="p"/>
                      </m:rPr>
                      <w:rPr>
                        <w:rFonts w:ascii="Cambria Math" w:eastAsiaTheme="minorEastAsia" w:hAnsi="Cambria Math"/>
                        <w:sz w:val="22"/>
                        <w:szCs w:val="22"/>
                      </w:rPr>
                      <m:t>Δc</m:t>
                    </m:r>
                  </m:e>
                  <m:sub>
                    <m:r>
                      <w:rPr>
                        <w:rFonts w:ascii="Cambria Math" w:eastAsiaTheme="minorEastAsia" w:hAnsi="Cambria Math"/>
                        <w:sz w:val="22"/>
                        <w:szCs w:val="22"/>
                      </w:rPr>
                      <m:t>i,t,m</m:t>
                    </m:r>
                  </m:sub>
                  <m:sup>
                    <m:r>
                      <w:rPr>
                        <w:rFonts w:ascii="Cambria Math" w:eastAsiaTheme="minorEastAsia" w:hAnsi="Cambria Math"/>
                        <w:sz w:val="22"/>
                        <w:szCs w:val="22"/>
                      </w:rPr>
                      <m:t>rc</m:t>
                    </m:r>
                  </m:sup>
                </m:sSubSup>
                <m:r>
                  <w:rPr>
                    <w:rFonts w:ascii="Cambria Math" w:eastAsiaTheme="minorEastAsia"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2,τ</m:t>
                    </m:r>
                  </m:sub>
                </m:sSub>
                <m:sSubSup>
                  <m:sSubSupPr>
                    <m:ctrlPr>
                      <w:rPr>
                        <w:rFonts w:ascii="Cambria Math" w:eastAsiaTheme="minorEastAsia" w:hAnsi="Cambria Math"/>
                        <w:sz w:val="22"/>
                        <w:szCs w:val="22"/>
                      </w:rPr>
                    </m:ctrlPr>
                  </m:sSubSupPr>
                  <m:e>
                    <m:r>
                      <m:rPr>
                        <m:sty m:val="p"/>
                      </m:rPr>
                      <w:rPr>
                        <w:rFonts w:ascii="Cambria Math" w:eastAsiaTheme="minorEastAsia" w:hAnsi="Cambria Math"/>
                        <w:sz w:val="22"/>
                        <w:szCs w:val="22"/>
                      </w:rPr>
                      <m:t>Δc</m:t>
                    </m:r>
                  </m:e>
                  <m:sub>
                    <m:r>
                      <w:rPr>
                        <w:rFonts w:ascii="Cambria Math" w:eastAsiaTheme="minorEastAsia" w:hAnsi="Cambria Math"/>
                        <w:sz w:val="22"/>
                        <w:szCs w:val="22"/>
                      </w:rPr>
                      <m:t>i,t,m</m:t>
                    </m:r>
                  </m:sub>
                  <m:sup>
                    <m:r>
                      <w:rPr>
                        <w:rFonts w:ascii="Cambria Math" w:eastAsiaTheme="minorEastAsia" w:hAnsi="Cambria Math"/>
                        <w:sz w:val="22"/>
                        <w:szCs w:val="22"/>
                      </w:rPr>
                      <m:t>fu</m:t>
                    </m:r>
                  </m:sup>
                </m:sSubSup>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τ,k</m:t>
                        </m:r>
                      </m:sub>
                    </m:sSub>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i,t,m-k</m:t>
                        </m:r>
                      </m:sub>
                    </m:sSub>
                  </m:e>
                </m:nary>
                <m:r>
                  <w:rPr>
                    <w:rFonts w:ascii="Cambria Math"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γ</m:t>
                    </m:r>
                  </m:e>
                  <m:sub>
                    <m:r>
                      <w:rPr>
                        <w:rFonts w:ascii="Cambria Math" w:eastAsiaTheme="minorEastAsia" w:hAnsi="Cambria Math"/>
                        <w:sz w:val="22"/>
                        <w:szCs w:val="22"/>
                      </w:rPr>
                      <m:t>t</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δ</m:t>
                    </m:r>
                  </m:e>
                  <m:sub>
                    <m:r>
                      <w:rPr>
                        <w:rFonts w:ascii="Cambria Math" w:eastAsiaTheme="minorEastAsia" w:hAnsi="Cambria Math"/>
                        <w:sz w:val="22"/>
                        <w:szCs w:val="22"/>
                      </w:rPr>
                      <m:t>i</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ε</m:t>
                    </m:r>
                  </m:e>
                  <m:sub>
                    <m:r>
                      <w:rPr>
                        <w:rFonts w:ascii="Cambria Math" w:hAnsi="Cambria Math"/>
                        <w:sz w:val="22"/>
                        <w:szCs w:val="22"/>
                      </w:rPr>
                      <m:t>τ,</m:t>
                    </m:r>
                    <m:r>
                      <w:rPr>
                        <w:rFonts w:ascii="Cambria Math" w:eastAsiaTheme="minorEastAsia" w:hAnsi="Cambria Math"/>
                        <w:sz w:val="22"/>
                        <w:szCs w:val="22"/>
                      </w:rPr>
                      <m:t>i,t,m</m:t>
                    </m:r>
                  </m:sub>
                </m:sSub>
              </m:oMath>
            </m:oMathPara>
          </w:p>
        </w:tc>
        <w:tc>
          <w:tcPr>
            <w:tcW w:w="1521" w:type="dxa"/>
            <w:vAlign w:val="center"/>
          </w:tcPr>
          <w:p w14:paraId="209D60CE" w14:textId="77777777" w:rsidR="004E2B5B" w:rsidRPr="00D6728E" w:rsidRDefault="004E2B5B" w:rsidP="00532745">
            <w:pPr>
              <w:pStyle w:val="ListParagraph"/>
              <w:numPr>
                <w:ilvl w:val="0"/>
                <w:numId w:val="11"/>
              </w:numPr>
              <w:spacing w:after="0" w:line="240" w:lineRule="auto"/>
              <w:jc w:val="center"/>
              <w:rPr>
                <w:rFonts w:ascii="Montserrat" w:hAnsi="Montserrat" w:cs="Segoe UI"/>
              </w:rPr>
            </w:pPr>
          </w:p>
        </w:tc>
      </w:tr>
    </w:tbl>
    <w:p w14:paraId="5FC0D970" w14:textId="77777777" w:rsidR="004E2B5B" w:rsidRPr="00D6728E" w:rsidRDefault="004E2B5B" w:rsidP="004E2B5B">
      <w:pPr>
        <w:ind w:right="96"/>
        <w:jc w:val="both"/>
        <w:rPr>
          <w:rFonts w:ascii="Montserrat" w:hAnsi="Montserrat"/>
          <w:spacing w:val="-8"/>
          <w:sz w:val="22"/>
          <w:szCs w:val="22"/>
        </w:rPr>
      </w:pPr>
    </w:p>
    <w:p w14:paraId="0462773B" w14:textId="0134E4A7" w:rsidR="004E2B5B" w:rsidRPr="00CB7A02" w:rsidRDefault="004E2B5B" w:rsidP="004E2B5B">
      <w:pPr>
        <w:ind w:right="96"/>
        <w:jc w:val="both"/>
        <w:rPr>
          <w:rFonts w:ascii="Times New Roman" w:hAnsi="Times New Roman" w:cs="Times New Roman"/>
          <w:sz w:val="24"/>
          <w:szCs w:val="24"/>
        </w:rPr>
      </w:pPr>
      <w:r w:rsidRPr="00CB7A02">
        <w:rPr>
          <w:rFonts w:ascii="Times New Roman" w:eastAsiaTheme="minorHAnsi" w:hAnsi="Times New Roman" w:cs="Times New Roman"/>
          <w:color w:val="000000"/>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i,t,m</m:t>
            </m:r>
          </m:sub>
        </m:sSub>
      </m:oMath>
      <w:r w:rsidRPr="00CB7A02">
        <w:rPr>
          <w:rFonts w:ascii="Times New Roman" w:eastAsiaTheme="minorEastAsia" w:hAnsi="Times New Roman" w:cs="Times New Roman"/>
          <w:sz w:val="24"/>
          <w:szCs w:val="24"/>
        </w:rPr>
        <w:t xml:space="preserve"> is monthly year-on-year change in the general consumer price index (CPI). The subscripts </w:t>
      </w:r>
      <w:proofErr w:type="spellStart"/>
      <w:r w:rsidRPr="00CB7A02">
        <w:rPr>
          <w:rFonts w:ascii="Times New Roman" w:eastAsiaTheme="minorEastAsia" w:hAnsi="Times New Roman" w:cs="Times New Roman"/>
          <w:i/>
          <w:iCs/>
          <w:sz w:val="24"/>
          <w:szCs w:val="24"/>
        </w:rPr>
        <w:t>i</w:t>
      </w:r>
      <w:proofErr w:type="spellEnd"/>
      <w:r w:rsidRPr="00CB7A02">
        <w:rPr>
          <w:rFonts w:ascii="Times New Roman" w:eastAsiaTheme="minorEastAsia" w:hAnsi="Times New Roman" w:cs="Times New Roman"/>
          <w:sz w:val="24"/>
          <w:szCs w:val="24"/>
        </w:rPr>
        <w:t xml:space="preserve">, </w:t>
      </w:r>
      <w:r w:rsidRPr="00CB7A02">
        <w:rPr>
          <w:rFonts w:ascii="Times New Roman" w:eastAsiaTheme="minorEastAsia" w:hAnsi="Times New Roman" w:cs="Times New Roman"/>
          <w:i/>
          <w:iCs/>
          <w:sz w:val="24"/>
          <w:szCs w:val="24"/>
        </w:rPr>
        <w:t>t</w:t>
      </w:r>
      <w:r w:rsidR="00927E1B" w:rsidRPr="00CB7A02">
        <w:rPr>
          <w:rFonts w:ascii="Times New Roman" w:eastAsiaTheme="minorEastAsia" w:hAnsi="Times New Roman" w:cs="Times New Roman"/>
          <w:i/>
          <w:iCs/>
          <w:sz w:val="24"/>
          <w:szCs w:val="24"/>
        </w:rPr>
        <w:t>,</w:t>
      </w:r>
      <w:r w:rsidRPr="00CB7A02">
        <w:rPr>
          <w:rFonts w:ascii="Times New Roman" w:eastAsiaTheme="minorEastAsia" w:hAnsi="Times New Roman" w:cs="Times New Roman"/>
          <w:sz w:val="24"/>
          <w:szCs w:val="24"/>
        </w:rPr>
        <w:t xml:space="preserve"> and </w:t>
      </w:r>
      <w:r w:rsidRPr="00CB7A02">
        <w:rPr>
          <w:rFonts w:ascii="Times New Roman" w:eastAsiaTheme="minorEastAsia" w:hAnsi="Times New Roman" w:cs="Times New Roman"/>
          <w:i/>
          <w:iCs/>
          <w:sz w:val="24"/>
          <w:szCs w:val="24"/>
        </w:rPr>
        <w:t>m</w:t>
      </w:r>
      <w:r w:rsidRPr="00CB7A02">
        <w:rPr>
          <w:rFonts w:ascii="Times New Roman" w:eastAsiaTheme="minorEastAsia" w:hAnsi="Times New Roman" w:cs="Times New Roman"/>
          <w:sz w:val="24"/>
          <w:szCs w:val="24"/>
        </w:rPr>
        <w:t xml:space="preserve"> denote province, year</w:t>
      </w:r>
      <w:r w:rsidR="00927E1B" w:rsidRPr="00CB7A02">
        <w:rPr>
          <w:rFonts w:ascii="Times New Roman" w:eastAsiaTheme="minorEastAsia" w:hAnsi="Times New Roman" w:cs="Times New Roman"/>
          <w:sz w:val="24"/>
          <w:szCs w:val="24"/>
        </w:rPr>
        <w:t>,</w:t>
      </w:r>
      <w:r w:rsidRPr="00CB7A02">
        <w:rPr>
          <w:rFonts w:ascii="Times New Roman" w:eastAsiaTheme="minorEastAsia" w:hAnsi="Times New Roman" w:cs="Times New Roman"/>
          <w:sz w:val="24"/>
          <w:szCs w:val="24"/>
        </w:rPr>
        <w:t xml:space="preserve"> and month, respectively. On the right-hand side,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Δc</m:t>
            </m:r>
          </m:e>
          <m:sub>
            <m:r>
              <w:rPr>
                <w:rFonts w:ascii="Cambria Math" w:eastAsiaTheme="minorEastAsia" w:hAnsi="Cambria Math" w:cs="Times New Roman"/>
                <w:sz w:val="24"/>
                <w:szCs w:val="24"/>
              </w:rPr>
              <m:t>i,t,m</m:t>
            </m:r>
          </m:sub>
          <m:sup>
            <m:r>
              <w:rPr>
                <w:rFonts w:ascii="Cambria Math" w:eastAsiaTheme="minorEastAsia" w:hAnsi="Cambria Math" w:cs="Times New Roman"/>
                <w:sz w:val="24"/>
                <w:szCs w:val="24"/>
              </w:rPr>
              <m:t>rc</m:t>
            </m:r>
          </m:sup>
        </m:sSubSup>
      </m:oMath>
      <w:r w:rsidRPr="00CB7A02">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Δc</m:t>
            </m:r>
          </m:e>
          <m:sub>
            <m:r>
              <w:rPr>
                <w:rFonts w:ascii="Cambria Math" w:eastAsiaTheme="minorEastAsia" w:hAnsi="Cambria Math" w:cs="Times New Roman"/>
                <w:sz w:val="24"/>
                <w:szCs w:val="24"/>
              </w:rPr>
              <m:t>i,t,m</m:t>
            </m:r>
          </m:sub>
          <m:sup>
            <m:r>
              <w:rPr>
                <w:rFonts w:ascii="Cambria Math" w:eastAsiaTheme="minorEastAsia" w:hAnsi="Cambria Math" w:cs="Times New Roman"/>
                <w:sz w:val="24"/>
                <w:szCs w:val="24"/>
              </w:rPr>
              <m:t>fu</m:t>
            </m:r>
          </m:sup>
        </m:sSubSup>
      </m:oMath>
      <w:r w:rsidRPr="00CB7A02">
        <w:rPr>
          <w:rFonts w:ascii="Times New Roman" w:eastAsiaTheme="minorEastAsia" w:hAnsi="Times New Roman" w:cs="Times New Roman"/>
          <w:sz w:val="24"/>
          <w:szCs w:val="24"/>
        </w:rPr>
        <w:t xml:space="preserve"> are monthly year-on-year change</w:t>
      </w:r>
      <w:r w:rsidR="00927E1B" w:rsidRPr="00CB7A02">
        <w:rPr>
          <w:rFonts w:ascii="Times New Roman" w:eastAsiaTheme="minorEastAsia" w:hAnsi="Times New Roman" w:cs="Times New Roman"/>
          <w:sz w:val="24"/>
          <w:szCs w:val="24"/>
        </w:rPr>
        <w:t>s</w:t>
      </w:r>
      <w:r w:rsidRPr="00CB7A02">
        <w:rPr>
          <w:rFonts w:ascii="Times New Roman" w:eastAsiaTheme="minorEastAsia" w:hAnsi="Times New Roman" w:cs="Times New Roman"/>
          <w:sz w:val="24"/>
          <w:szCs w:val="24"/>
        </w:rPr>
        <w:t xml:space="preserve"> in rice and fuel prices, respectively;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i,τ</m:t>
            </m:r>
          </m:sub>
        </m:sSub>
      </m:oMath>
      <w:r w:rsidRPr="00CB7A0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1,τ</m:t>
            </m:r>
          </m:sub>
        </m:sSub>
      </m:oMath>
      <w:r w:rsidRPr="00CB7A0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2,τ</m:t>
            </m:r>
          </m:sub>
        </m:sSub>
      </m:oMath>
      <w:r w:rsidRPr="00CB7A02">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τ,k</m:t>
            </m:r>
          </m:sub>
        </m:sSub>
      </m:oMath>
      <w:r w:rsidRPr="00CB7A02">
        <w:rPr>
          <w:rFonts w:ascii="Times New Roman" w:eastAsiaTheme="minorEastAsia" w:hAnsi="Times New Roman" w:cs="Times New Roman"/>
          <w:sz w:val="24"/>
          <w:szCs w:val="24"/>
        </w:rPr>
        <w:t xml:space="preserve"> are the parameters to be estimated;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t</m:t>
            </m:r>
          </m:sub>
        </m:sSub>
      </m:oMath>
      <w:r w:rsidRPr="00CB7A02">
        <w:rPr>
          <w:rFonts w:ascii="Times New Roman" w:eastAsiaTheme="minorEastAsia" w:hAnsi="Times New Roman" w:cs="Times New Roman"/>
          <w:sz w:val="24"/>
          <w:szCs w:val="24"/>
        </w:rPr>
        <w:t xml:space="preserve"> is year dummies;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Sub>
      </m:oMath>
      <w:r w:rsidRPr="00CB7A02">
        <w:rPr>
          <w:rFonts w:ascii="Times New Roman" w:eastAsiaTheme="minorEastAsia" w:hAnsi="Times New Roman" w:cs="Times New Roman"/>
          <w:sz w:val="24"/>
          <w:szCs w:val="24"/>
        </w:rPr>
        <w:t xml:space="preserve"> controls for time-invariant province-idiosyncratic error components;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hAnsi="Cambria Math" w:cs="Times New Roman"/>
                <w:sz w:val="24"/>
                <w:szCs w:val="24"/>
              </w:rPr>
              <m:t>τ,</m:t>
            </m:r>
            <m:r>
              <w:rPr>
                <w:rFonts w:ascii="Cambria Math" w:eastAsiaTheme="minorEastAsia" w:hAnsi="Cambria Math" w:cs="Times New Roman"/>
                <w:sz w:val="24"/>
                <w:szCs w:val="24"/>
              </w:rPr>
              <m:t>i,t,m</m:t>
            </m:r>
          </m:sub>
        </m:sSub>
      </m:oMath>
      <w:r w:rsidRPr="00CB7A02">
        <w:rPr>
          <w:rFonts w:ascii="Times New Roman" w:eastAsiaTheme="minorEastAsia" w:hAnsi="Times New Roman" w:cs="Times New Roman"/>
          <w:sz w:val="24"/>
          <w:szCs w:val="24"/>
        </w:rPr>
        <w:t xml:space="preserve"> is the error term which assumes that its conditional expectations over each quantile are zero</w:t>
      </w:r>
      <w:r w:rsidR="00927E1B" w:rsidRPr="00CB7A02">
        <w:rPr>
          <w:rFonts w:ascii="Times New Roman" w:eastAsiaTheme="minorEastAsia" w:hAnsi="Times New Roman" w:cs="Times New Roman"/>
          <w:sz w:val="24"/>
          <w:szCs w:val="24"/>
        </w:rPr>
        <w:t>,</w:t>
      </w:r>
      <w:r w:rsidRPr="00CB7A02">
        <w:rPr>
          <w:rFonts w:ascii="Times New Roman" w:eastAsiaTheme="minorEastAsia" w:hAnsi="Times New Roman" w:cs="Times New Roman"/>
          <w:sz w:val="24"/>
          <w:szCs w:val="24"/>
        </w:rPr>
        <w:t xml:space="preserve"> and </w:t>
      </w:r>
      <w:r w:rsidRPr="00CB7A02">
        <w:rPr>
          <w:rFonts w:ascii="Times New Roman" w:eastAsiaTheme="minorEastAsia" w:hAnsi="Times New Roman" w:cs="Times New Roman"/>
          <w:i/>
          <w:iCs/>
          <w:sz w:val="24"/>
          <w:szCs w:val="24"/>
        </w:rPr>
        <w:t>k</w:t>
      </w:r>
      <w:r w:rsidRPr="00CB7A02">
        <w:rPr>
          <w:rFonts w:ascii="Times New Roman" w:eastAsiaTheme="minorEastAsia" w:hAnsi="Times New Roman" w:cs="Times New Roman"/>
          <w:sz w:val="24"/>
          <w:szCs w:val="24"/>
        </w:rPr>
        <w:t xml:space="preserve"> is the number of lags.</w:t>
      </w:r>
    </w:p>
    <w:p w14:paraId="5084C83B" w14:textId="77777777" w:rsidR="004E2B5B" w:rsidRPr="00CB7A02" w:rsidRDefault="004E2B5B" w:rsidP="004E2B5B">
      <w:pPr>
        <w:jc w:val="both"/>
        <w:rPr>
          <w:rFonts w:ascii="Times New Roman" w:hAnsi="Times New Roman" w:cs="Times New Roman"/>
          <w:sz w:val="24"/>
          <w:szCs w:val="24"/>
        </w:rPr>
      </w:pPr>
    </w:p>
    <w:p w14:paraId="1102694F" w14:textId="71EA3F09" w:rsidR="004E2B5B" w:rsidRPr="00CB7A02" w:rsidRDefault="004E2B5B" w:rsidP="004E2B5B">
      <w:pPr>
        <w:ind w:firstLine="357"/>
        <w:jc w:val="both"/>
        <w:rPr>
          <w:rFonts w:ascii="Times New Roman" w:hAnsi="Times New Roman" w:cs="Times New Roman"/>
          <w:sz w:val="24"/>
          <w:szCs w:val="24"/>
        </w:rPr>
      </w:pPr>
      <w:r w:rsidRPr="00CB7A02">
        <w:rPr>
          <w:rFonts w:ascii="Times New Roman" w:hAnsi="Times New Roman" w:cs="Times New Roman"/>
          <w:sz w:val="24"/>
          <w:szCs w:val="24"/>
        </w:rPr>
        <w:t xml:space="preserve">Furthermore, the estimation includes the impact of remittances to allow comparison with a prior study of the Philippine regional inflation dynamics (e.g., Valera, </w:t>
      </w:r>
      <w:proofErr w:type="spellStart"/>
      <w:r w:rsidRPr="00CB7A02">
        <w:rPr>
          <w:rFonts w:ascii="Times New Roman" w:hAnsi="Times New Roman" w:cs="Times New Roman"/>
          <w:sz w:val="24"/>
          <w:szCs w:val="24"/>
        </w:rPr>
        <w:t>Balié</w:t>
      </w:r>
      <w:proofErr w:type="spellEnd"/>
      <w:r w:rsidRPr="00CB7A02">
        <w:rPr>
          <w:rFonts w:ascii="Times New Roman" w:hAnsi="Times New Roman" w:cs="Times New Roman"/>
          <w:sz w:val="24"/>
          <w:szCs w:val="24"/>
        </w:rPr>
        <w:t xml:space="preserve"> &amp; Magrini, 2022). </w:t>
      </w:r>
      <w:r w:rsidRPr="00CB7A02">
        <w:rPr>
          <w:rFonts w:ascii="Times New Roman" w:hAnsi="Times New Roman" w:cs="Times New Roman"/>
          <w:sz w:val="24"/>
          <w:szCs w:val="24"/>
        </w:rPr>
        <w:lastRenderedPageBreak/>
        <w:t>Lags of changes in rice prices, fuel prices</w:t>
      </w:r>
      <w:r w:rsidR="00F529B7" w:rsidRPr="00CB7A02">
        <w:rPr>
          <w:rFonts w:ascii="Times New Roman" w:hAnsi="Times New Roman" w:cs="Times New Roman"/>
          <w:sz w:val="24"/>
          <w:szCs w:val="24"/>
        </w:rPr>
        <w:t>,</w:t>
      </w:r>
      <w:r w:rsidRPr="00CB7A02">
        <w:rPr>
          <w:rFonts w:ascii="Times New Roman" w:hAnsi="Times New Roman" w:cs="Times New Roman"/>
          <w:sz w:val="24"/>
          <w:szCs w:val="24"/>
        </w:rPr>
        <w:t xml:space="preserve"> and remittances </w:t>
      </w:r>
      <w:r w:rsidR="00927E1B" w:rsidRPr="00CB7A02">
        <w:rPr>
          <w:rFonts w:ascii="Times New Roman" w:hAnsi="Times New Roman" w:cs="Times New Roman"/>
          <w:sz w:val="24"/>
          <w:szCs w:val="24"/>
        </w:rPr>
        <w:t xml:space="preserve">are also added because these are informative </w:t>
      </w:r>
      <w:r w:rsidR="00C73A3C" w:rsidRPr="00CB7A02">
        <w:rPr>
          <w:rFonts w:ascii="Times New Roman" w:hAnsi="Times New Roman" w:cs="Times New Roman"/>
          <w:sz w:val="24"/>
          <w:szCs w:val="24"/>
        </w:rPr>
        <w:t xml:space="preserve">as to </w:t>
      </w:r>
      <w:r w:rsidRPr="00CB7A02">
        <w:rPr>
          <w:rFonts w:ascii="Times New Roman" w:hAnsi="Times New Roman" w:cs="Times New Roman"/>
          <w:sz w:val="24"/>
          <w:szCs w:val="24"/>
        </w:rPr>
        <w:t>the evaluation of</w:t>
      </w:r>
      <w:r w:rsidR="00C73A3C" w:rsidRPr="00CB7A02">
        <w:rPr>
          <w:rFonts w:ascii="Times New Roman" w:hAnsi="Times New Roman" w:cs="Times New Roman"/>
          <w:sz w:val="24"/>
          <w:szCs w:val="24"/>
        </w:rPr>
        <w:t xml:space="preserve"> </w:t>
      </w:r>
      <w:r w:rsidRPr="00CB7A02">
        <w:rPr>
          <w:rFonts w:ascii="Times New Roman" w:hAnsi="Times New Roman" w:cs="Times New Roman"/>
          <w:sz w:val="24"/>
          <w:szCs w:val="24"/>
        </w:rPr>
        <w:t>their long-run effect on overall inflation.</w:t>
      </w:r>
    </w:p>
    <w:p w14:paraId="248EC86E" w14:textId="77777777" w:rsidR="004E2B5B" w:rsidRPr="00CB7A02" w:rsidRDefault="004E2B5B" w:rsidP="004E2B5B">
      <w:pPr>
        <w:ind w:firstLine="357"/>
        <w:jc w:val="both"/>
        <w:rPr>
          <w:rFonts w:ascii="Times New Roman" w:hAnsi="Times New Roman" w:cs="Times New Roman"/>
          <w:sz w:val="24"/>
          <w:szCs w:val="24"/>
        </w:rPr>
      </w:pPr>
    </w:p>
    <w:p w14:paraId="14ABD771" w14:textId="77777777" w:rsidR="004E2B5B" w:rsidRPr="00CB7A02" w:rsidRDefault="004E2B5B" w:rsidP="004E2B5B">
      <w:pPr>
        <w:ind w:firstLine="357"/>
        <w:jc w:val="both"/>
        <w:rPr>
          <w:rFonts w:ascii="Times New Roman" w:hAnsi="Times New Roman" w:cs="Times New Roman"/>
          <w:sz w:val="24"/>
          <w:szCs w:val="24"/>
        </w:rPr>
      </w:pPr>
      <w:r w:rsidRPr="00CB7A02">
        <w:rPr>
          <w:rFonts w:ascii="Times New Roman" w:hAnsi="Times New Roman" w:cs="Times New Roman"/>
          <w:sz w:val="24"/>
          <w:szCs w:val="24"/>
        </w:rPr>
        <w:t>Our main fixed effects quantile regression is specified as follows:</w:t>
      </w:r>
    </w:p>
    <w:p w14:paraId="1F74B55D" w14:textId="77777777" w:rsidR="004E2B5B" w:rsidRPr="00D6728E" w:rsidRDefault="004E2B5B" w:rsidP="004E2B5B">
      <w:pPr>
        <w:ind w:firstLine="720"/>
        <w:jc w:val="both"/>
        <w:rPr>
          <w:rFonts w:ascii="Montserrat" w:hAnsi="Montserrat"/>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095"/>
      </w:tblGrid>
      <w:tr w:rsidR="004E2B5B" w:rsidRPr="00D6728E" w14:paraId="4A4D4123" w14:textId="77777777" w:rsidTr="00532745">
        <w:trPr>
          <w:trHeight w:val="662"/>
          <w:jc w:val="center"/>
        </w:trPr>
        <w:tc>
          <w:tcPr>
            <w:tcW w:w="6379" w:type="dxa"/>
            <w:vAlign w:val="center"/>
          </w:tcPr>
          <w:p w14:paraId="5B5E63CF" w14:textId="77777777" w:rsidR="004E2B5B" w:rsidRPr="00D6728E" w:rsidRDefault="00000000" w:rsidP="00532745">
            <w:pPr>
              <w:jc w:val="center"/>
              <w:rPr>
                <w:rFonts w:ascii="Montserrat" w:hAnsi="Montserrat"/>
                <w:sz w:val="22"/>
                <w:szCs w:val="22"/>
              </w:rPr>
            </w:pPr>
            <m:oMathPara>
              <m:oMath>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i,t,m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i,τ</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1,τ</m:t>
                    </m:r>
                  </m:sub>
                </m:sSub>
                <m:sSubSup>
                  <m:sSubSupPr>
                    <m:ctrlPr>
                      <w:rPr>
                        <w:rFonts w:ascii="Cambria Math" w:eastAsiaTheme="minorEastAsia" w:hAnsi="Cambria Math"/>
                        <w:sz w:val="22"/>
                        <w:szCs w:val="22"/>
                      </w:rPr>
                    </m:ctrlPr>
                  </m:sSubSupPr>
                  <m:e>
                    <m:r>
                      <m:rPr>
                        <m:sty m:val="p"/>
                      </m:rPr>
                      <w:rPr>
                        <w:rFonts w:ascii="Cambria Math" w:eastAsiaTheme="minorEastAsia" w:hAnsi="Cambria Math"/>
                        <w:sz w:val="22"/>
                        <w:szCs w:val="22"/>
                      </w:rPr>
                      <m:t>Δc</m:t>
                    </m:r>
                  </m:e>
                  <m:sub>
                    <m:r>
                      <w:rPr>
                        <w:rFonts w:ascii="Cambria Math" w:eastAsiaTheme="minorEastAsia" w:hAnsi="Cambria Math"/>
                        <w:sz w:val="22"/>
                        <w:szCs w:val="22"/>
                      </w:rPr>
                      <m:t>i,t,m</m:t>
                    </m:r>
                  </m:sub>
                  <m:sup>
                    <m:r>
                      <w:rPr>
                        <w:rFonts w:ascii="Cambria Math" w:eastAsiaTheme="minorEastAsia" w:hAnsi="Cambria Math"/>
                        <w:sz w:val="22"/>
                        <w:szCs w:val="22"/>
                      </w:rPr>
                      <m:t>rc</m:t>
                    </m:r>
                  </m:sup>
                </m:sSubSup>
                <m:r>
                  <w:rPr>
                    <w:rFonts w:ascii="Cambria Math" w:eastAsiaTheme="minorEastAsia"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2,τ</m:t>
                    </m:r>
                  </m:sub>
                </m:sSub>
                <m:sSubSup>
                  <m:sSubSupPr>
                    <m:ctrlPr>
                      <w:rPr>
                        <w:rFonts w:ascii="Cambria Math" w:eastAsiaTheme="minorEastAsia" w:hAnsi="Cambria Math"/>
                        <w:sz w:val="22"/>
                        <w:szCs w:val="22"/>
                      </w:rPr>
                    </m:ctrlPr>
                  </m:sSubSupPr>
                  <m:e>
                    <m:r>
                      <m:rPr>
                        <m:sty m:val="p"/>
                      </m:rPr>
                      <w:rPr>
                        <w:rFonts w:ascii="Cambria Math" w:eastAsiaTheme="minorEastAsia" w:hAnsi="Cambria Math"/>
                        <w:sz w:val="22"/>
                        <w:szCs w:val="22"/>
                      </w:rPr>
                      <m:t>Δc</m:t>
                    </m:r>
                  </m:e>
                  <m:sub>
                    <m:r>
                      <w:rPr>
                        <w:rFonts w:ascii="Cambria Math" w:eastAsiaTheme="minorEastAsia" w:hAnsi="Cambria Math"/>
                        <w:sz w:val="22"/>
                        <w:szCs w:val="22"/>
                      </w:rPr>
                      <m:t>i,t,m</m:t>
                    </m:r>
                  </m:sub>
                  <m:sup>
                    <m:r>
                      <w:rPr>
                        <w:rFonts w:ascii="Cambria Math" w:eastAsiaTheme="minorEastAsia" w:hAnsi="Cambria Math"/>
                        <w:sz w:val="22"/>
                        <w:szCs w:val="22"/>
                      </w:rPr>
                      <m:t>fu</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3,τ</m:t>
                    </m:r>
                  </m:sub>
                </m:sSub>
                <m:sSubSup>
                  <m:sSubSupPr>
                    <m:ctrlPr>
                      <w:rPr>
                        <w:rFonts w:ascii="Cambria Math" w:eastAsiaTheme="minorEastAsia" w:hAnsi="Cambria Math"/>
                        <w:sz w:val="22"/>
                        <w:szCs w:val="22"/>
                      </w:rPr>
                    </m:ctrlPr>
                  </m:sSubSupPr>
                  <m:e>
                    <m:r>
                      <m:rPr>
                        <m:sty m:val="p"/>
                      </m:rPr>
                      <w:rPr>
                        <w:rFonts w:ascii="Cambria Math" w:eastAsiaTheme="minorEastAsia" w:hAnsi="Cambria Math"/>
                        <w:sz w:val="22"/>
                        <w:szCs w:val="22"/>
                      </w:rPr>
                      <m:t>Δc</m:t>
                    </m:r>
                  </m:e>
                  <m:sub>
                    <m:r>
                      <w:rPr>
                        <w:rFonts w:ascii="Cambria Math" w:eastAsiaTheme="minorEastAsia" w:hAnsi="Cambria Math"/>
                        <w:sz w:val="22"/>
                        <w:szCs w:val="22"/>
                      </w:rPr>
                      <m:t>i,t,m</m:t>
                    </m:r>
                  </m:sub>
                  <m:sup>
                    <m:r>
                      <w:rPr>
                        <w:rFonts w:ascii="Cambria Math" w:eastAsiaTheme="minorEastAsia" w:hAnsi="Cambria Math"/>
                        <w:sz w:val="22"/>
                        <w:szCs w:val="22"/>
                      </w:rPr>
                      <m:t>re</m:t>
                    </m:r>
                  </m:sup>
                </m:sSubSup>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τ,k</m:t>
                        </m:r>
                      </m:sub>
                    </m:sSub>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i,t,m-k</m:t>
                        </m:r>
                      </m:sub>
                    </m:sSub>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θ</m:t>
                        </m:r>
                      </m:e>
                      <m:sub>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r>
                          <w:rPr>
                            <w:rFonts w:ascii="Cambria Math" w:hAnsi="Cambria Math"/>
                            <w:sz w:val="22"/>
                            <w:szCs w:val="22"/>
                          </w:rPr>
                          <m:t>,τ,k</m:t>
                        </m:r>
                      </m:sub>
                    </m:sSub>
                  </m:e>
                </m:nary>
                <m:sSub>
                  <m:sSubPr>
                    <m:ctrlPr>
                      <w:rPr>
                        <w:rFonts w:ascii="Cambria Math" w:eastAsiaTheme="minorEastAsia" w:hAnsi="Cambria Math"/>
                        <w:i/>
                        <w:sz w:val="22"/>
                        <w:szCs w:val="22"/>
                      </w:rPr>
                    </m:ctrlPr>
                  </m:sSubPr>
                  <m:e>
                    <m:r>
                      <w:rPr>
                        <w:rFonts w:ascii="Cambria Math" w:eastAsiaTheme="minorEastAsia" w:hAnsi="Cambria Math"/>
                        <w:sz w:val="22"/>
                        <w:szCs w:val="22"/>
                      </w:rPr>
                      <m:t>Z</m:t>
                    </m:r>
                  </m:e>
                  <m:sub>
                    <m:r>
                      <w:rPr>
                        <w:rFonts w:ascii="Cambria Math" w:eastAsiaTheme="minorEastAsia" w:hAnsi="Cambria Math"/>
                        <w:sz w:val="22"/>
                        <w:szCs w:val="22"/>
                      </w:rPr>
                      <m:t>i,t,m-k</m:t>
                    </m:r>
                  </m:sub>
                </m:sSub>
                <m:r>
                  <w:rPr>
                    <w:rFonts w:ascii="Cambria Math"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γ</m:t>
                    </m:r>
                  </m:e>
                  <m:sub>
                    <m:r>
                      <w:rPr>
                        <w:rFonts w:ascii="Cambria Math" w:eastAsiaTheme="minorEastAsia" w:hAnsi="Cambria Math"/>
                        <w:sz w:val="22"/>
                        <w:szCs w:val="22"/>
                      </w:rPr>
                      <m:t>t</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δ</m:t>
                    </m:r>
                  </m:e>
                  <m:sub>
                    <m:r>
                      <w:rPr>
                        <w:rFonts w:ascii="Cambria Math" w:eastAsiaTheme="minorEastAsia" w:hAnsi="Cambria Math"/>
                        <w:sz w:val="22"/>
                        <w:szCs w:val="22"/>
                      </w:rPr>
                      <m:t>i</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ε</m:t>
                    </m:r>
                  </m:e>
                  <m:sub>
                    <m:r>
                      <w:rPr>
                        <w:rFonts w:ascii="Cambria Math" w:hAnsi="Cambria Math"/>
                        <w:sz w:val="22"/>
                        <w:szCs w:val="22"/>
                      </w:rPr>
                      <m:t>τ,</m:t>
                    </m:r>
                    <m:r>
                      <w:rPr>
                        <w:rFonts w:ascii="Cambria Math" w:eastAsiaTheme="minorEastAsia" w:hAnsi="Cambria Math"/>
                        <w:sz w:val="22"/>
                        <w:szCs w:val="22"/>
                      </w:rPr>
                      <m:t>i,t,m</m:t>
                    </m:r>
                  </m:sub>
                </m:sSub>
              </m:oMath>
            </m:oMathPara>
          </w:p>
        </w:tc>
        <w:tc>
          <w:tcPr>
            <w:tcW w:w="1095" w:type="dxa"/>
            <w:vAlign w:val="center"/>
          </w:tcPr>
          <w:p w14:paraId="4F27F0C9" w14:textId="77777777" w:rsidR="004E2B5B" w:rsidRPr="00D6728E" w:rsidRDefault="004E2B5B" w:rsidP="00532745">
            <w:pPr>
              <w:pStyle w:val="ListParagraph"/>
              <w:numPr>
                <w:ilvl w:val="0"/>
                <w:numId w:val="11"/>
              </w:numPr>
              <w:spacing w:after="0" w:line="240" w:lineRule="auto"/>
              <w:rPr>
                <w:rFonts w:ascii="Montserrat" w:hAnsi="Montserrat" w:cs="Segoe UI"/>
              </w:rPr>
            </w:pPr>
          </w:p>
        </w:tc>
      </w:tr>
    </w:tbl>
    <w:p w14:paraId="10C8A7B2" w14:textId="77777777" w:rsidR="004E2B5B" w:rsidRPr="00D6728E" w:rsidRDefault="004E2B5B" w:rsidP="004E2B5B">
      <w:pPr>
        <w:jc w:val="both"/>
        <w:rPr>
          <w:rFonts w:ascii="Montserrat" w:hAnsi="Montserrat"/>
          <w:sz w:val="22"/>
          <w:szCs w:val="22"/>
        </w:rPr>
      </w:pPr>
    </w:p>
    <w:p w14:paraId="7CD6122E" w14:textId="6534914A" w:rsidR="004E2B5B" w:rsidRPr="00CB7A02" w:rsidRDefault="004E2B5B" w:rsidP="004E2B5B">
      <w:pPr>
        <w:ind w:right="-46"/>
        <w:jc w:val="both"/>
        <w:rPr>
          <w:rFonts w:ascii="Times New Roman" w:eastAsiaTheme="minorEastAsia" w:hAnsi="Times New Roman" w:cs="Times New Roman"/>
          <w:sz w:val="24"/>
          <w:szCs w:val="24"/>
        </w:rPr>
      </w:pPr>
      <w:r w:rsidRPr="00CB7A02">
        <w:rPr>
          <w:rFonts w:ascii="Times New Roman" w:eastAsiaTheme="minorEastAsia" w:hAnsi="Times New Roman" w:cs="Times New Roman"/>
          <w:sz w:val="24"/>
          <w:szCs w:val="24"/>
        </w:rPr>
        <w:t xml:space="preserve">where the additional explanatory variable </w:t>
      </w:r>
      <m:oMath>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Δc</m:t>
            </m:r>
          </m:e>
          <m:sub>
            <m:r>
              <w:rPr>
                <w:rFonts w:ascii="Cambria Math" w:eastAsiaTheme="minorEastAsia" w:hAnsi="Cambria Math" w:cs="Times New Roman"/>
                <w:sz w:val="24"/>
                <w:szCs w:val="24"/>
              </w:rPr>
              <m:t>i,t,m</m:t>
            </m:r>
          </m:sub>
          <m:sup>
            <m:r>
              <w:rPr>
                <w:rFonts w:ascii="Cambria Math" w:eastAsiaTheme="minorEastAsia" w:hAnsi="Cambria Math" w:cs="Times New Roman"/>
                <w:sz w:val="24"/>
                <w:szCs w:val="24"/>
              </w:rPr>
              <m:t>re</m:t>
            </m:r>
          </m:sup>
        </m:sSubSup>
      </m:oMath>
      <w:r w:rsidRPr="00CB7A02">
        <w:rPr>
          <w:rFonts w:ascii="Times New Roman" w:eastAsiaTheme="minorEastAsia" w:hAnsi="Times New Roman" w:cs="Times New Roman"/>
          <w:sz w:val="24"/>
          <w:szCs w:val="24"/>
        </w:rPr>
        <w:t xml:space="preserve"> is monthly year-on-year change in remittances;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i,t</m:t>
            </m:r>
          </m:sub>
        </m:sSub>
      </m:oMath>
      <w:r w:rsidRPr="00CB7A02">
        <w:rPr>
          <w:rFonts w:ascii="Times New Roman" w:eastAsiaTheme="minorEastAsia" w:hAnsi="Times New Roman" w:cs="Times New Roman"/>
          <w:sz w:val="24"/>
          <w:szCs w:val="24"/>
        </w:rPr>
        <w:t xml:space="preserve"> is composed of controls such as the lagged values of rice prices, fuel prices</w:t>
      </w:r>
      <w:r w:rsidR="00927E1B" w:rsidRPr="00CB7A02">
        <w:rPr>
          <w:rFonts w:ascii="Times New Roman" w:eastAsiaTheme="minorEastAsia" w:hAnsi="Times New Roman" w:cs="Times New Roman"/>
          <w:sz w:val="24"/>
          <w:szCs w:val="24"/>
        </w:rPr>
        <w:t>,</w:t>
      </w:r>
      <w:r w:rsidRPr="00CB7A02">
        <w:rPr>
          <w:rFonts w:ascii="Times New Roman" w:eastAsiaTheme="minorEastAsia" w:hAnsi="Times New Roman" w:cs="Times New Roman"/>
          <w:sz w:val="24"/>
          <w:szCs w:val="24"/>
        </w:rPr>
        <w:t xml:space="preserve"> and remittances</w:t>
      </w:r>
      <w:r w:rsidR="00927E1B" w:rsidRPr="00CB7A02">
        <w:rPr>
          <w:rFonts w:ascii="Times New Roman" w:eastAsiaTheme="minorEastAsia" w:hAnsi="Times New Roman" w:cs="Times New Roman"/>
          <w:sz w:val="24"/>
          <w:szCs w:val="24"/>
        </w:rPr>
        <w:t>,</w:t>
      </w:r>
      <w:r w:rsidRPr="00CB7A02">
        <w:rPr>
          <w:rFonts w:ascii="Times New Roman" w:eastAsiaTheme="minorEastAsia" w:hAnsi="Times New Roman" w:cs="Times New Roman"/>
          <w:sz w:val="24"/>
          <w:szCs w:val="24"/>
        </w:rPr>
        <w:t xml:space="preserve"> and subscript </w:t>
      </w:r>
      <w:r w:rsidRPr="00CB7A02">
        <w:rPr>
          <w:rFonts w:ascii="Times New Roman" w:eastAsiaTheme="minorEastAsia" w:hAnsi="Times New Roman" w:cs="Times New Roman"/>
          <w:i/>
          <w:iCs/>
          <w:sz w:val="24"/>
          <w:szCs w:val="24"/>
        </w:rPr>
        <w:t>j</w:t>
      </w:r>
      <w:r w:rsidRPr="00CB7A02">
        <w:rPr>
          <w:rFonts w:ascii="Times New Roman" w:eastAsiaTheme="minorEastAsia" w:hAnsi="Times New Roman" w:cs="Times New Roman"/>
          <w:sz w:val="24"/>
          <w:szCs w:val="24"/>
        </w:rPr>
        <w:t xml:space="preserve"> refers to </w:t>
      </w:r>
      <m:oMath>
        <m:r>
          <w:rPr>
            <w:rFonts w:ascii="Cambria Math" w:eastAsiaTheme="minorEastAsia" w:hAnsi="Cambria Math" w:cs="Times New Roman"/>
            <w:sz w:val="24"/>
            <w:szCs w:val="24"/>
          </w:rPr>
          <m:t>β</m:t>
        </m:r>
      </m:oMath>
      <w:r w:rsidRPr="00CB7A02">
        <w:rPr>
          <w:rFonts w:ascii="Times New Roman" w:eastAsiaTheme="minorEastAsia" w:hAnsi="Times New Roman" w:cs="Times New Roman"/>
          <w:sz w:val="24"/>
          <w:szCs w:val="24"/>
        </w:rPr>
        <w:t xml:space="preserve"> coefficients for the commodity price and remittance variables.</w:t>
      </w:r>
    </w:p>
    <w:p w14:paraId="3B846998" w14:textId="77777777" w:rsidR="004E2B5B" w:rsidRPr="00CB7A02" w:rsidRDefault="004E2B5B" w:rsidP="004E2B5B">
      <w:pPr>
        <w:ind w:right="-46"/>
        <w:jc w:val="both"/>
        <w:rPr>
          <w:rFonts w:ascii="Times New Roman" w:eastAsiaTheme="minorEastAsia" w:hAnsi="Times New Roman" w:cs="Times New Roman"/>
          <w:sz w:val="24"/>
          <w:szCs w:val="24"/>
        </w:rPr>
      </w:pPr>
    </w:p>
    <w:p w14:paraId="61D3C1DC" w14:textId="42787CA7" w:rsidR="004E2B5B" w:rsidRPr="00CB7A02" w:rsidRDefault="004E2B5B" w:rsidP="004E2B5B">
      <w:pPr>
        <w:ind w:right="-46" w:firstLine="426"/>
        <w:jc w:val="both"/>
        <w:rPr>
          <w:rFonts w:ascii="Times New Roman" w:hAnsi="Times New Roman" w:cs="Times New Roman"/>
          <w:sz w:val="24"/>
          <w:szCs w:val="24"/>
        </w:rPr>
      </w:pPr>
      <w:r w:rsidRPr="00CB7A02">
        <w:rPr>
          <w:rFonts w:ascii="Times New Roman" w:eastAsiaTheme="minorEastAsia" w:hAnsi="Times New Roman" w:cs="Times New Roman"/>
          <w:sz w:val="24"/>
          <w:szCs w:val="24"/>
        </w:rPr>
        <w:t xml:space="preserve">In addition to estimating </w:t>
      </w:r>
      <w:r w:rsidR="00981ABD" w:rsidRPr="001503F2">
        <w:rPr>
          <w:rFonts w:ascii="Times New Roman" w:eastAsiaTheme="minorEastAsia" w:hAnsi="Times New Roman" w:cs="Times New Roman"/>
          <w:sz w:val="24"/>
          <w:szCs w:val="24"/>
        </w:rPr>
        <w:t>e</w:t>
      </w:r>
      <w:r w:rsidRPr="001503F2">
        <w:rPr>
          <w:rFonts w:ascii="Times New Roman" w:eastAsiaTheme="minorEastAsia" w:hAnsi="Times New Roman" w:cs="Times New Roman"/>
          <w:sz w:val="24"/>
          <w:szCs w:val="24"/>
        </w:rPr>
        <w:t xml:space="preserve">quation </w:t>
      </w:r>
      <w:r w:rsidR="00981ABD" w:rsidRPr="001503F2">
        <w:rPr>
          <w:rFonts w:ascii="Times New Roman" w:eastAsiaTheme="minorEastAsia" w:hAnsi="Times New Roman" w:cs="Times New Roman"/>
          <w:sz w:val="24"/>
          <w:szCs w:val="24"/>
        </w:rPr>
        <w:t>(</w:t>
      </w:r>
      <w:r w:rsidRPr="001503F2">
        <w:rPr>
          <w:rFonts w:ascii="Times New Roman" w:eastAsiaTheme="minorEastAsia" w:hAnsi="Times New Roman" w:cs="Times New Roman"/>
          <w:sz w:val="24"/>
          <w:szCs w:val="24"/>
        </w:rPr>
        <w:t>3</w:t>
      </w:r>
      <w:r w:rsidR="00981ABD" w:rsidRPr="001503F2">
        <w:rPr>
          <w:rFonts w:ascii="Times New Roman" w:eastAsiaTheme="minorEastAsia" w:hAnsi="Times New Roman" w:cs="Times New Roman"/>
          <w:sz w:val="24"/>
          <w:szCs w:val="24"/>
        </w:rPr>
        <w:t>)</w:t>
      </w:r>
      <w:r w:rsidRPr="00CB7A02">
        <w:rPr>
          <w:rFonts w:ascii="Times New Roman" w:eastAsiaTheme="minorEastAsia" w:hAnsi="Times New Roman" w:cs="Times New Roman"/>
          <w:sz w:val="24"/>
          <w:szCs w:val="24"/>
        </w:rPr>
        <w:t xml:space="preserve"> on the entire sample, we perform the same estimation while restricting the sample to before and after (</w:t>
      </w:r>
      <w:proofErr w:type="spellStart"/>
      <w:r w:rsidRPr="00CB7A02">
        <w:rPr>
          <w:rFonts w:ascii="Times New Roman" w:eastAsiaTheme="minorEastAsia" w:hAnsi="Times New Roman" w:cs="Times New Roman"/>
          <w:sz w:val="24"/>
          <w:szCs w:val="24"/>
        </w:rPr>
        <w:t>i</w:t>
      </w:r>
      <w:proofErr w:type="spellEnd"/>
      <w:r w:rsidRPr="00CB7A02">
        <w:rPr>
          <w:rFonts w:ascii="Times New Roman" w:eastAsiaTheme="minorEastAsia" w:hAnsi="Times New Roman" w:cs="Times New Roman"/>
          <w:sz w:val="24"/>
          <w:szCs w:val="24"/>
        </w:rPr>
        <w:t xml:space="preserve">) monetary policy shift to inflation targeting and (ii) rice tariffication. Doing so enables us to further our understanding of their consequences and association with poverty and rice self-sufficiency. For all results, </w:t>
      </w:r>
      <w:r w:rsidRPr="00CB7A02">
        <w:rPr>
          <w:rFonts w:ascii="Times New Roman" w:hAnsi="Times New Roman" w:cs="Times New Roman"/>
          <w:sz w:val="24"/>
          <w:szCs w:val="24"/>
        </w:rPr>
        <w:t>we estimated coefficients for nine quantiles τ: the 10-, 20-, 30-, 40-, 50-, 60-, 70-, 80-, and 90-</w:t>
      </w:r>
      <w:r w:rsidR="001D0B5B">
        <w:rPr>
          <w:rFonts w:ascii="Times New Roman" w:hAnsi="Times New Roman" w:cs="Times New Roman"/>
          <w:sz w:val="24"/>
          <w:szCs w:val="24"/>
        </w:rPr>
        <w:t>%</w:t>
      </w:r>
      <w:r w:rsidRPr="00CB7A02">
        <w:rPr>
          <w:rFonts w:ascii="Times New Roman" w:hAnsi="Times New Roman" w:cs="Times New Roman"/>
          <w:sz w:val="24"/>
          <w:szCs w:val="24"/>
        </w:rPr>
        <w:t xml:space="preserve"> quantiles. We use</w:t>
      </w:r>
      <w:r w:rsidR="00590180" w:rsidRPr="00CB7A02">
        <w:rPr>
          <w:rFonts w:ascii="Times New Roman" w:hAnsi="Times New Roman" w:cs="Times New Roman"/>
          <w:sz w:val="24"/>
          <w:szCs w:val="24"/>
        </w:rPr>
        <w:t>d</w:t>
      </w:r>
      <w:r w:rsidRPr="00CB7A02">
        <w:rPr>
          <w:rFonts w:ascii="Times New Roman" w:hAnsi="Times New Roman" w:cs="Times New Roman"/>
          <w:sz w:val="24"/>
          <w:szCs w:val="24"/>
        </w:rPr>
        <w:t xml:space="preserve"> province clusters with 1,000 bootstrap replications to calculate confidence intervals.</w:t>
      </w:r>
    </w:p>
    <w:p w14:paraId="13C1065E" w14:textId="77777777" w:rsidR="004E2B5B" w:rsidRPr="00CB7A02" w:rsidRDefault="004E2B5B" w:rsidP="004E2B5B">
      <w:pPr>
        <w:jc w:val="both"/>
        <w:rPr>
          <w:rFonts w:ascii="Times New Roman" w:hAnsi="Times New Roman" w:cs="Times New Roman"/>
          <w:sz w:val="24"/>
          <w:szCs w:val="24"/>
        </w:rPr>
      </w:pPr>
    </w:p>
    <w:p w14:paraId="6F1DF7C6" w14:textId="2352EE62" w:rsidR="004E2B5B" w:rsidRPr="00CB7A02" w:rsidRDefault="004E2B5B" w:rsidP="004E2B5B">
      <w:pPr>
        <w:ind w:firstLine="357"/>
        <w:jc w:val="both"/>
        <w:rPr>
          <w:rFonts w:ascii="Times New Roman" w:hAnsi="Times New Roman" w:cs="Times New Roman"/>
          <w:sz w:val="24"/>
          <w:szCs w:val="24"/>
        </w:rPr>
      </w:pPr>
      <w:r w:rsidRPr="00CB7A02">
        <w:rPr>
          <w:rFonts w:ascii="Times New Roman" w:hAnsi="Times New Roman" w:cs="Times New Roman"/>
          <w:sz w:val="24"/>
          <w:szCs w:val="24"/>
        </w:rPr>
        <w:t xml:space="preserve">It is worth mentioning that estimating </w:t>
      </w:r>
      <w:r w:rsidR="00981ABD" w:rsidRPr="001503F2">
        <w:rPr>
          <w:rFonts w:ascii="Times New Roman" w:hAnsi="Times New Roman" w:cs="Times New Roman"/>
          <w:sz w:val="24"/>
          <w:szCs w:val="24"/>
        </w:rPr>
        <w:t>e</w:t>
      </w:r>
      <w:r w:rsidRPr="001503F2">
        <w:rPr>
          <w:rFonts w:ascii="Times New Roman" w:hAnsi="Times New Roman" w:cs="Times New Roman"/>
          <w:sz w:val="24"/>
          <w:szCs w:val="24"/>
        </w:rPr>
        <w:t xml:space="preserve">quation </w:t>
      </w:r>
      <w:r w:rsidR="00981ABD" w:rsidRPr="001503F2">
        <w:rPr>
          <w:rFonts w:ascii="Times New Roman" w:hAnsi="Times New Roman" w:cs="Times New Roman"/>
          <w:sz w:val="24"/>
          <w:szCs w:val="24"/>
        </w:rPr>
        <w:t>(</w:t>
      </w:r>
      <w:r w:rsidRPr="001503F2">
        <w:rPr>
          <w:rFonts w:ascii="Times New Roman" w:hAnsi="Times New Roman" w:cs="Times New Roman"/>
          <w:sz w:val="24"/>
          <w:szCs w:val="24"/>
        </w:rPr>
        <w:t>3</w:t>
      </w:r>
      <w:r w:rsidR="00981ABD" w:rsidRPr="001503F2">
        <w:rPr>
          <w:rFonts w:ascii="Times New Roman" w:hAnsi="Times New Roman" w:cs="Times New Roman"/>
          <w:sz w:val="24"/>
          <w:szCs w:val="24"/>
        </w:rPr>
        <w:t>)</w:t>
      </w:r>
      <w:r w:rsidRPr="00CB7A02">
        <w:rPr>
          <w:rFonts w:ascii="Times New Roman" w:hAnsi="Times New Roman" w:cs="Times New Roman"/>
          <w:sz w:val="24"/>
          <w:szCs w:val="24"/>
        </w:rPr>
        <w:t xml:space="preserve"> using the moment-based approach of Machado and Silva (2019) has the advantage of controlling for unobserved unit heterogeneity in which the individual effects are allowed to affect the entire distribution rather than just shifting its location (Zhang &amp; Malikov, 2022). The ability of this approach to account for individual effects and handle endogeneity issues ensures more robust estimations (Lee, Yuan &amp; Lee, 2023). Yet the endogeneity issue could still arise because of reverse causality, whereby overall inflation could influence rice or fuel prices. In the vein of Choi et al. (2018), we rely on the lagged overall inflation and rice or fuel price variables to reduce reverse causality concerns.</w:t>
      </w:r>
    </w:p>
    <w:p w14:paraId="6BB74689" w14:textId="77777777" w:rsidR="004E2B5B" w:rsidRPr="00CB7A02" w:rsidRDefault="004E2B5B" w:rsidP="004E2B5B">
      <w:pPr>
        <w:ind w:firstLine="357"/>
        <w:jc w:val="both"/>
        <w:rPr>
          <w:rFonts w:ascii="Times New Roman" w:hAnsi="Times New Roman" w:cs="Times New Roman"/>
          <w:sz w:val="24"/>
          <w:szCs w:val="24"/>
        </w:rPr>
      </w:pPr>
    </w:p>
    <w:p w14:paraId="7119ED47" w14:textId="292B3F36" w:rsidR="004E2B5B" w:rsidRPr="00CB7A02" w:rsidRDefault="004E2B5B" w:rsidP="004E2B5B">
      <w:pPr>
        <w:ind w:firstLine="357"/>
        <w:jc w:val="both"/>
        <w:rPr>
          <w:rFonts w:ascii="Times New Roman" w:hAnsi="Times New Roman" w:cs="Times New Roman"/>
          <w:noProof/>
          <w:sz w:val="24"/>
          <w:szCs w:val="24"/>
        </w:rPr>
      </w:pPr>
      <w:r w:rsidRPr="00CB7A02">
        <w:rPr>
          <w:rFonts w:ascii="Times New Roman" w:hAnsi="Times New Roman" w:cs="Times New Roman"/>
          <w:noProof/>
          <w:sz w:val="24"/>
          <w:szCs w:val="24"/>
        </w:rPr>
        <w:t xml:space="preserve">Another identification issue that needs to be discussed before estimating </w:t>
      </w:r>
      <w:r w:rsidR="00F97B5F" w:rsidRPr="001503F2">
        <w:rPr>
          <w:rFonts w:ascii="Times New Roman" w:eastAsiaTheme="minorEastAsia" w:hAnsi="Times New Roman" w:cs="Times New Roman"/>
          <w:sz w:val="24"/>
          <w:szCs w:val="24"/>
        </w:rPr>
        <w:t>e</w:t>
      </w:r>
      <w:r w:rsidR="00E16A90" w:rsidRPr="001503F2">
        <w:rPr>
          <w:rFonts w:ascii="Times New Roman" w:eastAsiaTheme="minorEastAsia" w:hAnsi="Times New Roman" w:cs="Times New Roman"/>
          <w:sz w:val="24"/>
          <w:szCs w:val="24"/>
        </w:rPr>
        <w:t>quation</w:t>
      </w:r>
      <w:r w:rsidRPr="001503F2">
        <w:rPr>
          <w:rFonts w:ascii="Times New Roman" w:hAnsi="Times New Roman" w:cs="Times New Roman"/>
          <w:noProof/>
          <w:sz w:val="24"/>
          <w:szCs w:val="24"/>
        </w:rPr>
        <w:t xml:space="preserve"> </w:t>
      </w:r>
      <w:r w:rsidR="00F97B5F" w:rsidRPr="001503F2">
        <w:rPr>
          <w:rFonts w:ascii="Times New Roman" w:hAnsi="Times New Roman" w:cs="Times New Roman"/>
          <w:noProof/>
          <w:sz w:val="24"/>
          <w:szCs w:val="24"/>
        </w:rPr>
        <w:t>(</w:t>
      </w:r>
      <w:r w:rsidRPr="001503F2">
        <w:rPr>
          <w:rFonts w:ascii="Times New Roman" w:hAnsi="Times New Roman" w:cs="Times New Roman"/>
          <w:noProof/>
          <w:sz w:val="24"/>
          <w:szCs w:val="24"/>
        </w:rPr>
        <w:t>3</w:t>
      </w:r>
      <w:r w:rsidR="00F97B5F" w:rsidRPr="001503F2">
        <w:rPr>
          <w:rFonts w:ascii="Times New Roman" w:hAnsi="Times New Roman" w:cs="Times New Roman"/>
          <w:noProof/>
          <w:sz w:val="24"/>
          <w:szCs w:val="24"/>
        </w:rPr>
        <w:t>)</w:t>
      </w:r>
      <w:r w:rsidRPr="00CB7A02">
        <w:rPr>
          <w:rFonts w:ascii="Times New Roman" w:hAnsi="Times New Roman" w:cs="Times New Roman"/>
          <w:noProof/>
          <w:sz w:val="24"/>
          <w:szCs w:val="24"/>
        </w:rPr>
        <w:t xml:space="preserve"> is the </w:t>
      </w:r>
      <w:r w:rsidRPr="00CB7A02">
        <w:rPr>
          <w:rFonts w:ascii="Times New Roman" w:hAnsi="Times New Roman" w:cs="Times New Roman"/>
          <w:sz w:val="24"/>
          <w:szCs w:val="24"/>
        </w:rPr>
        <w:t xml:space="preserve">omitted variables that may </w:t>
      </w:r>
      <w:r w:rsidR="00927E1B" w:rsidRPr="00CB7A02">
        <w:rPr>
          <w:rFonts w:ascii="Times New Roman" w:hAnsi="Times New Roman" w:cs="Times New Roman"/>
          <w:sz w:val="24"/>
          <w:szCs w:val="24"/>
        </w:rPr>
        <w:t>correlate wi</w:t>
      </w:r>
      <w:r w:rsidRPr="00CB7A02">
        <w:rPr>
          <w:rFonts w:ascii="Times New Roman" w:hAnsi="Times New Roman" w:cs="Times New Roman"/>
          <w:sz w:val="24"/>
          <w:szCs w:val="24"/>
        </w:rPr>
        <w:t xml:space="preserve">th inflation and the explanatory variables. In this, we follow first the argument of Molyneux et al. (2022) for the inclusion of time-fixed effects, such as the vector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t</m:t>
            </m:r>
          </m:sub>
        </m:sSub>
      </m:oMath>
      <w:r w:rsidRPr="00CB7A02">
        <w:rPr>
          <w:rFonts w:ascii="Times New Roman" w:hAnsi="Times New Roman" w:cs="Times New Roman"/>
          <w:sz w:val="24"/>
          <w:szCs w:val="24"/>
        </w:rPr>
        <w:t xml:space="preserve"> in </w:t>
      </w:r>
      <w:r w:rsidR="00F97B5F" w:rsidRPr="001503F2">
        <w:rPr>
          <w:rFonts w:ascii="Times New Roman" w:hAnsi="Times New Roman" w:cs="Times New Roman"/>
          <w:sz w:val="24"/>
          <w:szCs w:val="24"/>
        </w:rPr>
        <w:t>e</w:t>
      </w:r>
      <w:r w:rsidRPr="001503F2">
        <w:rPr>
          <w:rFonts w:ascii="Times New Roman" w:hAnsi="Times New Roman" w:cs="Times New Roman"/>
          <w:sz w:val="24"/>
          <w:szCs w:val="24"/>
        </w:rPr>
        <w:t xml:space="preserve">quation </w:t>
      </w:r>
      <w:r w:rsidR="00F97B5F" w:rsidRPr="001503F2">
        <w:rPr>
          <w:rFonts w:ascii="Times New Roman" w:hAnsi="Times New Roman" w:cs="Times New Roman"/>
          <w:sz w:val="24"/>
          <w:szCs w:val="24"/>
        </w:rPr>
        <w:t>(</w:t>
      </w:r>
      <w:r w:rsidRPr="001503F2">
        <w:rPr>
          <w:rFonts w:ascii="Times New Roman" w:hAnsi="Times New Roman" w:cs="Times New Roman"/>
          <w:sz w:val="24"/>
          <w:szCs w:val="24"/>
        </w:rPr>
        <w:t>3</w:t>
      </w:r>
      <w:r w:rsidR="00F97B5F" w:rsidRPr="001503F2">
        <w:rPr>
          <w:rFonts w:ascii="Times New Roman" w:hAnsi="Times New Roman" w:cs="Times New Roman"/>
          <w:sz w:val="24"/>
          <w:szCs w:val="24"/>
        </w:rPr>
        <w:t>)</w:t>
      </w:r>
      <w:r w:rsidRPr="00CB7A02">
        <w:rPr>
          <w:rFonts w:ascii="Times New Roman" w:hAnsi="Times New Roman" w:cs="Times New Roman"/>
          <w:sz w:val="24"/>
          <w:szCs w:val="24"/>
        </w:rPr>
        <w:t xml:space="preserve">. Adding year fixed-effects controls for factors common to all provinces on a given year, such as global commodity price shocks affecting both domestic prices and inflation or government policies beyond the ones under review, including taxes and subsidies. To further reduce concerns about omitted variables, we re-estimate </w:t>
      </w:r>
      <w:r w:rsidR="00F97B5F" w:rsidRPr="001503F2">
        <w:rPr>
          <w:rFonts w:ascii="Times New Roman" w:hAnsi="Times New Roman" w:cs="Times New Roman"/>
          <w:sz w:val="24"/>
          <w:szCs w:val="24"/>
        </w:rPr>
        <w:t>e</w:t>
      </w:r>
      <w:r w:rsidRPr="001503F2">
        <w:rPr>
          <w:rFonts w:ascii="Times New Roman" w:hAnsi="Times New Roman" w:cs="Times New Roman"/>
          <w:sz w:val="24"/>
          <w:szCs w:val="24"/>
        </w:rPr>
        <w:t xml:space="preserve">quation </w:t>
      </w:r>
      <w:r w:rsidR="00F97B5F" w:rsidRPr="001503F2">
        <w:rPr>
          <w:rFonts w:ascii="Times New Roman" w:hAnsi="Times New Roman" w:cs="Times New Roman"/>
          <w:sz w:val="24"/>
          <w:szCs w:val="24"/>
        </w:rPr>
        <w:t>(</w:t>
      </w:r>
      <w:r w:rsidRPr="001503F2">
        <w:rPr>
          <w:rFonts w:ascii="Times New Roman" w:hAnsi="Times New Roman" w:cs="Times New Roman"/>
          <w:sz w:val="24"/>
          <w:szCs w:val="24"/>
        </w:rPr>
        <w:t>3</w:t>
      </w:r>
      <w:r w:rsidR="00F97B5F" w:rsidRPr="001503F2">
        <w:rPr>
          <w:rFonts w:ascii="Times New Roman" w:hAnsi="Times New Roman" w:cs="Times New Roman"/>
          <w:sz w:val="24"/>
          <w:szCs w:val="24"/>
        </w:rPr>
        <w:t>)</w:t>
      </w:r>
      <w:r w:rsidRPr="00CB7A02">
        <w:rPr>
          <w:rFonts w:ascii="Times New Roman" w:hAnsi="Times New Roman" w:cs="Times New Roman"/>
          <w:sz w:val="24"/>
          <w:szCs w:val="24"/>
        </w:rPr>
        <w:t xml:space="preserve"> in our robustness analysis by including the Thailand 5</w:t>
      </w:r>
      <w:r w:rsidR="005D7406" w:rsidRPr="00CB7A02">
        <w:rPr>
          <w:rFonts w:ascii="Times New Roman" w:hAnsi="Times New Roman" w:cs="Times New Roman"/>
          <w:sz w:val="24"/>
          <w:szCs w:val="24"/>
        </w:rPr>
        <w:t>%</w:t>
      </w:r>
      <w:r w:rsidRPr="00CB7A02">
        <w:rPr>
          <w:rFonts w:ascii="Times New Roman" w:hAnsi="Times New Roman" w:cs="Times New Roman"/>
          <w:sz w:val="24"/>
          <w:szCs w:val="24"/>
        </w:rPr>
        <w:t xml:space="preserve"> broken rice export prices to capture the impact of global commodity price shocks.</w:t>
      </w:r>
      <w:r w:rsidRPr="00CB7A02">
        <w:rPr>
          <w:rFonts w:ascii="Times New Roman" w:hAnsi="Times New Roman" w:cs="Times New Roman"/>
          <w:noProof/>
          <w:sz w:val="24"/>
          <w:szCs w:val="24"/>
        </w:rPr>
        <w:t xml:space="preserve"> In the above regression, each of the </w:t>
      </w:r>
      <m:oMath>
        <m:r>
          <w:rPr>
            <w:rFonts w:ascii="Cambria Math" w:eastAsiaTheme="minorEastAsia" w:hAnsi="Cambria Math" w:cs="Times New Roman"/>
            <w:sz w:val="24"/>
            <w:szCs w:val="24"/>
          </w:rPr>
          <m:t>β</m:t>
        </m:r>
      </m:oMath>
      <w:r w:rsidRPr="00CB7A02">
        <w:rPr>
          <w:rFonts w:ascii="Times New Roman" w:hAnsi="Times New Roman" w:cs="Times New Roman"/>
          <w:noProof/>
          <w:sz w:val="24"/>
          <w:szCs w:val="24"/>
        </w:rPr>
        <w:t xml:space="preserve"> coefficients measures the short-run impact of the three drivers under study. With these coefficients at hand and the corresponding coefficients of their lagged values </w:t>
      </w:r>
      <m:oMath>
        <m:sSub>
          <m:sSubPr>
            <m:ctrlPr>
              <w:rPr>
                <w:rFonts w:ascii="Cambria Math" w:hAnsi="Cambria Math" w:cs="Times New Roman"/>
                <w:i/>
                <w:sz w:val="24"/>
                <w:szCs w:val="24"/>
              </w:rPr>
            </m:ctrlPr>
          </m:sSubPr>
          <m:e>
            <m:r>
              <w:rPr>
                <w:rFonts w:ascii="Cambria Math" w:hAnsi="Cambria Math" w:cs="Times New Roman"/>
                <w:sz w:val="24"/>
                <w:szCs w:val="24"/>
              </w:rPr>
              <m:t>θ</m:t>
            </m:r>
          </m:e>
          <m: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,τ,k</m:t>
            </m:r>
          </m:sub>
        </m:sSub>
      </m:oMath>
      <w:r w:rsidRPr="00CB7A02">
        <w:rPr>
          <w:rFonts w:ascii="Times New Roman" w:hAnsi="Times New Roman" w:cs="Times New Roman"/>
          <w:noProof/>
          <w:sz w:val="24"/>
          <w:szCs w:val="24"/>
        </w:rPr>
        <w:t xml:space="preserve">, the long-run effect of each driver can be computed for each quantile </w:t>
      </w:r>
      <m:oMath>
        <m:r>
          <w:rPr>
            <w:rFonts w:ascii="Cambria Math" w:hAnsi="Cambria Math" w:cs="Times New Roman"/>
            <w:sz w:val="24"/>
            <w:szCs w:val="24"/>
          </w:rPr>
          <m:t>τ</m:t>
        </m:r>
      </m:oMath>
      <w:r w:rsidRPr="00CB7A02">
        <w:rPr>
          <w:rFonts w:ascii="Times New Roman" w:hAnsi="Times New Roman" w:cs="Times New Roman"/>
          <w:noProof/>
          <w:sz w:val="24"/>
          <w:szCs w:val="24"/>
        </w:rPr>
        <w:t>:</w:t>
      </w:r>
    </w:p>
    <w:p w14:paraId="0AB0B236" w14:textId="77777777" w:rsidR="004E2B5B" w:rsidRPr="00D6728E" w:rsidRDefault="004E2B5B" w:rsidP="004E2B5B">
      <w:pPr>
        <w:ind w:firstLine="357"/>
        <w:jc w:val="both"/>
        <w:rPr>
          <w:rFonts w:ascii="Montserrat" w:hAnsi="Montserrat"/>
          <w:noProof/>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1521"/>
      </w:tblGrid>
      <w:tr w:rsidR="004E2B5B" w:rsidRPr="00D6728E" w14:paraId="6CCE7145" w14:textId="77777777" w:rsidTr="00532745">
        <w:trPr>
          <w:trHeight w:val="69"/>
          <w:jc w:val="center"/>
        </w:trPr>
        <w:tc>
          <w:tcPr>
            <w:tcW w:w="0" w:type="auto"/>
            <w:vAlign w:val="center"/>
          </w:tcPr>
          <w:p w14:paraId="37B16702" w14:textId="77777777" w:rsidR="004E2B5B" w:rsidRPr="00D6728E" w:rsidRDefault="004E2B5B" w:rsidP="00532745">
            <w:pPr>
              <w:rPr>
                <w:rFonts w:ascii="Montserrat" w:hAnsi="Montserrat"/>
                <w:sz w:val="22"/>
                <w:szCs w:val="22"/>
              </w:rPr>
            </w:pPr>
            <m:oMath>
              <m:r>
                <w:rPr>
                  <w:rFonts w:ascii="Cambria Math" w:hAnsi="Cambria Math"/>
                  <w:sz w:val="22"/>
                  <w:szCs w:val="22"/>
                </w:rPr>
                <m:t>LRE=</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k</m:t>
                      </m:r>
                    </m:sub>
                  </m:sSub>
                  <m:r>
                    <w:rPr>
                      <w:rFonts w:ascii="Cambria Math" w:hAnsi="Cambria Math"/>
                      <w:sz w:val="22"/>
                      <w:szCs w:val="22"/>
                    </w:rPr>
                    <m:t>+</m:t>
                  </m:r>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θ</m:t>
                              </m:r>
                            </m:e>
                            <m:sub>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r>
                                <w:rPr>
                                  <w:rFonts w:ascii="Cambria Math" w:hAnsi="Cambria Math"/>
                                  <w:sz w:val="22"/>
                                  <w:szCs w:val="22"/>
                                </w:rPr>
                                <m:t>,τ,k</m:t>
                              </m:r>
                            </m:sub>
                          </m:sSub>
                        </m:e>
                      </m:nary>
                    </m:e>
                  </m:d>
                </m:num>
                <m:den>
                  <m:r>
                    <w:rPr>
                      <w:rFonts w:ascii="Cambria Math" w:hAnsi="Cambria Math"/>
                      <w:sz w:val="22"/>
                      <w:szCs w:val="22"/>
                    </w:rPr>
                    <m:t>1-</m:t>
                  </m:r>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τ,k</m:t>
                              </m:r>
                            </m:sub>
                          </m:sSub>
                        </m:e>
                      </m:nary>
                      <m:r>
                        <w:rPr>
                          <w:rFonts w:ascii="Cambria Math" w:hAnsi="Cambria Math"/>
                          <w:sz w:val="22"/>
                          <w:szCs w:val="22"/>
                        </w:rPr>
                        <m:t xml:space="preserve">  </m:t>
                      </m:r>
                    </m:e>
                  </m:d>
                </m:den>
              </m:f>
            </m:oMath>
            <w:r w:rsidRPr="00D6728E">
              <w:rPr>
                <w:sz w:val="22"/>
                <w:szCs w:val="22"/>
              </w:rPr>
              <w:t>.</w:t>
            </w:r>
          </w:p>
        </w:tc>
        <w:tc>
          <w:tcPr>
            <w:tcW w:w="1521" w:type="dxa"/>
            <w:vAlign w:val="center"/>
          </w:tcPr>
          <w:p w14:paraId="2BC983B5" w14:textId="77777777" w:rsidR="004E2B5B" w:rsidRPr="00D6728E" w:rsidRDefault="004E2B5B" w:rsidP="00532745">
            <w:pPr>
              <w:pStyle w:val="ListParagraph"/>
              <w:numPr>
                <w:ilvl w:val="0"/>
                <w:numId w:val="11"/>
              </w:numPr>
              <w:spacing w:after="0" w:line="240" w:lineRule="auto"/>
              <w:jc w:val="center"/>
              <w:rPr>
                <w:rFonts w:ascii="Montserrat" w:hAnsi="Montserrat" w:cs="Segoe UI"/>
              </w:rPr>
            </w:pPr>
          </w:p>
        </w:tc>
      </w:tr>
    </w:tbl>
    <w:p w14:paraId="46DC5EF3" w14:textId="77777777" w:rsidR="004E2B5B" w:rsidRPr="00D6728E" w:rsidRDefault="004E2B5B" w:rsidP="004E2B5B">
      <w:pPr>
        <w:ind w:firstLine="426"/>
        <w:jc w:val="both"/>
        <w:rPr>
          <w:rFonts w:ascii="Montserrat" w:hAnsi="Montserrat"/>
          <w:sz w:val="22"/>
          <w:szCs w:val="22"/>
        </w:rPr>
      </w:pPr>
    </w:p>
    <w:p w14:paraId="0F3365EC" w14:textId="7B24BB0D" w:rsidR="004E2B5B" w:rsidRPr="00CB7A02" w:rsidRDefault="004E2B5B" w:rsidP="004E2B5B">
      <w:pPr>
        <w:ind w:firstLine="426"/>
        <w:jc w:val="both"/>
        <w:rPr>
          <w:rFonts w:ascii="Times New Roman" w:hAnsi="Times New Roman" w:cs="Times New Roman"/>
          <w:sz w:val="24"/>
          <w:szCs w:val="24"/>
        </w:rPr>
      </w:pPr>
      <w:r w:rsidRPr="00CB7A02">
        <w:rPr>
          <w:rFonts w:ascii="Times New Roman" w:hAnsi="Times New Roman" w:cs="Times New Roman"/>
          <w:sz w:val="24"/>
          <w:szCs w:val="24"/>
        </w:rPr>
        <w:t xml:space="preserve">In </w:t>
      </w:r>
      <w:r w:rsidR="00F97B5F" w:rsidRPr="001503F2">
        <w:rPr>
          <w:rFonts w:ascii="Times New Roman" w:hAnsi="Times New Roman" w:cs="Times New Roman"/>
          <w:sz w:val="24"/>
          <w:szCs w:val="24"/>
        </w:rPr>
        <w:t>e</w:t>
      </w:r>
      <w:r w:rsidRPr="001503F2">
        <w:rPr>
          <w:rFonts w:ascii="Times New Roman" w:hAnsi="Times New Roman" w:cs="Times New Roman"/>
          <w:sz w:val="24"/>
          <w:szCs w:val="24"/>
        </w:rPr>
        <w:t xml:space="preserve">quation </w:t>
      </w:r>
      <w:r w:rsidR="00F97B5F" w:rsidRPr="001503F2">
        <w:rPr>
          <w:rFonts w:ascii="Times New Roman" w:hAnsi="Times New Roman" w:cs="Times New Roman"/>
          <w:sz w:val="24"/>
          <w:szCs w:val="24"/>
        </w:rPr>
        <w:t>(</w:t>
      </w:r>
      <w:r w:rsidRPr="001503F2">
        <w:rPr>
          <w:rFonts w:ascii="Times New Roman" w:hAnsi="Times New Roman" w:cs="Times New Roman"/>
          <w:sz w:val="24"/>
          <w:szCs w:val="24"/>
        </w:rPr>
        <w:t>4</w:t>
      </w:r>
      <w:r w:rsidR="00F97B5F" w:rsidRPr="001503F2">
        <w:rPr>
          <w:rFonts w:ascii="Times New Roman" w:hAnsi="Times New Roman" w:cs="Times New Roman"/>
          <w:sz w:val="24"/>
          <w:szCs w:val="24"/>
        </w:rPr>
        <w:t>)</w:t>
      </w:r>
      <w:r w:rsidRPr="00CB7A02">
        <w:rPr>
          <w:rFonts w:ascii="Times New Roman" w:hAnsi="Times New Roman" w:cs="Times New Roman"/>
          <w:sz w:val="24"/>
          <w:szCs w:val="24"/>
        </w:rPr>
        <w:t xml:space="preserve">, the estimated long-run effect is an essential metric for assessing the extent to which the impact effect from each driver changes between the lower and higher quantiles. </w:t>
      </w:r>
      <w:r w:rsidRPr="00CB7A02">
        <w:rPr>
          <w:rFonts w:ascii="Times New Roman" w:hAnsi="Times New Roman" w:cs="Times New Roman"/>
          <w:sz w:val="24"/>
          <w:szCs w:val="24"/>
        </w:rPr>
        <w:lastRenderedPageBreak/>
        <w:t>That is, one can judge whether there is an increase in the sensitivity of the impact effect from rice or fuel prices at the higher quantiles.</w:t>
      </w:r>
    </w:p>
    <w:p w14:paraId="41D9D9D0" w14:textId="77777777" w:rsidR="004E2B5B" w:rsidRPr="00D6728E" w:rsidRDefault="004E2B5B" w:rsidP="004E2B5B">
      <w:pPr>
        <w:ind w:firstLine="720"/>
        <w:jc w:val="both"/>
        <w:rPr>
          <w:rFonts w:ascii="Montserrat" w:hAnsi="Montserrat"/>
        </w:rPr>
      </w:pPr>
    </w:p>
    <w:p w14:paraId="5D85DA8D" w14:textId="05037702" w:rsidR="004E2B5B" w:rsidRPr="00FC4DF4" w:rsidRDefault="00F01F84" w:rsidP="00F01F84">
      <w:bookmarkStart w:id="5" w:name="_Toc197460314"/>
      <w:r w:rsidRPr="00F01F84">
        <w:rPr>
          <w:rFonts w:ascii="Times New Roman" w:hAnsi="Times New Roman" w:cs="Times New Roman"/>
          <w:b/>
          <w:bCs/>
          <w:sz w:val="24"/>
          <w:szCs w:val="24"/>
        </w:rPr>
        <w:t xml:space="preserve">3.2 </w:t>
      </w:r>
      <w:r w:rsidR="004E2B5B" w:rsidRPr="00F01F84">
        <w:rPr>
          <w:rFonts w:ascii="Times New Roman" w:hAnsi="Times New Roman" w:cs="Times New Roman"/>
          <w:b/>
          <w:bCs/>
          <w:sz w:val="24"/>
          <w:szCs w:val="24"/>
        </w:rPr>
        <w:t xml:space="preserve">Philippine </w:t>
      </w:r>
      <w:r>
        <w:rPr>
          <w:rFonts w:ascii="Times New Roman" w:hAnsi="Times New Roman" w:cs="Times New Roman"/>
          <w:b/>
          <w:bCs/>
          <w:sz w:val="24"/>
          <w:szCs w:val="24"/>
        </w:rPr>
        <w:t>d</w:t>
      </w:r>
      <w:r w:rsidR="004E2B5B" w:rsidRPr="00F01F84">
        <w:rPr>
          <w:rFonts w:ascii="Times New Roman" w:hAnsi="Times New Roman" w:cs="Times New Roman"/>
          <w:b/>
          <w:bCs/>
          <w:sz w:val="24"/>
          <w:szCs w:val="24"/>
        </w:rPr>
        <w:t>ata</w:t>
      </w:r>
      <w:bookmarkEnd w:id="5"/>
      <w:r w:rsidR="004E2B5B" w:rsidRPr="00F01F84">
        <w:rPr>
          <w:rFonts w:ascii="Times New Roman" w:hAnsi="Times New Roman" w:cs="Times New Roman"/>
          <w:b/>
          <w:bCs/>
          <w:sz w:val="24"/>
          <w:szCs w:val="24"/>
        </w:rPr>
        <w:t xml:space="preserve"> </w:t>
      </w:r>
    </w:p>
    <w:p w14:paraId="731E32D4" w14:textId="77777777" w:rsidR="004E2B5B" w:rsidRPr="00866649" w:rsidRDefault="004E2B5B" w:rsidP="004E2B5B">
      <w:pPr>
        <w:rPr>
          <w:rFonts w:ascii="Times New Roman" w:hAnsi="Times New Roman" w:cs="Times New Roman"/>
          <w:sz w:val="24"/>
          <w:szCs w:val="24"/>
        </w:rPr>
      </w:pPr>
      <w:bookmarkStart w:id="6" w:name="OLE_LINK1"/>
    </w:p>
    <w:p w14:paraId="0B1F9C66" w14:textId="5E268008" w:rsidR="004E2B5B" w:rsidRPr="00866649" w:rsidRDefault="004E2B5B" w:rsidP="00866649">
      <w:pPr>
        <w:jc w:val="both"/>
        <w:rPr>
          <w:rFonts w:ascii="Times New Roman" w:hAnsi="Times New Roman" w:cs="Times New Roman"/>
          <w:sz w:val="24"/>
          <w:szCs w:val="24"/>
        </w:rPr>
      </w:pPr>
      <w:r w:rsidRPr="00866649">
        <w:rPr>
          <w:rFonts w:ascii="Times New Roman" w:hAnsi="Times New Roman" w:cs="Times New Roman"/>
          <w:spacing w:val="-4"/>
          <w:sz w:val="24"/>
          <w:szCs w:val="24"/>
        </w:rPr>
        <w:t xml:space="preserve">Monthly observations of the overall CPI for 74 sample provinces were obtained from the Philippine Statistics Authority (PSA). </w:t>
      </w:r>
      <w:r w:rsidR="001D0B5B">
        <w:rPr>
          <w:rFonts w:ascii="Times New Roman" w:hAnsi="Times New Roman" w:cs="Times New Roman"/>
          <w:spacing w:val="-4"/>
          <w:sz w:val="24"/>
          <w:szCs w:val="24"/>
        </w:rPr>
        <w:t xml:space="preserve">Appendix </w:t>
      </w:r>
      <w:r w:rsidRPr="00373E8B">
        <w:rPr>
          <w:rFonts w:ascii="Times New Roman" w:hAnsi="Times New Roman" w:cs="Times New Roman"/>
          <w:spacing w:val="-4"/>
          <w:sz w:val="24"/>
          <w:szCs w:val="24"/>
        </w:rPr>
        <w:t xml:space="preserve">Table 1-A </w:t>
      </w:r>
      <w:r w:rsidRPr="00866649">
        <w:rPr>
          <w:rFonts w:ascii="Times New Roman" w:hAnsi="Times New Roman" w:cs="Times New Roman"/>
          <w:spacing w:val="-4"/>
          <w:sz w:val="24"/>
          <w:szCs w:val="24"/>
        </w:rPr>
        <w:t xml:space="preserve">shows the list of these sample provinces. We included the National Capital Region (NCR) in our sample, as it is the only region in the country composed of highly urbanized areas, including the capital, Metro Manila, rather than provinces. NCR also contributes one-fifth of the national CPI basket. Thus, some of the mechanisms that may underpin the relationship of inflation across different areas in the Philippines may operate in this region. </w:t>
      </w:r>
      <w:r w:rsidRPr="00866649">
        <w:rPr>
          <w:rFonts w:ascii="Times New Roman" w:hAnsi="Times New Roman" w:cs="Times New Roman"/>
          <w:sz w:val="24"/>
          <w:szCs w:val="24"/>
        </w:rPr>
        <w:t>The 74 sample provinces were selected based on the availability of panel data for the main variables over a sufficiently long period, spanning from August 1996</w:t>
      </w:r>
      <w:r w:rsidR="00097C95" w:rsidRPr="00866649">
        <w:rPr>
          <w:rFonts w:ascii="Times New Roman" w:hAnsi="Times New Roman" w:cs="Times New Roman"/>
          <w:sz w:val="24"/>
          <w:szCs w:val="24"/>
        </w:rPr>
        <w:t xml:space="preserve"> </w:t>
      </w:r>
      <w:r w:rsidRPr="00866649">
        <w:rPr>
          <w:rFonts w:ascii="Times New Roman" w:hAnsi="Times New Roman" w:cs="Times New Roman"/>
          <w:sz w:val="24"/>
          <w:szCs w:val="24"/>
        </w:rPr>
        <w:t xml:space="preserve">to April 2024, yielding 342 time observations for each province. This enabled us to offer a more granular scope of geographical locations within a country compared with existing literature that focuses on individual country analysis of inflation dynamics using aggregate data. </w:t>
      </w:r>
    </w:p>
    <w:p w14:paraId="56BFBA10" w14:textId="77777777" w:rsidR="004E2B5B" w:rsidRPr="00866649" w:rsidRDefault="004E2B5B" w:rsidP="004E2B5B">
      <w:pPr>
        <w:ind w:firstLine="360"/>
        <w:jc w:val="both"/>
        <w:rPr>
          <w:rFonts w:ascii="Times New Roman" w:hAnsi="Times New Roman" w:cs="Times New Roman"/>
          <w:sz w:val="24"/>
          <w:szCs w:val="24"/>
        </w:rPr>
      </w:pPr>
    </w:p>
    <w:p w14:paraId="1451DCD2" w14:textId="1BA111BB" w:rsidR="004E2B5B" w:rsidRPr="00866649" w:rsidRDefault="004E2B5B" w:rsidP="004E2B5B">
      <w:pPr>
        <w:ind w:firstLine="360"/>
        <w:jc w:val="both"/>
        <w:rPr>
          <w:rFonts w:ascii="Times New Roman" w:hAnsi="Times New Roman" w:cs="Times New Roman"/>
          <w:sz w:val="24"/>
          <w:szCs w:val="24"/>
        </w:rPr>
      </w:pPr>
      <w:r w:rsidRPr="00866649">
        <w:rPr>
          <w:rFonts w:ascii="Times New Roman" w:hAnsi="Times New Roman" w:cs="Times New Roman"/>
          <w:sz w:val="24"/>
          <w:szCs w:val="24"/>
        </w:rPr>
        <w:t xml:space="preserve">We also used changes in remittances by including a proxy for provincial remittance data. Because only monthly national-level remittance data are available from the </w:t>
      </w:r>
      <w:proofErr w:type="spellStart"/>
      <w:r w:rsidRPr="00866649">
        <w:rPr>
          <w:rFonts w:ascii="Times New Roman" w:hAnsi="Times New Roman" w:cs="Times New Roman"/>
          <w:sz w:val="24"/>
          <w:szCs w:val="24"/>
        </w:rPr>
        <w:t>Bangko</w:t>
      </w:r>
      <w:proofErr w:type="spellEnd"/>
      <w:r w:rsidRPr="00866649">
        <w:rPr>
          <w:rFonts w:ascii="Times New Roman" w:hAnsi="Times New Roman" w:cs="Times New Roman"/>
          <w:sz w:val="24"/>
          <w:szCs w:val="24"/>
        </w:rPr>
        <w:t xml:space="preserve"> Sentral ng </w:t>
      </w:r>
      <w:proofErr w:type="spellStart"/>
      <w:r w:rsidRPr="00866649">
        <w:rPr>
          <w:rFonts w:ascii="Times New Roman" w:hAnsi="Times New Roman" w:cs="Times New Roman"/>
          <w:sz w:val="24"/>
          <w:szCs w:val="24"/>
        </w:rPr>
        <w:t>Pilipinas</w:t>
      </w:r>
      <w:proofErr w:type="spellEnd"/>
      <w:r w:rsidR="00927E1B" w:rsidRPr="00866649">
        <w:rPr>
          <w:rFonts w:ascii="Times New Roman" w:hAnsi="Times New Roman" w:cs="Times New Roman"/>
          <w:sz w:val="24"/>
          <w:szCs w:val="24"/>
        </w:rPr>
        <w:t>'</w:t>
      </w:r>
      <w:r w:rsidRPr="00866649">
        <w:rPr>
          <w:rFonts w:ascii="Times New Roman" w:hAnsi="Times New Roman" w:cs="Times New Roman"/>
          <w:sz w:val="24"/>
          <w:szCs w:val="24"/>
        </w:rPr>
        <w:t xml:space="preserve"> (BSP) database, we combine annual remittance data from the survey of overseas Filipino (SOF) workers from 1995</w:t>
      </w:r>
      <w:r w:rsidR="00097C95" w:rsidRPr="00866649">
        <w:rPr>
          <w:rFonts w:ascii="Times New Roman" w:hAnsi="Times New Roman" w:cs="Times New Roman"/>
          <w:sz w:val="24"/>
          <w:szCs w:val="24"/>
        </w:rPr>
        <w:t>–</w:t>
      </w:r>
      <w:r w:rsidRPr="00866649">
        <w:rPr>
          <w:rFonts w:ascii="Times New Roman" w:hAnsi="Times New Roman" w:cs="Times New Roman"/>
          <w:sz w:val="24"/>
          <w:szCs w:val="24"/>
        </w:rPr>
        <w:t xml:space="preserve"> 2012. Annual provincial data from the SOF are available from 1995</w:t>
      </w:r>
      <w:r w:rsidR="00097C95" w:rsidRPr="00866649">
        <w:rPr>
          <w:rFonts w:ascii="Times New Roman" w:hAnsi="Times New Roman" w:cs="Times New Roman"/>
          <w:sz w:val="24"/>
          <w:szCs w:val="24"/>
        </w:rPr>
        <w:t>–</w:t>
      </w:r>
      <w:r w:rsidRPr="00866649">
        <w:rPr>
          <w:rFonts w:ascii="Times New Roman" w:hAnsi="Times New Roman" w:cs="Times New Roman"/>
          <w:sz w:val="24"/>
          <w:szCs w:val="24"/>
        </w:rPr>
        <w:t>2001, while annual regional data are only available from 2002</w:t>
      </w:r>
      <w:r w:rsidR="00097C95" w:rsidRPr="00866649">
        <w:rPr>
          <w:rFonts w:ascii="Times New Roman" w:hAnsi="Times New Roman" w:cs="Times New Roman"/>
          <w:sz w:val="24"/>
          <w:szCs w:val="24"/>
        </w:rPr>
        <w:t>–</w:t>
      </w:r>
      <w:r w:rsidRPr="00866649">
        <w:rPr>
          <w:rFonts w:ascii="Times New Roman" w:hAnsi="Times New Roman" w:cs="Times New Roman"/>
          <w:sz w:val="24"/>
          <w:szCs w:val="24"/>
        </w:rPr>
        <w:t>2012. We use provincial population data for the latter period as a proxy to estimate provincial shares.</w:t>
      </w:r>
    </w:p>
    <w:p w14:paraId="23911213" w14:textId="77777777" w:rsidR="004E2B5B" w:rsidRPr="00866649" w:rsidRDefault="004E2B5B" w:rsidP="004E2B5B">
      <w:pPr>
        <w:ind w:firstLine="360"/>
        <w:jc w:val="both"/>
        <w:rPr>
          <w:rFonts w:ascii="Times New Roman" w:hAnsi="Times New Roman" w:cs="Times New Roman"/>
          <w:sz w:val="24"/>
          <w:szCs w:val="24"/>
        </w:rPr>
      </w:pPr>
    </w:p>
    <w:p w14:paraId="0F6F15B5" w14:textId="0D31E3A4" w:rsidR="004E2B5B" w:rsidRPr="00866649" w:rsidRDefault="004E2B5B" w:rsidP="004E2B5B">
      <w:pPr>
        <w:ind w:firstLine="360"/>
        <w:jc w:val="both"/>
        <w:rPr>
          <w:rFonts w:ascii="Times New Roman" w:hAnsi="Times New Roman" w:cs="Times New Roman"/>
          <w:sz w:val="24"/>
          <w:szCs w:val="24"/>
        </w:rPr>
      </w:pPr>
      <w:r w:rsidRPr="00866649">
        <w:rPr>
          <w:rFonts w:ascii="Times New Roman" w:hAnsi="Times New Roman" w:cs="Times New Roman"/>
          <w:sz w:val="24"/>
          <w:szCs w:val="24"/>
        </w:rPr>
        <w:t>Next, we interpolate the annual series to monthly frequency using a regression-based method by Silva and Cardoso (2001)</w:t>
      </w:r>
      <w:r w:rsidRPr="00866649">
        <w:rPr>
          <w:rStyle w:val="FootnoteReference"/>
          <w:rFonts w:ascii="Times New Roman" w:hAnsi="Times New Roman" w:cs="Times New Roman"/>
          <w:sz w:val="24"/>
          <w:szCs w:val="24"/>
        </w:rPr>
        <w:footnoteReference w:id="2"/>
      </w:r>
      <w:r w:rsidRPr="00866649">
        <w:rPr>
          <w:rFonts w:ascii="Times New Roman" w:hAnsi="Times New Roman" w:cs="Times New Roman"/>
          <w:sz w:val="24"/>
          <w:szCs w:val="24"/>
        </w:rPr>
        <w:t>. We normalize the interpolated monthly provincial series by aligning the total remittances across all provinces with the national-level monthly remittance data. For 2013</w:t>
      </w:r>
      <w:r w:rsidR="00097C95" w:rsidRPr="00866649">
        <w:rPr>
          <w:rFonts w:ascii="Times New Roman" w:hAnsi="Times New Roman" w:cs="Times New Roman"/>
          <w:sz w:val="24"/>
          <w:szCs w:val="24"/>
        </w:rPr>
        <w:t>–</w:t>
      </w:r>
      <w:r w:rsidRPr="00866649">
        <w:rPr>
          <w:rFonts w:ascii="Times New Roman" w:hAnsi="Times New Roman" w:cs="Times New Roman"/>
          <w:sz w:val="24"/>
          <w:szCs w:val="24"/>
        </w:rPr>
        <w:t>2024, we use provincial savings deposit quarterly data, which are interpolated into monthly observations, and obtain percent changes. Then, we apply these percent changes to extend the proxy for monthly remittance data from 2012 to the series starting in 2013.</w:t>
      </w:r>
    </w:p>
    <w:p w14:paraId="33A07A13" w14:textId="77777777" w:rsidR="004E2B5B" w:rsidRPr="00866649" w:rsidRDefault="004E2B5B" w:rsidP="004E2B5B">
      <w:pPr>
        <w:ind w:firstLine="360"/>
        <w:jc w:val="both"/>
        <w:rPr>
          <w:rFonts w:ascii="Times New Roman" w:hAnsi="Times New Roman" w:cs="Times New Roman"/>
          <w:sz w:val="24"/>
          <w:szCs w:val="24"/>
        </w:rPr>
      </w:pPr>
    </w:p>
    <w:p w14:paraId="0435BFAB" w14:textId="060A9FDB" w:rsidR="003B7653" w:rsidRDefault="004E2B5B" w:rsidP="004E2B5B">
      <w:pPr>
        <w:ind w:firstLine="360"/>
        <w:jc w:val="both"/>
        <w:rPr>
          <w:rFonts w:ascii="Times New Roman" w:hAnsi="Times New Roman" w:cs="Times New Roman"/>
          <w:sz w:val="24"/>
          <w:szCs w:val="24"/>
        </w:rPr>
      </w:pPr>
      <w:r w:rsidRPr="00373E8B">
        <w:rPr>
          <w:rFonts w:ascii="Times New Roman" w:hAnsi="Times New Roman" w:cs="Times New Roman"/>
          <w:sz w:val="24"/>
          <w:szCs w:val="24"/>
        </w:rPr>
        <w:t>Figure 1</w:t>
      </w:r>
      <w:r w:rsidRPr="00866649">
        <w:rPr>
          <w:rFonts w:ascii="Times New Roman" w:hAnsi="Times New Roman" w:cs="Times New Roman"/>
          <w:sz w:val="24"/>
          <w:szCs w:val="24"/>
        </w:rPr>
        <w:t xml:space="preserve"> displays the evolution of the cross-sectional mean of overall inflation over nearly three decades. Overall inflation generally exceeded 4</w:t>
      </w:r>
      <w:r w:rsidR="00667D49">
        <w:rPr>
          <w:rFonts w:ascii="Times New Roman" w:hAnsi="Times New Roman" w:cs="Times New Roman"/>
          <w:sz w:val="24"/>
          <w:szCs w:val="24"/>
        </w:rPr>
        <w:t>%</w:t>
      </w:r>
      <w:r w:rsidRPr="00866649">
        <w:rPr>
          <w:rFonts w:ascii="Times New Roman" w:hAnsi="Times New Roman" w:cs="Times New Roman"/>
          <w:sz w:val="24"/>
          <w:szCs w:val="24"/>
        </w:rPr>
        <w:t xml:space="preserve"> before 2002. After the monetary policy shift to inflation targeting, the central bank </w:t>
      </w:r>
      <w:r w:rsidR="00927E1B" w:rsidRPr="00866649">
        <w:rPr>
          <w:rFonts w:ascii="Times New Roman" w:hAnsi="Times New Roman" w:cs="Times New Roman"/>
          <w:sz w:val="24"/>
          <w:szCs w:val="24"/>
        </w:rPr>
        <w:t>delivered</w:t>
      </w:r>
      <w:r w:rsidRPr="00866649">
        <w:rPr>
          <w:rFonts w:ascii="Times New Roman" w:hAnsi="Times New Roman" w:cs="Times New Roman"/>
          <w:sz w:val="24"/>
          <w:szCs w:val="24"/>
        </w:rPr>
        <w:t xml:space="preserve"> low and stable inflation over the next 29 months, oscillating between 2</w:t>
      </w:r>
      <w:r w:rsidR="00667D49">
        <w:rPr>
          <w:rFonts w:ascii="Times New Roman" w:hAnsi="Times New Roman" w:cs="Times New Roman"/>
          <w:sz w:val="24"/>
          <w:szCs w:val="24"/>
        </w:rPr>
        <w:t>%</w:t>
      </w:r>
      <w:r w:rsidRPr="00866649">
        <w:rPr>
          <w:rFonts w:ascii="Times New Roman" w:hAnsi="Times New Roman" w:cs="Times New Roman"/>
          <w:sz w:val="24"/>
          <w:szCs w:val="24"/>
        </w:rPr>
        <w:t xml:space="preserve"> and 3</w:t>
      </w:r>
      <w:r w:rsidR="00667D49">
        <w:rPr>
          <w:rFonts w:ascii="Times New Roman" w:hAnsi="Times New Roman" w:cs="Times New Roman"/>
          <w:sz w:val="24"/>
          <w:szCs w:val="24"/>
        </w:rPr>
        <w:t>%</w:t>
      </w:r>
      <w:r w:rsidRPr="00866649">
        <w:rPr>
          <w:rFonts w:ascii="Times New Roman" w:hAnsi="Times New Roman" w:cs="Times New Roman"/>
          <w:sz w:val="24"/>
          <w:szCs w:val="24"/>
        </w:rPr>
        <w:t>. While such a monetary policy regime managed to keep inflation within the 2–4</w:t>
      </w:r>
      <w:r w:rsidR="00667D49">
        <w:rPr>
          <w:rFonts w:ascii="Times New Roman" w:hAnsi="Times New Roman" w:cs="Times New Roman"/>
          <w:sz w:val="24"/>
          <w:szCs w:val="24"/>
        </w:rPr>
        <w:t>%</w:t>
      </w:r>
      <w:r w:rsidRPr="00866649">
        <w:rPr>
          <w:rFonts w:ascii="Times New Roman" w:hAnsi="Times New Roman" w:cs="Times New Roman"/>
          <w:sz w:val="24"/>
          <w:szCs w:val="24"/>
        </w:rPr>
        <w:t xml:space="preserve"> range for much of 2004–2024, inflation was characterized by fluctuations and spikes driven by supply-side factors. Notably, inflation spikes in December 2004, August 2008, October 2018, and February 2023 were </w:t>
      </w:r>
      <w:r w:rsidR="00927E1B" w:rsidRPr="00866649">
        <w:rPr>
          <w:rFonts w:ascii="Times New Roman" w:hAnsi="Times New Roman" w:cs="Times New Roman"/>
          <w:sz w:val="24"/>
          <w:szCs w:val="24"/>
        </w:rPr>
        <w:t>primari</w:t>
      </w:r>
      <w:r w:rsidRPr="00866649">
        <w:rPr>
          <w:rFonts w:ascii="Times New Roman" w:hAnsi="Times New Roman" w:cs="Times New Roman"/>
          <w:sz w:val="24"/>
          <w:szCs w:val="24"/>
        </w:rPr>
        <w:t>ly driven by the sharp increases in food and energy-related CPI components. In particular, the 2008 food inflation spike was due to the rice price crisis, while the 2018 surge can be attributed to the short-run effects of typhoons that disrupted rice production in major rice-producing provinces.</w:t>
      </w:r>
    </w:p>
    <w:p w14:paraId="24513518" w14:textId="77777777" w:rsidR="003B7653" w:rsidRDefault="003B7653" w:rsidP="004E2B5B">
      <w:pPr>
        <w:ind w:firstLine="360"/>
        <w:jc w:val="both"/>
        <w:rPr>
          <w:rFonts w:ascii="Times New Roman" w:hAnsi="Times New Roman" w:cs="Times New Roman"/>
          <w:sz w:val="24"/>
          <w:szCs w:val="24"/>
        </w:rPr>
      </w:pPr>
    </w:p>
    <w:p w14:paraId="0C041310" w14:textId="77777777" w:rsidR="003B7653" w:rsidRPr="00226C75" w:rsidRDefault="003B7653" w:rsidP="001D76D6">
      <w:pPr>
        <w:ind w:firstLine="360"/>
        <w:jc w:val="both"/>
        <w:rPr>
          <w:rFonts w:ascii="Times New Roman" w:hAnsi="Times New Roman" w:cs="Times New Roman"/>
          <w:sz w:val="24"/>
          <w:szCs w:val="24"/>
        </w:rPr>
      </w:pPr>
      <w:r w:rsidRPr="00373E8B">
        <w:rPr>
          <w:rFonts w:ascii="Times New Roman" w:hAnsi="Times New Roman" w:cs="Times New Roman"/>
          <w:sz w:val="24"/>
          <w:szCs w:val="24"/>
        </w:rPr>
        <w:t>Figure 1</w:t>
      </w:r>
      <w:r w:rsidRPr="00226C75">
        <w:rPr>
          <w:rFonts w:ascii="Times New Roman" w:hAnsi="Times New Roman" w:cs="Times New Roman"/>
          <w:sz w:val="24"/>
          <w:szCs w:val="24"/>
        </w:rPr>
        <w:t xml:space="preserve"> also shows the relationship between the overall inflation and prices of diesel and rice over the period August 1996-April 2024. </w:t>
      </w:r>
      <w:r w:rsidRPr="00373E8B">
        <w:rPr>
          <w:rFonts w:ascii="Times New Roman" w:hAnsi="Times New Roman" w:cs="Times New Roman"/>
          <w:sz w:val="24"/>
          <w:szCs w:val="24"/>
        </w:rPr>
        <w:t>Figure 1</w:t>
      </w:r>
      <w:r w:rsidRPr="00226C75">
        <w:rPr>
          <w:rFonts w:ascii="Times New Roman" w:hAnsi="Times New Roman" w:cs="Times New Roman"/>
          <w:sz w:val="24"/>
          <w:szCs w:val="24"/>
        </w:rPr>
        <w:t xml:space="preserve"> indicates that rice price inflation has generally moved in the same direction as overall inflation. </w:t>
      </w:r>
      <w:r w:rsidRPr="00373E8B">
        <w:rPr>
          <w:rFonts w:ascii="Times New Roman" w:hAnsi="Times New Roman" w:cs="Times New Roman"/>
          <w:sz w:val="24"/>
          <w:szCs w:val="24"/>
        </w:rPr>
        <w:t>Table 1</w:t>
      </w:r>
      <w:r w:rsidRPr="00226C75">
        <w:rPr>
          <w:rFonts w:ascii="Times New Roman" w:hAnsi="Times New Roman" w:cs="Times New Roman"/>
          <w:sz w:val="24"/>
          <w:szCs w:val="24"/>
        </w:rPr>
        <w:t xml:space="preserve"> also quantifies such a co-movement in terms of simple correlation coefficients between these inflation series. It shows that overall inflation is positively and significantly correlated with rice prices; </w:t>
      </w:r>
      <m:oMath>
        <m:r>
          <w:rPr>
            <w:rFonts w:ascii="Cambria Math" w:hAnsi="Cambria Math" w:cs="Times New Roman"/>
            <w:sz w:val="24"/>
            <w:szCs w:val="24"/>
          </w:rPr>
          <m:t>ρ=0.98</m:t>
        </m:r>
      </m:oMath>
      <w:r w:rsidRPr="00226C75">
        <w:rPr>
          <w:rFonts w:ascii="Times New Roman" w:hAnsi="Times New Roman" w:cs="Times New Roman"/>
          <w:sz w:val="24"/>
          <w:szCs w:val="24"/>
        </w:rPr>
        <w:t xml:space="preserve"> </w:t>
      </w:r>
      <m:oMath>
        <m:r>
          <w:rPr>
            <w:rFonts w:ascii="Cambria Math" w:hAnsi="Cambria Math" w:cs="Times New Roman"/>
            <w:sz w:val="24"/>
            <w:szCs w:val="24"/>
          </w:rPr>
          <m:t>(p&lt;</m:t>
        </m:r>
        <m:r>
          <w:rPr>
            <w:rFonts w:ascii="Cambria Math" w:hAnsi="Cambria Math" w:cs="Times New Roman"/>
            <w:sz w:val="24"/>
            <w:szCs w:val="24"/>
          </w:rPr>
          <w:lastRenderedPageBreak/>
          <m:t>0.01)</m:t>
        </m:r>
      </m:oMath>
      <w:r w:rsidRPr="00226C75">
        <w:rPr>
          <w:rFonts w:ascii="Times New Roman" w:hAnsi="Times New Roman" w:cs="Times New Roman"/>
          <w:sz w:val="24"/>
          <w:szCs w:val="24"/>
        </w:rPr>
        <w:t xml:space="preserve">. Similarly, the correlation between overall inflation and diesel prices is positive and significant; </w:t>
      </w:r>
      <m:oMath>
        <m:r>
          <w:rPr>
            <w:rFonts w:ascii="Cambria Math" w:hAnsi="Cambria Math" w:cs="Times New Roman"/>
            <w:sz w:val="24"/>
            <w:szCs w:val="24"/>
          </w:rPr>
          <m:t>ρ=0.46</m:t>
        </m:r>
      </m:oMath>
      <w:r w:rsidRPr="00226C75">
        <w:rPr>
          <w:rFonts w:ascii="Times New Roman" w:hAnsi="Times New Roman" w:cs="Times New Roman"/>
          <w:sz w:val="24"/>
          <w:szCs w:val="24"/>
        </w:rPr>
        <w:t xml:space="preserve"> </w:t>
      </w:r>
      <m:oMath>
        <m:r>
          <w:rPr>
            <w:rFonts w:ascii="Cambria Math" w:hAnsi="Cambria Math" w:cs="Times New Roman"/>
            <w:sz w:val="24"/>
            <w:szCs w:val="24"/>
          </w:rPr>
          <m:t>(p&lt;0.01)</m:t>
        </m:r>
      </m:oMath>
      <w:r w:rsidRPr="00226C75">
        <w:rPr>
          <w:rFonts w:ascii="Times New Roman" w:hAnsi="Times New Roman" w:cs="Times New Roman"/>
          <w:sz w:val="24"/>
          <w:szCs w:val="24"/>
        </w:rPr>
        <w:t>. In line with the conventional wisdom and considering the weights of rice and fuel prices in the CPI basket, the results motivate the possibility that a rise in rice or fuel prices is an important driver of the inflation process in the Philippines.</w:t>
      </w:r>
    </w:p>
    <w:p w14:paraId="3A473BD2" w14:textId="255682B6" w:rsidR="004932B0" w:rsidRDefault="004932B0" w:rsidP="001D76D6">
      <w:pPr>
        <w:rPr>
          <w:rFonts w:ascii="Times New Roman" w:eastAsia="Arial" w:hAnsi="Times New Roman" w:cs="Times New Roman"/>
          <w:b/>
          <w:bCs/>
          <w:sz w:val="24"/>
          <w:szCs w:val="24"/>
        </w:rPr>
      </w:pPr>
    </w:p>
    <w:p w14:paraId="08854655" w14:textId="60A34C14" w:rsidR="004E2B5B" w:rsidRPr="009F2F12" w:rsidRDefault="004E2B5B" w:rsidP="001D76D6">
      <w:pPr>
        <w:jc w:val="center"/>
        <w:rPr>
          <w:rFonts w:ascii="Times New Roman" w:eastAsia="Arial" w:hAnsi="Times New Roman" w:cs="Times New Roman"/>
          <w:sz w:val="24"/>
          <w:szCs w:val="24"/>
        </w:rPr>
      </w:pPr>
      <w:r w:rsidRPr="009F2F12">
        <w:rPr>
          <w:rFonts w:ascii="Times New Roman" w:eastAsia="Arial" w:hAnsi="Times New Roman" w:cs="Times New Roman"/>
          <w:b/>
          <w:bCs/>
          <w:sz w:val="24"/>
          <w:szCs w:val="24"/>
        </w:rPr>
        <w:t>Figure 1</w:t>
      </w:r>
      <w:r w:rsidR="00373E8B">
        <w:rPr>
          <w:rFonts w:ascii="Times New Roman" w:eastAsia="Arial" w:hAnsi="Times New Roman" w:cs="Times New Roman"/>
          <w:b/>
          <w:bCs/>
          <w:sz w:val="24"/>
          <w:szCs w:val="24"/>
        </w:rPr>
        <w:t>:</w:t>
      </w:r>
      <w:r w:rsidRPr="009F2F12">
        <w:rPr>
          <w:rFonts w:ascii="Times New Roman" w:eastAsia="Arial" w:hAnsi="Times New Roman" w:cs="Times New Roman"/>
          <w:b/>
          <w:bCs/>
          <w:sz w:val="24"/>
          <w:szCs w:val="24"/>
        </w:rPr>
        <w:t xml:space="preserve"> Evolution of </w:t>
      </w:r>
      <w:r w:rsidR="00373E8B">
        <w:rPr>
          <w:rFonts w:ascii="Times New Roman" w:eastAsia="Arial" w:hAnsi="Times New Roman" w:cs="Times New Roman"/>
          <w:b/>
          <w:bCs/>
          <w:sz w:val="24"/>
          <w:szCs w:val="24"/>
        </w:rPr>
        <w:t>p</w:t>
      </w:r>
      <w:r w:rsidRPr="009F2F12">
        <w:rPr>
          <w:rFonts w:ascii="Times New Roman" w:eastAsia="Arial" w:hAnsi="Times New Roman" w:cs="Times New Roman"/>
          <w:b/>
          <w:bCs/>
          <w:sz w:val="24"/>
          <w:szCs w:val="24"/>
        </w:rPr>
        <w:t xml:space="preserve">rovincial </w:t>
      </w:r>
      <w:r w:rsidR="00373E8B">
        <w:rPr>
          <w:rFonts w:ascii="Times New Roman" w:eastAsia="Arial" w:hAnsi="Times New Roman" w:cs="Times New Roman"/>
          <w:b/>
          <w:bCs/>
          <w:sz w:val="24"/>
          <w:szCs w:val="24"/>
        </w:rPr>
        <w:t>o</w:t>
      </w:r>
      <w:r w:rsidRPr="009F2F12">
        <w:rPr>
          <w:rFonts w:ascii="Times New Roman" w:eastAsia="Arial" w:hAnsi="Times New Roman" w:cs="Times New Roman"/>
          <w:b/>
          <w:bCs/>
          <w:sz w:val="24"/>
          <w:szCs w:val="24"/>
        </w:rPr>
        <w:t xml:space="preserve">verall </w:t>
      </w:r>
      <w:r w:rsidR="00373E8B">
        <w:rPr>
          <w:rFonts w:ascii="Times New Roman" w:eastAsia="Arial" w:hAnsi="Times New Roman" w:cs="Times New Roman"/>
          <w:b/>
          <w:bCs/>
          <w:sz w:val="24"/>
          <w:szCs w:val="24"/>
        </w:rPr>
        <w:t>i</w:t>
      </w:r>
      <w:r w:rsidRPr="009F2F12">
        <w:rPr>
          <w:rFonts w:ascii="Times New Roman" w:eastAsia="Arial" w:hAnsi="Times New Roman" w:cs="Times New Roman"/>
          <w:b/>
          <w:bCs/>
          <w:sz w:val="24"/>
          <w:szCs w:val="24"/>
        </w:rPr>
        <w:t>nflation</w:t>
      </w:r>
      <w:r w:rsidR="008C580F" w:rsidRPr="009F2F12">
        <w:rPr>
          <w:rFonts w:ascii="Times New Roman" w:eastAsia="Arial" w:hAnsi="Times New Roman" w:cs="Times New Roman"/>
          <w:b/>
          <w:bCs/>
          <w:sz w:val="24"/>
          <w:szCs w:val="24"/>
        </w:rPr>
        <w:t xml:space="preserve"> </w:t>
      </w:r>
      <w:r w:rsidRPr="009F2F12">
        <w:rPr>
          <w:rFonts w:ascii="Times New Roman" w:eastAsia="Arial" w:hAnsi="Times New Roman" w:cs="Times New Roman"/>
          <w:b/>
          <w:bCs/>
          <w:sz w:val="24"/>
          <w:szCs w:val="24"/>
        </w:rPr>
        <w:t>and</w:t>
      </w:r>
      <w:r w:rsidR="003B7653">
        <w:rPr>
          <w:rFonts w:ascii="Times New Roman" w:eastAsia="Arial" w:hAnsi="Times New Roman" w:cs="Times New Roman"/>
          <w:b/>
          <w:bCs/>
          <w:sz w:val="24"/>
          <w:szCs w:val="24"/>
        </w:rPr>
        <w:t xml:space="preserve"> </w:t>
      </w:r>
      <w:r w:rsidR="00373E8B">
        <w:rPr>
          <w:rFonts w:ascii="Times New Roman" w:eastAsia="Arial" w:hAnsi="Times New Roman" w:cs="Times New Roman"/>
          <w:b/>
          <w:bCs/>
          <w:sz w:val="24"/>
          <w:szCs w:val="24"/>
        </w:rPr>
        <w:t>r</w:t>
      </w:r>
      <w:r w:rsidRPr="009F2F12">
        <w:rPr>
          <w:rFonts w:ascii="Times New Roman" w:eastAsia="Arial" w:hAnsi="Times New Roman" w:cs="Times New Roman"/>
          <w:b/>
          <w:bCs/>
          <w:sz w:val="24"/>
          <w:szCs w:val="24"/>
        </w:rPr>
        <w:t xml:space="preserve">ice and </w:t>
      </w:r>
      <w:r w:rsidR="00373E8B">
        <w:rPr>
          <w:rFonts w:ascii="Times New Roman" w:eastAsia="Arial" w:hAnsi="Times New Roman" w:cs="Times New Roman"/>
          <w:b/>
          <w:bCs/>
          <w:sz w:val="24"/>
          <w:szCs w:val="24"/>
        </w:rPr>
        <w:t>f</w:t>
      </w:r>
      <w:r w:rsidRPr="009F2F12">
        <w:rPr>
          <w:rFonts w:ascii="Times New Roman" w:eastAsia="Arial" w:hAnsi="Times New Roman" w:cs="Times New Roman"/>
          <w:b/>
          <w:bCs/>
          <w:sz w:val="24"/>
          <w:szCs w:val="24"/>
        </w:rPr>
        <w:t xml:space="preserve">uel </w:t>
      </w:r>
      <w:r w:rsidR="00373E8B">
        <w:rPr>
          <w:rFonts w:ascii="Times New Roman" w:eastAsia="Arial" w:hAnsi="Times New Roman" w:cs="Times New Roman"/>
          <w:b/>
          <w:bCs/>
          <w:sz w:val="24"/>
          <w:szCs w:val="24"/>
        </w:rPr>
        <w:t>p</w:t>
      </w:r>
      <w:r w:rsidRPr="009F2F12">
        <w:rPr>
          <w:rFonts w:ascii="Times New Roman" w:eastAsia="Arial" w:hAnsi="Times New Roman" w:cs="Times New Roman"/>
          <w:b/>
          <w:bCs/>
          <w:sz w:val="24"/>
          <w:szCs w:val="24"/>
        </w:rPr>
        <w:t xml:space="preserve">rice </w:t>
      </w:r>
      <w:r w:rsidR="00373E8B">
        <w:rPr>
          <w:rFonts w:ascii="Times New Roman" w:eastAsia="Arial" w:hAnsi="Times New Roman" w:cs="Times New Roman"/>
          <w:b/>
          <w:bCs/>
          <w:sz w:val="24"/>
          <w:szCs w:val="24"/>
        </w:rPr>
        <w:t>i</w:t>
      </w:r>
      <w:r w:rsidRPr="009F2F12">
        <w:rPr>
          <w:rFonts w:ascii="Times New Roman" w:eastAsia="Arial" w:hAnsi="Times New Roman" w:cs="Times New Roman"/>
          <w:b/>
          <w:bCs/>
          <w:sz w:val="24"/>
          <w:szCs w:val="24"/>
        </w:rPr>
        <w:t>nflation</w:t>
      </w:r>
    </w:p>
    <w:p w14:paraId="7BE7DE0D" w14:textId="77777777" w:rsidR="004E2B5B" w:rsidRPr="00D6728E" w:rsidRDefault="004E2B5B" w:rsidP="001D76D6">
      <w:pPr>
        <w:jc w:val="center"/>
        <w:rPr>
          <w:rFonts w:ascii="Montserrat" w:eastAsia="Arial" w:hAnsi="Montserrat" w:cs="Times New Roman"/>
          <w:b/>
          <w:bCs/>
          <w:sz w:val="6"/>
          <w:szCs w:val="6"/>
        </w:rPr>
      </w:pPr>
    </w:p>
    <w:p w14:paraId="093E9B40" w14:textId="77777777" w:rsidR="004E2B5B" w:rsidRPr="00D6728E" w:rsidRDefault="004E2B5B" w:rsidP="004E2B5B">
      <w:pPr>
        <w:jc w:val="center"/>
        <w:rPr>
          <w:rFonts w:ascii="Montserrat" w:eastAsia="Arial" w:hAnsi="Montserrat" w:cs="Times New Roman"/>
        </w:rPr>
      </w:pPr>
      <w:r w:rsidRPr="00D6728E">
        <w:rPr>
          <w:noProof/>
        </w:rPr>
        <w:drawing>
          <wp:inline distT="0" distB="0" distL="0" distR="0" wp14:anchorId="10278AE1" wp14:editId="382AB573">
            <wp:extent cx="5057029" cy="3228230"/>
            <wp:effectExtent l="0" t="0" r="0" b="0"/>
            <wp:docPr id="1028044720" name="Chart 1">
              <a:extLst xmlns:a="http://schemas.openxmlformats.org/drawingml/2006/main">
                <a:ext uri="{FF2B5EF4-FFF2-40B4-BE49-F238E27FC236}">
                  <a16:creationId xmlns:a16="http://schemas.microsoft.com/office/drawing/2014/main" id="{7C0221C5-ACF3-F256-C482-F90382F47B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D6A9E9" w14:textId="77777777" w:rsidR="004E2B5B" w:rsidRPr="00D6728E" w:rsidRDefault="004E2B5B" w:rsidP="004E2B5B">
      <w:pPr>
        <w:ind w:firstLine="360"/>
        <w:jc w:val="both"/>
        <w:rPr>
          <w:rFonts w:ascii="Montserrat" w:eastAsia="Arial" w:hAnsi="Montserrat" w:cs="Times New Roman"/>
          <w:sz w:val="6"/>
          <w:szCs w:val="6"/>
        </w:rPr>
      </w:pPr>
    </w:p>
    <w:p w14:paraId="63412A4E" w14:textId="6739E833" w:rsidR="004E2B5B" w:rsidRPr="009F2F12" w:rsidRDefault="004E2B5B" w:rsidP="004E2B5B">
      <w:pPr>
        <w:ind w:left="284" w:firstLine="360"/>
        <w:jc w:val="both"/>
        <w:rPr>
          <w:rFonts w:ascii="Times New Roman" w:eastAsia="Arial" w:hAnsi="Times New Roman" w:cs="Times New Roman"/>
          <w:sz w:val="21"/>
          <w:szCs w:val="21"/>
        </w:rPr>
      </w:pPr>
      <w:r w:rsidRPr="009F2F12">
        <w:rPr>
          <w:rFonts w:ascii="Times New Roman" w:eastAsia="Arial" w:hAnsi="Times New Roman" w:cs="Times New Roman"/>
          <w:sz w:val="21"/>
          <w:szCs w:val="21"/>
        </w:rPr>
        <w:t xml:space="preserve"> Source of raw data: Philippine Statistics Authority</w:t>
      </w:r>
      <w:r w:rsidR="003B7653">
        <w:rPr>
          <w:rFonts w:ascii="Times New Roman" w:eastAsia="Arial" w:hAnsi="Times New Roman" w:cs="Times New Roman"/>
          <w:sz w:val="21"/>
          <w:szCs w:val="21"/>
        </w:rPr>
        <w:t>.</w:t>
      </w:r>
    </w:p>
    <w:p w14:paraId="5600EA4C" w14:textId="77777777" w:rsidR="004E2B5B" w:rsidRPr="00D6728E" w:rsidRDefault="004E2B5B" w:rsidP="004E2B5B">
      <w:pPr>
        <w:ind w:firstLine="360"/>
        <w:jc w:val="both"/>
        <w:rPr>
          <w:rFonts w:ascii="Montserrat" w:eastAsia="Arial" w:hAnsi="Montserrat" w:cs="Times New Roman"/>
        </w:rPr>
      </w:pPr>
    </w:p>
    <w:p w14:paraId="5BD27533" w14:textId="6320FA84" w:rsidR="00E144C0" w:rsidRPr="00226C75" w:rsidRDefault="00E144C0" w:rsidP="004E2B5B">
      <w:pPr>
        <w:ind w:firstLine="360"/>
        <w:jc w:val="both"/>
        <w:rPr>
          <w:rFonts w:ascii="Times New Roman" w:hAnsi="Times New Roman" w:cs="Times New Roman"/>
          <w:sz w:val="24"/>
          <w:szCs w:val="24"/>
        </w:rPr>
      </w:pPr>
      <w:r w:rsidRPr="00226C75">
        <w:rPr>
          <w:rFonts w:ascii="Times New Roman" w:hAnsi="Times New Roman" w:cs="Times New Roman"/>
          <w:sz w:val="24"/>
          <w:szCs w:val="24"/>
        </w:rPr>
        <w:t>A discernable pattern emerges in the movements between the overall inflation and rice price series: (a) rising overall inflation is typically preceded by increases in rice price inflation, while (b) periods of falling overall inflation tend to coincide with decreases in rice prices. A milestone event that contributed to the decline in rice price inflation occurred in March 2019 with the implementation of the rice tariffication policy. This policy enabled the Philippine government to remove quantitative restrictions on rice imports and replace them with applied tariffs.</w:t>
      </w:r>
      <w:r w:rsidRPr="00226C75">
        <w:rPr>
          <w:rStyle w:val="FootnoteReference"/>
          <w:rFonts w:ascii="Times New Roman" w:hAnsi="Times New Roman" w:cs="Times New Roman"/>
          <w:sz w:val="24"/>
          <w:szCs w:val="24"/>
        </w:rPr>
        <w:footnoteReference w:id="3"/>
      </w:r>
      <w:r w:rsidRPr="00226C75">
        <w:rPr>
          <w:rFonts w:ascii="Times New Roman" w:hAnsi="Times New Roman" w:cs="Times New Roman"/>
          <w:sz w:val="24"/>
          <w:szCs w:val="24"/>
        </w:rPr>
        <w:t xml:space="preserve"> </w:t>
      </w:r>
    </w:p>
    <w:p w14:paraId="13D0FEAD" w14:textId="77777777" w:rsidR="00E144C0" w:rsidRDefault="00E144C0" w:rsidP="004E2B5B">
      <w:pPr>
        <w:ind w:firstLine="360"/>
        <w:jc w:val="both"/>
        <w:rPr>
          <w:rFonts w:ascii="Montserrat" w:hAnsi="Montserrat"/>
          <w:sz w:val="22"/>
          <w:szCs w:val="22"/>
        </w:rPr>
      </w:pPr>
    </w:p>
    <w:p w14:paraId="69D9F76B" w14:textId="4212DF29" w:rsidR="004932B0" w:rsidRDefault="003B7653" w:rsidP="003B7653">
      <w:pPr>
        <w:ind w:firstLine="360"/>
        <w:jc w:val="both"/>
        <w:rPr>
          <w:rFonts w:ascii="Times New Roman" w:hAnsi="Times New Roman" w:cs="Times New Roman"/>
          <w:sz w:val="24"/>
          <w:szCs w:val="24"/>
        </w:rPr>
      </w:pPr>
      <w:r w:rsidRPr="003B7653">
        <w:rPr>
          <w:rFonts w:ascii="Times New Roman" w:hAnsi="Times New Roman" w:cs="Times New Roman"/>
          <w:sz w:val="24"/>
          <w:szCs w:val="24"/>
        </w:rPr>
        <w:t>Figure 2</w:t>
      </w:r>
      <w:r w:rsidRPr="00226C75">
        <w:rPr>
          <w:rFonts w:ascii="Times New Roman" w:hAnsi="Times New Roman" w:cs="Times New Roman"/>
          <w:sz w:val="24"/>
          <w:szCs w:val="24"/>
        </w:rPr>
        <w:t xml:space="preserve"> shows the mean inflation of the 74 provinces included in the study. </w:t>
      </w:r>
      <w:r w:rsidRPr="00226C75">
        <w:rPr>
          <w:rFonts w:ascii="Times New Roman" w:hAnsi="Times New Roman" w:cs="Times New Roman"/>
          <w:sz w:val="24"/>
          <w:szCs w:val="24"/>
        </w:rPr>
        <w:br/>
        <w:t>The study period captured strong fluctuations and spikes, as well as significant shifts to inflation targeting and the rice tariffication policy. The figure highlights noticeable differences in provincial inflation rates over the sample period. Inflation rates fluctuated between 5.4</w:t>
      </w:r>
      <w:r w:rsidR="00667D49">
        <w:rPr>
          <w:rFonts w:ascii="Times New Roman" w:hAnsi="Times New Roman" w:cs="Times New Roman"/>
          <w:sz w:val="24"/>
          <w:szCs w:val="24"/>
        </w:rPr>
        <w:t>%</w:t>
      </w:r>
      <w:r w:rsidR="00814464">
        <w:rPr>
          <w:rFonts w:ascii="Times New Roman" w:hAnsi="Times New Roman" w:cs="Times New Roman"/>
          <w:sz w:val="24"/>
          <w:szCs w:val="24"/>
        </w:rPr>
        <w:t xml:space="preserve"> </w:t>
      </w:r>
      <w:r w:rsidRPr="00226C75">
        <w:rPr>
          <w:rFonts w:ascii="Times New Roman" w:hAnsi="Times New Roman" w:cs="Times New Roman"/>
          <w:sz w:val="24"/>
          <w:szCs w:val="24"/>
        </w:rPr>
        <w:t>for Bukidnon (BUK) and Maguindanao (MGN) and 3.8</w:t>
      </w:r>
      <w:r w:rsidR="00667D49">
        <w:rPr>
          <w:rFonts w:ascii="Times New Roman" w:hAnsi="Times New Roman" w:cs="Times New Roman"/>
          <w:sz w:val="24"/>
          <w:szCs w:val="24"/>
        </w:rPr>
        <w:t>%</w:t>
      </w:r>
      <w:r w:rsidRPr="00226C75">
        <w:rPr>
          <w:rFonts w:ascii="Times New Roman" w:hAnsi="Times New Roman" w:cs="Times New Roman"/>
          <w:sz w:val="24"/>
          <w:szCs w:val="24"/>
        </w:rPr>
        <w:t xml:space="preserve"> for Bulacan (BUL) and </w:t>
      </w:r>
      <w:proofErr w:type="spellStart"/>
      <w:r w:rsidRPr="00226C75">
        <w:rPr>
          <w:rFonts w:ascii="Times New Roman" w:hAnsi="Times New Roman" w:cs="Times New Roman"/>
          <w:sz w:val="24"/>
          <w:szCs w:val="24"/>
        </w:rPr>
        <w:t>Ilocos</w:t>
      </w:r>
      <w:proofErr w:type="spellEnd"/>
      <w:r w:rsidRPr="00226C75">
        <w:rPr>
          <w:rFonts w:ascii="Times New Roman" w:hAnsi="Times New Roman" w:cs="Times New Roman"/>
          <w:sz w:val="24"/>
          <w:szCs w:val="24"/>
        </w:rPr>
        <w:t xml:space="preserve"> Norte (ILN). This clearly constitutes a substantial difference relative to the mean inflation rate across provinces. Many provinces exhibited consistently high or low inflation rates, reflecting deviations above the national inflation target set for a given year. Against this background, overall inflation across provinces might have experienced varied influences from distinct </w:t>
      </w:r>
      <w:r w:rsidRPr="00226C75">
        <w:rPr>
          <w:rFonts w:ascii="Times New Roman" w:hAnsi="Times New Roman" w:cs="Times New Roman"/>
          <w:sz w:val="24"/>
          <w:szCs w:val="24"/>
        </w:rPr>
        <w:lastRenderedPageBreak/>
        <w:t>factors, such as rice and fuel prices, which could have directly affected consumer prices in the face of price shocks.</w:t>
      </w:r>
    </w:p>
    <w:p w14:paraId="2C35D385" w14:textId="77777777" w:rsidR="003B7653" w:rsidRDefault="003B7653" w:rsidP="003B7653">
      <w:pPr>
        <w:ind w:firstLine="360"/>
        <w:jc w:val="both"/>
        <w:rPr>
          <w:rFonts w:ascii="Times New Roman" w:eastAsia="Arial" w:hAnsi="Times New Roman" w:cs="Times New Roman"/>
          <w:b/>
          <w:bCs/>
          <w:sz w:val="24"/>
          <w:szCs w:val="24"/>
        </w:rPr>
      </w:pPr>
    </w:p>
    <w:p w14:paraId="36A15211" w14:textId="7F513E4D" w:rsidR="004E2B5B" w:rsidRPr="009F2F12" w:rsidRDefault="004E2B5B" w:rsidP="009F2F12">
      <w:pPr>
        <w:jc w:val="center"/>
        <w:rPr>
          <w:rFonts w:ascii="Times New Roman" w:hAnsi="Times New Roman" w:cs="Times New Roman"/>
          <w:sz w:val="24"/>
          <w:szCs w:val="24"/>
        </w:rPr>
      </w:pPr>
      <w:r w:rsidRPr="009F2F12">
        <w:rPr>
          <w:rFonts w:ascii="Times New Roman" w:eastAsia="Arial" w:hAnsi="Times New Roman" w:cs="Times New Roman"/>
          <w:b/>
          <w:bCs/>
          <w:sz w:val="24"/>
          <w:szCs w:val="24"/>
        </w:rPr>
        <w:t>Table 1</w:t>
      </w:r>
      <w:r w:rsidR="00F01F84">
        <w:rPr>
          <w:rFonts w:ascii="Times New Roman" w:eastAsia="Arial" w:hAnsi="Times New Roman" w:cs="Times New Roman"/>
          <w:b/>
          <w:bCs/>
          <w:sz w:val="24"/>
          <w:szCs w:val="24"/>
        </w:rPr>
        <w:t>:</w:t>
      </w:r>
      <w:r w:rsidRPr="009F2F12">
        <w:rPr>
          <w:rFonts w:ascii="Times New Roman" w:eastAsia="Arial" w:hAnsi="Times New Roman" w:cs="Times New Roman"/>
          <w:b/>
          <w:bCs/>
          <w:sz w:val="24"/>
          <w:szCs w:val="24"/>
        </w:rPr>
        <w:t xml:space="preserve"> Correlation among </w:t>
      </w:r>
      <w:r w:rsidR="00F01F84">
        <w:rPr>
          <w:rFonts w:ascii="Times New Roman" w:eastAsia="Arial" w:hAnsi="Times New Roman" w:cs="Times New Roman"/>
          <w:b/>
          <w:bCs/>
          <w:sz w:val="24"/>
          <w:szCs w:val="24"/>
        </w:rPr>
        <w:t>o</w:t>
      </w:r>
      <w:r w:rsidRPr="009F2F12">
        <w:rPr>
          <w:rFonts w:ascii="Times New Roman" w:eastAsia="Arial" w:hAnsi="Times New Roman" w:cs="Times New Roman"/>
          <w:b/>
          <w:bCs/>
          <w:sz w:val="24"/>
          <w:szCs w:val="24"/>
        </w:rPr>
        <w:t xml:space="preserve">verall </w:t>
      </w:r>
      <w:r w:rsidR="00F01F84">
        <w:rPr>
          <w:rFonts w:ascii="Times New Roman" w:eastAsia="Arial" w:hAnsi="Times New Roman" w:cs="Times New Roman"/>
          <w:b/>
          <w:bCs/>
          <w:sz w:val="24"/>
          <w:szCs w:val="24"/>
        </w:rPr>
        <w:t>i</w:t>
      </w:r>
      <w:r w:rsidRPr="009F2F12">
        <w:rPr>
          <w:rFonts w:ascii="Times New Roman" w:eastAsia="Arial" w:hAnsi="Times New Roman" w:cs="Times New Roman"/>
          <w:b/>
          <w:bCs/>
          <w:sz w:val="24"/>
          <w:szCs w:val="24"/>
        </w:rPr>
        <w:t xml:space="preserve">nflation, </w:t>
      </w:r>
      <w:r w:rsidR="00F01F84">
        <w:rPr>
          <w:rFonts w:ascii="Times New Roman" w:eastAsia="Arial" w:hAnsi="Times New Roman" w:cs="Times New Roman"/>
          <w:b/>
          <w:bCs/>
          <w:sz w:val="24"/>
          <w:szCs w:val="24"/>
        </w:rPr>
        <w:t>r</w:t>
      </w:r>
      <w:r w:rsidRPr="009F2F12">
        <w:rPr>
          <w:rFonts w:ascii="Times New Roman" w:eastAsia="Arial" w:hAnsi="Times New Roman" w:cs="Times New Roman"/>
          <w:b/>
          <w:bCs/>
          <w:sz w:val="24"/>
          <w:szCs w:val="24"/>
        </w:rPr>
        <w:t xml:space="preserve">ice or </w:t>
      </w:r>
      <w:r w:rsidR="00F01F84">
        <w:rPr>
          <w:rFonts w:ascii="Times New Roman" w:eastAsia="Arial" w:hAnsi="Times New Roman" w:cs="Times New Roman"/>
          <w:b/>
          <w:bCs/>
          <w:sz w:val="24"/>
          <w:szCs w:val="24"/>
        </w:rPr>
        <w:t>f</w:t>
      </w:r>
      <w:r w:rsidRPr="009F2F12">
        <w:rPr>
          <w:rFonts w:ascii="Times New Roman" w:eastAsia="Arial" w:hAnsi="Times New Roman" w:cs="Times New Roman"/>
          <w:b/>
          <w:bCs/>
          <w:sz w:val="24"/>
          <w:szCs w:val="24"/>
        </w:rPr>
        <w:t xml:space="preserve">uel </w:t>
      </w:r>
      <w:r w:rsidR="00F01F84">
        <w:rPr>
          <w:rFonts w:ascii="Times New Roman" w:eastAsia="Arial" w:hAnsi="Times New Roman" w:cs="Times New Roman"/>
          <w:b/>
          <w:bCs/>
          <w:sz w:val="24"/>
          <w:szCs w:val="24"/>
        </w:rPr>
        <w:t>p</w:t>
      </w:r>
      <w:r w:rsidRPr="009F2F12">
        <w:rPr>
          <w:rFonts w:ascii="Times New Roman" w:eastAsia="Arial" w:hAnsi="Times New Roman" w:cs="Times New Roman"/>
          <w:b/>
          <w:bCs/>
          <w:sz w:val="24"/>
          <w:szCs w:val="24"/>
        </w:rPr>
        <w:t xml:space="preserve">rice </w:t>
      </w:r>
      <w:r w:rsidR="00F01F84">
        <w:rPr>
          <w:rFonts w:ascii="Times New Roman" w:eastAsia="Arial" w:hAnsi="Times New Roman" w:cs="Times New Roman"/>
          <w:b/>
          <w:bCs/>
          <w:sz w:val="24"/>
          <w:szCs w:val="24"/>
        </w:rPr>
        <w:t>i</w:t>
      </w:r>
      <w:r w:rsidRPr="009F2F12">
        <w:rPr>
          <w:rFonts w:ascii="Times New Roman" w:eastAsia="Arial" w:hAnsi="Times New Roman" w:cs="Times New Roman"/>
          <w:b/>
          <w:bCs/>
          <w:sz w:val="24"/>
          <w:szCs w:val="24"/>
        </w:rPr>
        <w:t>nflation</w:t>
      </w:r>
    </w:p>
    <w:p w14:paraId="65D62CA4" w14:textId="77777777" w:rsidR="004E2B5B" w:rsidRPr="00D6728E" w:rsidRDefault="004E2B5B" w:rsidP="004E2B5B">
      <w:pPr>
        <w:rPr>
          <w:rFonts w:ascii="Montserrat" w:hAnsi="Montserrat"/>
          <w:b/>
          <w:bCs/>
        </w:rPr>
      </w:pPr>
    </w:p>
    <w:tbl>
      <w:tblPr>
        <w:tblW w:w="9214" w:type="dxa"/>
        <w:tblLook w:val="04A0" w:firstRow="1" w:lastRow="0" w:firstColumn="1" w:lastColumn="0" w:noHBand="0" w:noVBand="1"/>
      </w:tblPr>
      <w:tblGrid>
        <w:gridCol w:w="1843"/>
        <w:gridCol w:w="2126"/>
        <w:gridCol w:w="1843"/>
        <w:gridCol w:w="1985"/>
        <w:gridCol w:w="1417"/>
      </w:tblGrid>
      <w:tr w:rsidR="004E2B5B" w:rsidRPr="00D6728E" w14:paraId="12759B94" w14:textId="77777777" w:rsidTr="00532745">
        <w:trPr>
          <w:trHeight w:val="315"/>
        </w:trPr>
        <w:tc>
          <w:tcPr>
            <w:tcW w:w="1843" w:type="dxa"/>
            <w:tcBorders>
              <w:top w:val="single" w:sz="4" w:space="0" w:color="auto"/>
              <w:left w:val="nil"/>
              <w:bottom w:val="single" w:sz="4" w:space="0" w:color="auto"/>
              <w:right w:val="nil"/>
            </w:tcBorders>
            <w:shd w:val="clear" w:color="auto" w:fill="auto"/>
            <w:noWrap/>
            <w:vAlign w:val="bottom"/>
            <w:hideMark/>
          </w:tcPr>
          <w:p w14:paraId="647B80F1" w14:textId="77777777" w:rsidR="004E2B5B" w:rsidRPr="00D6728E" w:rsidRDefault="004E2B5B" w:rsidP="00532745">
            <w:pPr>
              <w:rPr>
                <w:rFonts w:ascii="Montserrat" w:hAnsi="Montserrat"/>
                <w:color w:val="000000"/>
                <w:szCs w:val="24"/>
              </w:rPr>
            </w:pPr>
            <w:r w:rsidRPr="00D6728E">
              <w:rPr>
                <w:rFonts w:ascii="Montserrat" w:hAnsi="Montserrat"/>
                <w:color w:val="000000"/>
                <w:szCs w:val="24"/>
              </w:rPr>
              <w:t> </w:t>
            </w:r>
          </w:p>
        </w:tc>
        <w:tc>
          <w:tcPr>
            <w:tcW w:w="2126" w:type="dxa"/>
            <w:tcBorders>
              <w:top w:val="single" w:sz="4" w:space="0" w:color="auto"/>
              <w:left w:val="nil"/>
              <w:bottom w:val="single" w:sz="4" w:space="0" w:color="auto"/>
              <w:right w:val="nil"/>
            </w:tcBorders>
            <w:shd w:val="clear" w:color="auto" w:fill="auto"/>
            <w:noWrap/>
            <w:vAlign w:val="bottom"/>
            <w:hideMark/>
          </w:tcPr>
          <w:p w14:paraId="710E96EF"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Inflation</w:t>
            </w:r>
          </w:p>
        </w:tc>
        <w:tc>
          <w:tcPr>
            <w:tcW w:w="1843" w:type="dxa"/>
            <w:tcBorders>
              <w:top w:val="single" w:sz="4" w:space="0" w:color="auto"/>
              <w:left w:val="nil"/>
              <w:bottom w:val="single" w:sz="4" w:space="0" w:color="auto"/>
              <w:right w:val="nil"/>
            </w:tcBorders>
            <w:shd w:val="clear" w:color="auto" w:fill="auto"/>
            <w:noWrap/>
            <w:vAlign w:val="bottom"/>
            <w:hideMark/>
          </w:tcPr>
          <w:p w14:paraId="57C1328D"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 xml:space="preserve">Rice </w:t>
            </w:r>
          </w:p>
        </w:tc>
        <w:tc>
          <w:tcPr>
            <w:tcW w:w="1985" w:type="dxa"/>
            <w:tcBorders>
              <w:top w:val="single" w:sz="4" w:space="0" w:color="auto"/>
              <w:left w:val="nil"/>
              <w:bottom w:val="single" w:sz="4" w:space="0" w:color="auto"/>
              <w:right w:val="nil"/>
            </w:tcBorders>
            <w:shd w:val="clear" w:color="auto" w:fill="auto"/>
            <w:noWrap/>
            <w:vAlign w:val="bottom"/>
            <w:hideMark/>
          </w:tcPr>
          <w:p w14:paraId="29BD426F"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 xml:space="preserve">Diesel </w:t>
            </w:r>
          </w:p>
        </w:tc>
        <w:tc>
          <w:tcPr>
            <w:tcW w:w="1417" w:type="dxa"/>
            <w:tcBorders>
              <w:top w:val="single" w:sz="4" w:space="0" w:color="auto"/>
              <w:left w:val="nil"/>
              <w:bottom w:val="single" w:sz="4" w:space="0" w:color="auto"/>
              <w:right w:val="nil"/>
            </w:tcBorders>
            <w:shd w:val="clear" w:color="auto" w:fill="auto"/>
            <w:noWrap/>
            <w:vAlign w:val="bottom"/>
            <w:hideMark/>
          </w:tcPr>
          <w:p w14:paraId="5CAA75CA"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 xml:space="preserve">Gasoline </w:t>
            </w:r>
          </w:p>
        </w:tc>
      </w:tr>
      <w:tr w:rsidR="004E2B5B" w:rsidRPr="00D6728E" w14:paraId="6614743C" w14:textId="77777777" w:rsidTr="00532745">
        <w:trPr>
          <w:trHeight w:val="315"/>
        </w:trPr>
        <w:tc>
          <w:tcPr>
            <w:tcW w:w="1843" w:type="dxa"/>
            <w:tcBorders>
              <w:top w:val="nil"/>
              <w:left w:val="nil"/>
              <w:bottom w:val="nil"/>
              <w:right w:val="nil"/>
            </w:tcBorders>
            <w:shd w:val="clear" w:color="auto" w:fill="auto"/>
            <w:noWrap/>
            <w:vAlign w:val="bottom"/>
            <w:hideMark/>
          </w:tcPr>
          <w:p w14:paraId="44DE4466"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Inflation</w:t>
            </w:r>
          </w:p>
        </w:tc>
        <w:tc>
          <w:tcPr>
            <w:tcW w:w="2126" w:type="dxa"/>
            <w:tcBorders>
              <w:top w:val="nil"/>
              <w:left w:val="nil"/>
              <w:bottom w:val="nil"/>
              <w:right w:val="nil"/>
            </w:tcBorders>
            <w:shd w:val="clear" w:color="auto" w:fill="auto"/>
            <w:noWrap/>
            <w:vAlign w:val="bottom"/>
            <w:hideMark/>
          </w:tcPr>
          <w:p w14:paraId="1DF2C969"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1.00</w:t>
            </w:r>
          </w:p>
        </w:tc>
        <w:tc>
          <w:tcPr>
            <w:tcW w:w="1843" w:type="dxa"/>
            <w:tcBorders>
              <w:top w:val="nil"/>
              <w:left w:val="nil"/>
              <w:bottom w:val="nil"/>
              <w:right w:val="nil"/>
            </w:tcBorders>
            <w:shd w:val="clear" w:color="auto" w:fill="auto"/>
            <w:noWrap/>
            <w:vAlign w:val="bottom"/>
            <w:hideMark/>
          </w:tcPr>
          <w:p w14:paraId="06257825" w14:textId="77777777" w:rsidR="004E2B5B" w:rsidRPr="009F2F12" w:rsidRDefault="004E2B5B" w:rsidP="00532745">
            <w:pPr>
              <w:rPr>
                <w:rFonts w:ascii="Times New Roman" w:hAnsi="Times New Roman" w:cs="Times New Roman"/>
                <w:color w:val="000000"/>
                <w:sz w:val="22"/>
                <w:szCs w:val="22"/>
              </w:rPr>
            </w:pPr>
          </w:p>
        </w:tc>
        <w:tc>
          <w:tcPr>
            <w:tcW w:w="1985" w:type="dxa"/>
            <w:tcBorders>
              <w:top w:val="nil"/>
              <w:left w:val="nil"/>
              <w:bottom w:val="nil"/>
              <w:right w:val="nil"/>
            </w:tcBorders>
            <w:shd w:val="clear" w:color="auto" w:fill="auto"/>
            <w:noWrap/>
            <w:vAlign w:val="bottom"/>
            <w:hideMark/>
          </w:tcPr>
          <w:p w14:paraId="667EE35A" w14:textId="77777777" w:rsidR="004E2B5B" w:rsidRPr="009F2F12" w:rsidRDefault="004E2B5B" w:rsidP="00532745">
            <w:pPr>
              <w:rPr>
                <w:rFonts w:ascii="Times New Roman" w:hAnsi="Times New Roman" w:cs="Times New Roman"/>
                <w:sz w:val="22"/>
                <w:szCs w:val="22"/>
              </w:rPr>
            </w:pPr>
          </w:p>
        </w:tc>
        <w:tc>
          <w:tcPr>
            <w:tcW w:w="1417" w:type="dxa"/>
            <w:tcBorders>
              <w:top w:val="nil"/>
              <w:left w:val="nil"/>
              <w:bottom w:val="nil"/>
              <w:right w:val="nil"/>
            </w:tcBorders>
            <w:shd w:val="clear" w:color="auto" w:fill="auto"/>
            <w:noWrap/>
            <w:vAlign w:val="bottom"/>
            <w:hideMark/>
          </w:tcPr>
          <w:p w14:paraId="2CE4F194" w14:textId="77777777" w:rsidR="004E2B5B" w:rsidRPr="009F2F12" w:rsidRDefault="004E2B5B" w:rsidP="00532745">
            <w:pPr>
              <w:rPr>
                <w:rFonts w:ascii="Times New Roman" w:hAnsi="Times New Roman" w:cs="Times New Roman"/>
                <w:sz w:val="22"/>
                <w:szCs w:val="22"/>
              </w:rPr>
            </w:pPr>
          </w:p>
        </w:tc>
      </w:tr>
      <w:tr w:rsidR="004E2B5B" w:rsidRPr="00D6728E" w14:paraId="621638CE" w14:textId="77777777" w:rsidTr="00532745">
        <w:trPr>
          <w:trHeight w:val="315"/>
        </w:trPr>
        <w:tc>
          <w:tcPr>
            <w:tcW w:w="1843" w:type="dxa"/>
            <w:tcBorders>
              <w:top w:val="nil"/>
              <w:left w:val="nil"/>
              <w:bottom w:val="nil"/>
              <w:right w:val="nil"/>
            </w:tcBorders>
            <w:shd w:val="clear" w:color="auto" w:fill="auto"/>
            <w:noWrap/>
            <w:vAlign w:val="bottom"/>
            <w:hideMark/>
          </w:tcPr>
          <w:p w14:paraId="39BC07DA"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 xml:space="preserve">Rice </w:t>
            </w:r>
          </w:p>
        </w:tc>
        <w:tc>
          <w:tcPr>
            <w:tcW w:w="2126" w:type="dxa"/>
            <w:tcBorders>
              <w:top w:val="nil"/>
              <w:left w:val="nil"/>
              <w:bottom w:val="nil"/>
              <w:right w:val="nil"/>
            </w:tcBorders>
            <w:shd w:val="clear" w:color="auto" w:fill="auto"/>
            <w:noWrap/>
            <w:vAlign w:val="bottom"/>
            <w:hideMark/>
          </w:tcPr>
          <w:p w14:paraId="7D85F8CE"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0.98</w:t>
            </w:r>
            <w:r w:rsidRPr="009F2F12">
              <w:rPr>
                <w:rFonts w:ascii="Times New Roman" w:hAnsi="Times New Roman" w:cs="Times New Roman"/>
                <w:color w:val="000000"/>
                <w:sz w:val="22"/>
                <w:szCs w:val="22"/>
                <w:vertAlign w:val="superscript"/>
              </w:rPr>
              <w:t>***</w:t>
            </w:r>
            <w:r w:rsidRPr="009F2F12">
              <w:rPr>
                <w:rFonts w:ascii="Times New Roman" w:hAnsi="Times New Roman" w:cs="Times New Roman"/>
                <w:color w:val="000000"/>
                <w:sz w:val="22"/>
                <w:szCs w:val="22"/>
              </w:rPr>
              <w:t xml:space="preserve"> (0.000)</w:t>
            </w:r>
          </w:p>
        </w:tc>
        <w:tc>
          <w:tcPr>
            <w:tcW w:w="1843" w:type="dxa"/>
            <w:tcBorders>
              <w:top w:val="nil"/>
              <w:left w:val="nil"/>
              <w:bottom w:val="nil"/>
              <w:right w:val="nil"/>
            </w:tcBorders>
            <w:shd w:val="clear" w:color="auto" w:fill="auto"/>
            <w:noWrap/>
            <w:vAlign w:val="bottom"/>
            <w:hideMark/>
          </w:tcPr>
          <w:p w14:paraId="17A6E309"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1.00</w:t>
            </w:r>
          </w:p>
        </w:tc>
        <w:tc>
          <w:tcPr>
            <w:tcW w:w="1985" w:type="dxa"/>
            <w:tcBorders>
              <w:top w:val="nil"/>
              <w:left w:val="nil"/>
              <w:bottom w:val="nil"/>
              <w:right w:val="nil"/>
            </w:tcBorders>
            <w:shd w:val="clear" w:color="auto" w:fill="auto"/>
            <w:noWrap/>
            <w:vAlign w:val="bottom"/>
            <w:hideMark/>
          </w:tcPr>
          <w:p w14:paraId="78608ED5" w14:textId="77777777" w:rsidR="004E2B5B" w:rsidRPr="009F2F12" w:rsidRDefault="004E2B5B" w:rsidP="00532745">
            <w:pPr>
              <w:rPr>
                <w:rFonts w:ascii="Times New Roman" w:hAnsi="Times New Roman" w:cs="Times New Roman"/>
                <w:color w:val="000000"/>
                <w:sz w:val="22"/>
                <w:szCs w:val="22"/>
              </w:rPr>
            </w:pPr>
          </w:p>
        </w:tc>
        <w:tc>
          <w:tcPr>
            <w:tcW w:w="1417" w:type="dxa"/>
            <w:tcBorders>
              <w:top w:val="nil"/>
              <w:left w:val="nil"/>
              <w:bottom w:val="nil"/>
              <w:right w:val="nil"/>
            </w:tcBorders>
            <w:shd w:val="clear" w:color="auto" w:fill="auto"/>
            <w:noWrap/>
            <w:vAlign w:val="bottom"/>
            <w:hideMark/>
          </w:tcPr>
          <w:p w14:paraId="2B5474EC" w14:textId="77777777" w:rsidR="004E2B5B" w:rsidRPr="009F2F12" w:rsidRDefault="004E2B5B" w:rsidP="00532745">
            <w:pPr>
              <w:rPr>
                <w:rFonts w:ascii="Times New Roman" w:hAnsi="Times New Roman" w:cs="Times New Roman"/>
                <w:sz w:val="22"/>
                <w:szCs w:val="22"/>
              </w:rPr>
            </w:pPr>
          </w:p>
        </w:tc>
      </w:tr>
      <w:tr w:rsidR="004E2B5B" w:rsidRPr="00D6728E" w14:paraId="0C2C21F0" w14:textId="77777777" w:rsidTr="00532745">
        <w:trPr>
          <w:trHeight w:val="315"/>
        </w:trPr>
        <w:tc>
          <w:tcPr>
            <w:tcW w:w="1843" w:type="dxa"/>
            <w:tcBorders>
              <w:top w:val="nil"/>
              <w:left w:val="nil"/>
              <w:bottom w:val="nil"/>
              <w:right w:val="nil"/>
            </w:tcBorders>
            <w:shd w:val="clear" w:color="auto" w:fill="auto"/>
            <w:noWrap/>
            <w:vAlign w:val="bottom"/>
            <w:hideMark/>
          </w:tcPr>
          <w:p w14:paraId="098E2416"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 xml:space="preserve">Diesel </w:t>
            </w:r>
          </w:p>
        </w:tc>
        <w:tc>
          <w:tcPr>
            <w:tcW w:w="2126" w:type="dxa"/>
            <w:tcBorders>
              <w:top w:val="nil"/>
              <w:left w:val="nil"/>
              <w:bottom w:val="nil"/>
              <w:right w:val="nil"/>
            </w:tcBorders>
            <w:shd w:val="clear" w:color="auto" w:fill="auto"/>
            <w:noWrap/>
            <w:vAlign w:val="bottom"/>
            <w:hideMark/>
          </w:tcPr>
          <w:p w14:paraId="2D0B0D07"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0.46</w:t>
            </w:r>
            <w:r w:rsidRPr="009F2F12">
              <w:rPr>
                <w:rFonts w:ascii="Times New Roman" w:hAnsi="Times New Roman" w:cs="Times New Roman"/>
                <w:color w:val="000000"/>
                <w:sz w:val="22"/>
                <w:szCs w:val="22"/>
                <w:vertAlign w:val="superscript"/>
              </w:rPr>
              <w:t>***</w:t>
            </w:r>
            <w:r w:rsidRPr="009F2F12">
              <w:rPr>
                <w:rFonts w:ascii="Times New Roman" w:hAnsi="Times New Roman" w:cs="Times New Roman"/>
                <w:color w:val="000000"/>
                <w:sz w:val="22"/>
                <w:szCs w:val="22"/>
              </w:rPr>
              <w:t xml:space="preserve"> (0.000)</w:t>
            </w:r>
          </w:p>
        </w:tc>
        <w:tc>
          <w:tcPr>
            <w:tcW w:w="1843" w:type="dxa"/>
            <w:tcBorders>
              <w:top w:val="nil"/>
              <w:left w:val="nil"/>
              <w:bottom w:val="nil"/>
              <w:right w:val="nil"/>
            </w:tcBorders>
            <w:shd w:val="clear" w:color="auto" w:fill="auto"/>
            <w:noWrap/>
            <w:vAlign w:val="bottom"/>
            <w:hideMark/>
          </w:tcPr>
          <w:p w14:paraId="1BFF7F64"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0.45</w:t>
            </w:r>
            <w:r w:rsidRPr="009F2F12">
              <w:rPr>
                <w:rFonts w:ascii="Times New Roman" w:hAnsi="Times New Roman" w:cs="Times New Roman"/>
                <w:color w:val="000000"/>
                <w:sz w:val="22"/>
                <w:szCs w:val="22"/>
                <w:vertAlign w:val="superscript"/>
              </w:rPr>
              <w:t>***</w:t>
            </w:r>
            <w:r w:rsidRPr="009F2F12">
              <w:rPr>
                <w:rFonts w:ascii="Times New Roman" w:hAnsi="Times New Roman" w:cs="Times New Roman"/>
                <w:color w:val="000000"/>
                <w:sz w:val="22"/>
                <w:szCs w:val="22"/>
              </w:rPr>
              <w:t xml:space="preserve"> (0.000)</w:t>
            </w:r>
          </w:p>
        </w:tc>
        <w:tc>
          <w:tcPr>
            <w:tcW w:w="1985" w:type="dxa"/>
            <w:tcBorders>
              <w:top w:val="nil"/>
              <w:left w:val="nil"/>
              <w:bottom w:val="nil"/>
              <w:right w:val="nil"/>
            </w:tcBorders>
            <w:shd w:val="clear" w:color="auto" w:fill="auto"/>
            <w:noWrap/>
            <w:vAlign w:val="bottom"/>
            <w:hideMark/>
          </w:tcPr>
          <w:p w14:paraId="33C6DB7F"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1.00</w:t>
            </w:r>
          </w:p>
        </w:tc>
        <w:tc>
          <w:tcPr>
            <w:tcW w:w="1417" w:type="dxa"/>
            <w:tcBorders>
              <w:top w:val="nil"/>
              <w:left w:val="nil"/>
              <w:bottom w:val="nil"/>
              <w:right w:val="nil"/>
            </w:tcBorders>
            <w:shd w:val="clear" w:color="auto" w:fill="auto"/>
            <w:noWrap/>
            <w:vAlign w:val="bottom"/>
            <w:hideMark/>
          </w:tcPr>
          <w:p w14:paraId="6EDF6B81" w14:textId="77777777" w:rsidR="004E2B5B" w:rsidRPr="009F2F12" w:rsidRDefault="004E2B5B" w:rsidP="00532745">
            <w:pPr>
              <w:rPr>
                <w:rFonts w:ascii="Times New Roman" w:hAnsi="Times New Roman" w:cs="Times New Roman"/>
                <w:color w:val="000000"/>
                <w:sz w:val="22"/>
                <w:szCs w:val="22"/>
              </w:rPr>
            </w:pPr>
          </w:p>
        </w:tc>
      </w:tr>
      <w:tr w:rsidR="004E2B5B" w:rsidRPr="00D6728E" w14:paraId="3C55F553" w14:textId="77777777" w:rsidTr="00532745">
        <w:trPr>
          <w:trHeight w:val="315"/>
        </w:trPr>
        <w:tc>
          <w:tcPr>
            <w:tcW w:w="1843" w:type="dxa"/>
            <w:tcBorders>
              <w:top w:val="nil"/>
              <w:left w:val="nil"/>
              <w:bottom w:val="single" w:sz="4" w:space="0" w:color="auto"/>
              <w:right w:val="nil"/>
            </w:tcBorders>
            <w:shd w:val="clear" w:color="auto" w:fill="auto"/>
            <w:noWrap/>
            <w:vAlign w:val="bottom"/>
            <w:hideMark/>
          </w:tcPr>
          <w:p w14:paraId="141EA139"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 xml:space="preserve">Gasoline </w:t>
            </w:r>
          </w:p>
        </w:tc>
        <w:tc>
          <w:tcPr>
            <w:tcW w:w="2126" w:type="dxa"/>
            <w:tcBorders>
              <w:top w:val="nil"/>
              <w:left w:val="nil"/>
              <w:bottom w:val="single" w:sz="4" w:space="0" w:color="auto"/>
              <w:right w:val="nil"/>
            </w:tcBorders>
            <w:shd w:val="clear" w:color="auto" w:fill="auto"/>
            <w:noWrap/>
            <w:vAlign w:val="bottom"/>
            <w:hideMark/>
          </w:tcPr>
          <w:p w14:paraId="761BC18C"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0.50</w:t>
            </w:r>
            <w:r w:rsidRPr="009F2F12">
              <w:rPr>
                <w:rFonts w:ascii="Times New Roman" w:hAnsi="Times New Roman" w:cs="Times New Roman"/>
                <w:color w:val="000000"/>
                <w:sz w:val="22"/>
                <w:szCs w:val="22"/>
                <w:vertAlign w:val="superscript"/>
              </w:rPr>
              <w:t>***</w:t>
            </w:r>
            <w:r w:rsidRPr="009F2F12">
              <w:rPr>
                <w:rFonts w:ascii="Times New Roman" w:hAnsi="Times New Roman" w:cs="Times New Roman"/>
                <w:color w:val="000000"/>
                <w:sz w:val="22"/>
                <w:szCs w:val="22"/>
              </w:rPr>
              <w:t xml:space="preserve"> (0.000)</w:t>
            </w:r>
          </w:p>
        </w:tc>
        <w:tc>
          <w:tcPr>
            <w:tcW w:w="1843" w:type="dxa"/>
            <w:tcBorders>
              <w:top w:val="nil"/>
              <w:left w:val="nil"/>
              <w:bottom w:val="single" w:sz="4" w:space="0" w:color="auto"/>
              <w:right w:val="nil"/>
            </w:tcBorders>
            <w:shd w:val="clear" w:color="auto" w:fill="auto"/>
            <w:noWrap/>
            <w:vAlign w:val="bottom"/>
            <w:hideMark/>
          </w:tcPr>
          <w:p w14:paraId="21DD20C1"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0.50</w:t>
            </w:r>
            <w:r w:rsidRPr="009F2F12">
              <w:rPr>
                <w:rFonts w:ascii="Times New Roman" w:hAnsi="Times New Roman" w:cs="Times New Roman"/>
                <w:color w:val="000000"/>
                <w:sz w:val="22"/>
                <w:szCs w:val="22"/>
                <w:vertAlign w:val="superscript"/>
              </w:rPr>
              <w:t>***</w:t>
            </w:r>
            <w:r w:rsidRPr="009F2F12">
              <w:rPr>
                <w:rFonts w:ascii="Times New Roman" w:hAnsi="Times New Roman" w:cs="Times New Roman"/>
                <w:color w:val="000000"/>
                <w:sz w:val="22"/>
                <w:szCs w:val="22"/>
              </w:rPr>
              <w:t xml:space="preserve"> (0.000)</w:t>
            </w:r>
          </w:p>
        </w:tc>
        <w:tc>
          <w:tcPr>
            <w:tcW w:w="1985" w:type="dxa"/>
            <w:tcBorders>
              <w:top w:val="nil"/>
              <w:left w:val="nil"/>
              <w:bottom w:val="single" w:sz="4" w:space="0" w:color="auto"/>
              <w:right w:val="nil"/>
            </w:tcBorders>
            <w:shd w:val="clear" w:color="auto" w:fill="auto"/>
            <w:noWrap/>
            <w:vAlign w:val="bottom"/>
            <w:hideMark/>
          </w:tcPr>
          <w:p w14:paraId="3B3E608F"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0.94</w:t>
            </w:r>
            <w:r w:rsidRPr="009F2F12">
              <w:rPr>
                <w:rFonts w:ascii="Times New Roman" w:hAnsi="Times New Roman" w:cs="Times New Roman"/>
                <w:color w:val="000000"/>
                <w:sz w:val="22"/>
                <w:szCs w:val="22"/>
                <w:vertAlign w:val="superscript"/>
              </w:rPr>
              <w:t>***</w:t>
            </w:r>
            <w:r w:rsidRPr="009F2F12">
              <w:rPr>
                <w:rFonts w:ascii="Times New Roman" w:hAnsi="Times New Roman" w:cs="Times New Roman"/>
                <w:color w:val="000000"/>
                <w:sz w:val="22"/>
                <w:szCs w:val="22"/>
              </w:rPr>
              <w:t xml:space="preserve"> (0.000)</w:t>
            </w:r>
          </w:p>
        </w:tc>
        <w:tc>
          <w:tcPr>
            <w:tcW w:w="1417" w:type="dxa"/>
            <w:tcBorders>
              <w:top w:val="nil"/>
              <w:left w:val="nil"/>
              <w:bottom w:val="single" w:sz="4" w:space="0" w:color="auto"/>
              <w:right w:val="nil"/>
            </w:tcBorders>
            <w:shd w:val="clear" w:color="auto" w:fill="auto"/>
            <w:noWrap/>
            <w:vAlign w:val="bottom"/>
            <w:hideMark/>
          </w:tcPr>
          <w:p w14:paraId="630B1C9F" w14:textId="77777777" w:rsidR="004E2B5B" w:rsidRPr="009F2F12" w:rsidRDefault="004E2B5B" w:rsidP="00532745">
            <w:pPr>
              <w:rPr>
                <w:rFonts w:ascii="Times New Roman" w:hAnsi="Times New Roman" w:cs="Times New Roman"/>
                <w:color w:val="000000"/>
                <w:sz w:val="22"/>
                <w:szCs w:val="22"/>
              </w:rPr>
            </w:pPr>
            <w:r w:rsidRPr="009F2F12">
              <w:rPr>
                <w:rFonts w:ascii="Times New Roman" w:hAnsi="Times New Roman" w:cs="Times New Roman"/>
                <w:color w:val="000000"/>
                <w:sz w:val="22"/>
                <w:szCs w:val="22"/>
              </w:rPr>
              <w:t>1.00</w:t>
            </w:r>
          </w:p>
        </w:tc>
      </w:tr>
    </w:tbl>
    <w:p w14:paraId="48B14AC4" w14:textId="71A3A768" w:rsidR="004E2B5B" w:rsidRPr="009F2F12" w:rsidRDefault="004E2B5B" w:rsidP="004E2B5B">
      <w:pPr>
        <w:jc w:val="both"/>
        <w:rPr>
          <w:rFonts w:ascii="Times New Roman" w:hAnsi="Times New Roman" w:cs="Times New Roman"/>
          <w:sz w:val="22"/>
          <w:szCs w:val="22"/>
        </w:rPr>
      </w:pPr>
      <w:r w:rsidRPr="009F2F12">
        <w:rPr>
          <w:rFonts w:ascii="Times New Roman" w:hAnsi="Times New Roman" w:cs="Times New Roman"/>
        </w:rPr>
        <w:t>Notes: Authors</w:t>
      </w:r>
      <w:r w:rsidR="00927E1B" w:rsidRPr="009F2F12">
        <w:rPr>
          <w:rFonts w:ascii="Times New Roman" w:hAnsi="Times New Roman" w:cs="Times New Roman"/>
        </w:rPr>
        <w:t>'</w:t>
      </w:r>
      <w:r w:rsidRPr="009F2F12">
        <w:rPr>
          <w:rFonts w:ascii="Times New Roman" w:hAnsi="Times New Roman" w:cs="Times New Roman"/>
        </w:rPr>
        <w:t xml:space="preserve"> computation based on PSA data described in the text. Numbers in parentheses are p-values. </w:t>
      </w:r>
      <w:r w:rsidRPr="009F2F12">
        <w:rPr>
          <w:rFonts w:ascii="Times New Roman" w:hAnsi="Times New Roman" w:cs="Times New Roman"/>
          <w:vertAlign w:val="superscript"/>
        </w:rPr>
        <w:t>***</w:t>
      </w:r>
      <w:r w:rsidRPr="009F2F12">
        <w:rPr>
          <w:rFonts w:ascii="Times New Roman" w:hAnsi="Times New Roman" w:cs="Times New Roman"/>
        </w:rPr>
        <w:t xml:space="preserve"> denotes significance at the 1% level.</w:t>
      </w:r>
    </w:p>
    <w:p w14:paraId="548E2455" w14:textId="77777777" w:rsidR="004E2B5B" w:rsidRPr="00D6728E" w:rsidRDefault="004E2B5B" w:rsidP="004E2B5B">
      <w:pPr>
        <w:jc w:val="both"/>
        <w:rPr>
          <w:rFonts w:ascii="Montserrat" w:hAnsi="Montserrat"/>
          <w:sz w:val="22"/>
          <w:szCs w:val="22"/>
        </w:rPr>
      </w:pPr>
    </w:p>
    <w:bookmarkEnd w:id="6"/>
    <w:p w14:paraId="51F5B458" w14:textId="6A082812" w:rsidR="004E2B5B" w:rsidRPr="009F2F12" w:rsidRDefault="004E2B5B" w:rsidP="004E2B5B">
      <w:pPr>
        <w:spacing w:line="260" w:lineRule="auto"/>
        <w:jc w:val="center"/>
        <w:rPr>
          <w:rFonts w:ascii="Times New Roman" w:eastAsia="Arial" w:hAnsi="Times New Roman" w:cs="Times New Roman"/>
          <w:b/>
          <w:bCs/>
          <w:sz w:val="24"/>
          <w:szCs w:val="24"/>
        </w:rPr>
      </w:pPr>
      <w:r w:rsidRPr="009F2F12">
        <w:rPr>
          <w:rFonts w:ascii="Times New Roman" w:eastAsia="Arial" w:hAnsi="Times New Roman" w:cs="Times New Roman"/>
          <w:b/>
          <w:bCs/>
          <w:sz w:val="24"/>
          <w:szCs w:val="24"/>
        </w:rPr>
        <w:t>Figure 2</w:t>
      </w:r>
      <w:r w:rsidR="00F01F84">
        <w:rPr>
          <w:rFonts w:ascii="Times New Roman" w:eastAsia="Arial" w:hAnsi="Times New Roman" w:cs="Times New Roman"/>
          <w:b/>
          <w:bCs/>
          <w:sz w:val="24"/>
          <w:szCs w:val="24"/>
        </w:rPr>
        <w:t>:</w:t>
      </w:r>
      <w:r w:rsidRPr="009F2F12">
        <w:rPr>
          <w:rFonts w:ascii="Times New Roman" w:eastAsia="Arial" w:hAnsi="Times New Roman" w:cs="Times New Roman"/>
          <w:b/>
          <w:bCs/>
          <w:sz w:val="24"/>
          <w:szCs w:val="24"/>
        </w:rPr>
        <w:t xml:space="preserve"> Average </w:t>
      </w:r>
      <w:r w:rsidR="00F01F84">
        <w:rPr>
          <w:rFonts w:ascii="Times New Roman" w:eastAsia="Arial" w:hAnsi="Times New Roman" w:cs="Times New Roman"/>
          <w:b/>
          <w:bCs/>
          <w:sz w:val="24"/>
          <w:szCs w:val="24"/>
        </w:rPr>
        <w:t>o</w:t>
      </w:r>
      <w:r w:rsidRPr="009F2F12">
        <w:rPr>
          <w:rFonts w:ascii="Times New Roman" w:eastAsia="Arial" w:hAnsi="Times New Roman" w:cs="Times New Roman"/>
          <w:b/>
          <w:bCs/>
          <w:sz w:val="24"/>
          <w:szCs w:val="24"/>
        </w:rPr>
        <w:t xml:space="preserve">verall </w:t>
      </w:r>
      <w:r w:rsidR="00F01F84">
        <w:rPr>
          <w:rFonts w:ascii="Times New Roman" w:eastAsia="Arial" w:hAnsi="Times New Roman" w:cs="Times New Roman"/>
          <w:b/>
          <w:bCs/>
          <w:sz w:val="24"/>
          <w:szCs w:val="24"/>
        </w:rPr>
        <w:t>i</w:t>
      </w:r>
      <w:r w:rsidRPr="009F2F12">
        <w:rPr>
          <w:rFonts w:ascii="Times New Roman" w:eastAsia="Arial" w:hAnsi="Times New Roman" w:cs="Times New Roman"/>
          <w:b/>
          <w:bCs/>
          <w:sz w:val="24"/>
          <w:szCs w:val="24"/>
        </w:rPr>
        <w:t xml:space="preserve">nflation </w:t>
      </w:r>
      <w:r w:rsidR="00F01F84">
        <w:rPr>
          <w:rFonts w:ascii="Times New Roman" w:eastAsia="Arial" w:hAnsi="Times New Roman" w:cs="Times New Roman"/>
          <w:b/>
          <w:bCs/>
          <w:sz w:val="24"/>
          <w:szCs w:val="24"/>
        </w:rPr>
        <w:t>r</w:t>
      </w:r>
      <w:r w:rsidRPr="009F2F12">
        <w:rPr>
          <w:rFonts w:ascii="Times New Roman" w:eastAsia="Arial" w:hAnsi="Times New Roman" w:cs="Times New Roman"/>
          <w:b/>
          <w:bCs/>
          <w:sz w:val="24"/>
          <w:szCs w:val="24"/>
        </w:rPr>
        <w:t xml:space="preserve">ate by </w:t>
      </w:r>
      <w:r w:rsidR="00F01F84">
        <w:rPr>
          <w:rFonts w:ascii="Times New Roman" w:eastAsia="Arial" w:hAnsi="Times New Roman" w:cs="Times New Roman"/>
          <w:b/>
          <w:bCs/>
          <w:sz w:val="24"/>
          <w:szCs w:val="24"/>
        </w:rPr>
        <w:t>p</w:t>
      </w:r>
      <w:r w:rsidRPr="009F2F12">
        <w:rPr>
          <w:rFonts w:ascii="Times New Roman" w:eastAsia="Arial" w:hAnsi="Times New Roman" w:cs="Times New Roman"/>
          <w:b/>
          <w:bCs/>
          <w:sz w:val="24"/>
          <w:szCs w:val="24"/>
        </w:rPr>
        <w:t>rovince</w:t>
      </w:r>
    </w:p>
    <w:p w14:paraId="5E3B1F0F" w14:textId="77777777" w:rsidR="004E2B5B" w:rsidRPr="00D6728E" w:rsidRDefault="004E2B5B" w:rsidP="004E2B5B">
      <w:pPr>
        <w:spacing w:line="260" w:lineRule="auto"/>
        <w:jc w:val="center"/>
        <w:rPr>
          <w:rFonts w:ascii="Montserrat" w:eastAsia="Arial" w:hAnsi="Montserrat" w:cs="Times New Roman"/>
          <w:sz w:val="6"/>
          <w:szCs w:val="6"/>
        </w:rPr>
      </w:pPr>
    </w:p>
    <w:p w14:paraId="1D235D31" w14:textId="77777777" w:rsidR="004E2B5B" w:rsidRPr="00D6728E" w:rsidRDefault="004E2B5B" w:rsidP="004E2B5B">
      <w:pPr>
        <w:ind w:firstLine="360"/>
        <w:jc w:val="center"/>
        <w:rPr>
          <w:rFonts w:ascii="Montserrat" w:eastAsia="Arial" w:hAnsi="Montserrat" w:cs="Times New Roman"/>
        </w:rPr>
      </w:pPr>
      <w:r w:rsidRPr="00D6728E">
        <w:rPr>
          <w:noProof/>
        </w:rPr>
        <w:drawing>
          <wp:inline distT="0" distB="0" distL="0" distR="0" wp14:anchorId="352E83BD" wp14:editId="5480BFE7">
            <wp:extent cx="4554569" cy="2700000"/>
            <wp:effectExtent l="12700" t="12700" r="17780" b="18415"/>
            <wp:docPr id="2107819710" name="Picture 7" descr="A diagram of numbers and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19710" name="Picture 7" descr="A diagram of numbers and points&#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b="4082"/>
                    <a:stretch/>
                  </pic:blipFill>
                  <pic:spPr bwMode="auto">
                    <a:xfrm>
                      <a:off x="0" y="0"/>
                      <a:ext cx="4554569" cy="2700000"/>
                    </a:xfrm>
                    <a:prstGeom prst="rect">
                      <a:avLst/>
                    </a:prstGeom>
                    <a:ln w="9525" cap="flat" cmpd="sng" algn="ctr">
                      <a:solidFill>
                        <a:sysClr val="windowText" lastClr="000000">
                          <a:lumMod val="50000"/>
                          <a:lumOff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BAD300" w14:textId="77777777" w:rsidR="004E2B5B" w:rsidRPr="00D6728E" w:rsidRDefault="004E2B5B" w:rsidP="004E2B5B">
      <w:pPr>
        <w:ind w:firstLine="360"/>
        <w:jc w:val="both"/>
        <w:rPr>
          <w:rFonts w:ascii="Montserrat" w:eastAsia="Arial" w:hAnsi="Montserrat" w:cs="Times New Roman"/>
          <w:sz w:val="6"/>
          <w:szCs w:val="6"/>
        </w:rPr>
      </w:pPr>
    </w:p>
    <w:p w14:paraId="4A3D9BAA" w14:textId="04B60CAB" w:rsidR="004E2B5B" w:rsidRPr="009F2F12" w:rsidRDefault="004E2B5B" w:rsidP="004E2B5B">
      <w:pPr>
        <w:ind w:left="709" w:firstLine="360"/>
        <w:jc w:val="both"/>
        <w:rPr>
          <w:rFonts w:ascii="Times New Roman" w:eastAsia="Arial" w:hAnsi="Times New Roman" w:cs="Times New Roman"/>
          <w:sz w:val="21"/>
          <w:szCs w:val="21"/>
        </w:rPr>
      </w:pPr>
      <w:r w:rsidRPr="00D6728E">
        <w:rPr>
          <w:rFonts w:ascii="Montserrat" w:eastAsia="Arial" w:hAnsi="Montserrat" w:cs="Times New Roman"/>
        </w:rPr>
        <w:t xml:space="preserve"> </w:t>
      </w:r>
      <w:bookmarkStart w:id="7" w:name="_Hlk194582345"/>
      <w:r w:rsidRPr="009F2F12">
        <w:rPr>
          <w:rFonts w:ascii="Times New Roman" w:eastAsia="Arial" w:hAnsi="Times New Roman" w:cs="Times New Roman"/>
          <w:sz w:val="21"/>
          <w:szCs w:val="21"/>
        </w:rPr>
        <w:t>Source of raw data: Philippine Statistics Authority</w:t>
      </w:r>
      <w:bookmarkEnd w:id="7"/>
      <w:r w:rsidR="003B7653">
        <w:rPr>
          <w:rFonts w:ascii="Times New Roman" w:eastAsia="Arial" w:hAnsi="Times New Roman" w:cs="Times New Roman"/>
          <w:sz w:val="21"/>
          <w:szCs w:val="21"/>
        </w:rPr>
        <w:t>.</w:t>
      </w:r>
    </w:p>
    <w:p w14:paraId="1C4FA02F" w14:textId="4E1E973E" w:rsidR="003F1A46" w:rsidRPr="00D6728E" w:rsidRDefault="003F1A46" w:rsidP="003B7653">
      <w:pPr>
        <w:ind w:firstLine="360"/>
        <w:jc w:val="both"/>
        <w:rPr>
          <w:rFonts w:ascii="Montserrat" w:hAnsi="Montserrat"/>
          <w:sz w:val="22"/>
          <w:szCs w:val="22"/>
        </w:rPr>
      </w:pPr>
    </w:p>
    <w:p w14:paraId="1221656A" w14:textId="5F1940A5" w:rsidR="004E2B5B" w:rsidRPr="003B7653" w:rsidRDefault="003B7653" w:rsidP="003B7653">
      <w:pPr>
        <w:rPr>
          <w:rFonts w:ascii="Times New Roman" w:hAnsi="Times New Roman" w:cs="Times New Roman"/>
          <w:b/>
          <w:bCs/>
          <w:sz w:val="24"/>
          <w:szCs w:val="24"/>
        </w:rPr>
      </w:pPr>
      <w:bookmarkStart w:id="8" w:name="_Toc197460315"/>
      <w:r w:rsidRPr="003B7653">
        <w:rPr>
          <w:rFonts w:ascii="Times New Roman" w:hAnsi="Times New Roman" w:cs="Times New Roman"/>
          <w:b/>
          <w:bCs/>
          <w:sz w:val="24"/>
          <w:szCs w:val="24"/>
        </w:rPr>
        <w:t>3.3</w:t>
      </w:r>
      <w:r w:rsidR="004E2B5B" w:rsidRPr="003B7653">
        <w:rPr>
          <w:rFonts w:ascii="Times New Roman" w:hAnsi="Times New Roman" w:cs="Times New Roman"/>
          <w:b/>
          <w:bCs/>
          <w:sz w:val="24"/>
          <w:szCs w:val="24"/>
        </w:rPr>
        <w:t xml:space="preserve"> International </w:t>
      </w:r>
      <w:r>
        <w:rPr>
          <w:rFonts w:ascii="Times New Roman" w:hAnsi="Times New Roman" w:cs="Times New Roman"/>
          <w:b/>
          <w:bCs/>
          <w:sz w:val="24"/>
          <w:szCs w:val="24"/>
        </w:rPr>
        <w:t>c</w:t>
      </w:r>
      <w:r w:rsidR="004E2B5B" w:rsidRPr="003B7653">
        <w:rPr>
          <w:rFonts w:ascii="Times New Roman" w:hAnsi="Times New Roman" w:cs="Times New Roman"/>
          <w:b/>
          <w:bCs/>
          <w:sz w:val="24"/>
          <w:szCs w:val="24"/>
        </w:rPr>
        <w:t xml:space="preserve">omparison </w:t>
      </w:r>
      <w:r>
        <w:rPr>
          <w:rFonts w:ascii="Times New Roman" w:hAnsi="Times New Roman" w:cs="Times New Roman"/>
          <w:b/>
          <w:bCs/>
          <w:sz w:val="24"/>
          <w:szCs w:val="24"/>
        </w:rPr>
        <w:t>d</w:t>
      </w:r>
      <w:r w:rsidR="004E2B5B" w:rsidRPr="003B7653">
        <w:rPr>
          <w:rFonts w:ascii="Times New Roman" w:hAnsi="Times New Roman" w:cs="Times New Roman"/>
          <w:b/>
          <w:bCs/>
          <w:sz w:val="24"/>
          <w:szCs w:val="24"/>
        </w:rPr>
        <w:t>ata</w:t>
      </w:r>
      <w:bookmarkEnd w:id="8"/>
      <w:r w:rsidR="004E2B5B" w:rsidRPr="003B7653">
        <w:rPr>
          <w:rFonts w:ascii="Times New Roman" w:hAnsi="Times New Roman" w:cs="Times New Roman"/>
          <w:b/>
          <w:bCs/>
          <w:sz w:val="24"/>
          <w:szCs w:val="24"/>
        </w:rPr>
        <w:t xml:space="preserve"> </w:t>
      </w:r>
    </w:p>
    <w:p w14:paraId="263C4A48" w14:textId="77777777" w:rsidR="004E2B5B" w:rsidRPr="00D6728E" w:rsidRDefault="004E2B5B" w:rsidP="004E2B5B"/>
    <w:p w14:paraId="71FA7D87" w14:textId="42099846" w:rsidR="004E2B5B" w:rsidRPr="00226C75" w:rsidRDefault="004E2B5B" w:rsidP="00226C75">
      <w:pPr>
        <w:jc w:val="both"/>
        <w:rPr>
          <w:rFonts w:ascii="Times New Roman" w:hAnsi="Times New Roman" w:cs="Times New Roman"/>
          <w:sz w:val="24"/>
          <w:szCs w:val="24"/>
        </w:rPr>
      </w:pPr>
      <w:r w:rsidRPr="00226C75">
        <w:rPr>
          <w:rFonts w:ascii="Times New Roman" w:hAnsi="Times New Roman" w:cs="Times New Roman"/>
          <w:sz w:val="24"/>
          <w:szCs w:val="24"/>
        </w:rPr>
        <w:t>To go beyond the panel quantile regression outlined above, we offer an international comparison of the estimated impact of rice or fuel prices and remittances on overall inflation for the Philippines with matching estimates from India, Indonesia, and Thailand. Three motivations underlie this comparison. First, doing so will provide a better understanding of the sub-national dynamics of the overall inflation in major rice importers such as the Philippines and Indonesia and large rice exporters such as India and Thailand. We use a sample period from January 2015 to April 2024 to estimate each country's quantile panel regression model. The availability of consistent provincial or state-level data dictates the choice of sample period. We consider a sample of 34 provinces in Indonesia and 74 in Thailand. Indonesian data c</w:t>
      </w:r>
      <w:r w:rsidR="00E62495" w:rsidRPr="00226C75">
        <w:rPr>
          <w:rFonts w:ascii="Times New Roman" w:hAnsi="Times New Roman" w:cs="Times New Roman"/>
          <w:sz w:val="24"/>
          <w:szCs w:val="24"/>
        </w:rPr>
        <w:t>a</w:t>
      </w:r>
      <w:r w:rsidRPr="00226C75">
        <w:rPr>
          <w:rFonts w:ascii="Times New Roman" w:hAnsi="Times New Roman" w:cs="Times New Roman"/>
          <w:sz w:val="24"/>
          <w:szCs w:val="24"/>
        </w:rPr>
        <w:t xml:space="preserve">me from its national statistical agency called Badan Pusat </w:t>
      </w:r>
      <w:proofErr w:type="spellStart"/>
      <w:r w:rsidRPr="00226C75">
        <w:rPr>
          <w:rFonts w:ascii="Times New Roman" w:hAnsi="Times New Roman" w:cs="Times New Roman"/>
          <w:sz w:val="24"/>
          <w:szCs w:val="24"/>
        </w:rPr>
        <w:t>Statistik</w:t>
      </w:r>
      <w:proofErr w:type="spellEnd"/>
      <w:r w:rsidRPr="00226C75">
        <w:rPr>
          <w:rFonts w:ascii="Times New Roman" w:hAnsi="Times New Roman" w:cs="Times New Roman"/>
          <w:sz w:val="24"/>
          <w:szCs w:val="24"/>
        </w:rPr>
        <w:t xml:space="preserve">. Data for Thailand </w:t>
      </w:r>
      <w:r w:rsidR="00E62495" w:rsidRPr="00226C75">
        <w:rPr>
          <w:rFonts w:ascii="Times New Roman" w:hAnsi="Times New Roman" w:cs="Times New Roman"/>
          <w:sz w:val="24"/>
          <w:szCs w:val="24"/>
        </w:rPr>
        <w:t>we</w:t>
      </w:r>
      <w:r w:rsidRPr="00226C75">
        <w:rPr>
          <w:rFonts w:ascii="Times New Roman" w:hAnsi="Times New Roman" w:cs="Times New Roman"/>
          <w:sz w:val="24"/>
          <w:szCs w:val="24"/>
        </w:rPr>
        <w:t xml:space="preserve">re sourced from the Bank of Thailand. For India, we perform our quantile panel estimation for a sample of 30 states, with data collected from the private database called </w:t>
      </w:r>
      <w:proofErr w:type="spellStart"/>
      <w:r w:rsidRPr="00226C75">
        <w:rPr>
          <w:rFonts w:ascii="Times New Roman" w:hAnsi="Times New Roman" w:cs="Times New Roman"/>
          <w:sz w:val="24"/>
          <w:szCs w:val="24"/>
        </w:rPr>
        <w:t>Dataful</w:t>
      </w:r>
      <w:proofErr w:type="spellEnd"/>
      <w:r w:rsidRPr="00226C75">
        <w:rPr>
          <w:rFonts w:ascii="Times New Roman" w:hAnsi="Times New Roman" w:cs="Times New Roman"/>
          <w:sz w:val="24"/>
          <w:szCs w:val="24"/>
        </w:rPr>
        <w:t>.</w:t>
      </w:r>
    </w:p>
    <w:p w14:paraId="31AE87EC" w14:textId="77777777" w:rsidR="004E2B5B" w:rsidRPr="00226C75" w:rsidRDefault="004E2B5B" w:rsidP="004E2B5B">
      <w:pPr>
        <w:ind w:firstLine="426"/>
        <w:jc w:val="both"/>
        <w:rPr>
          <w:rFonts w:ascii="Times New Roman" w:hAnsi="Times New Roman" w:cs="Times New Roman"/>
          <w:sz w:val="24"/>
          <w:szCs w:val="24"/>
        </w:rPr>
      </w:pPr>
    </w:p>
    <w:p w14:paraId="0FA14786" w14:textId="0AA6EF49" w:rsidR="004E2B5B" w:rsidRPr="00D6728E" w:rsidRDefault="004E2B5B" w:rsidP="004E2B5B">
      <w:pPr>
        <w:ind w:firstLine="426"/>
        <w:jc w:val="both"/>
        <w:rPr>
          <w:rFonts w:ascii="Montserrat" w:hAnsi="Montserrat"/>
          <w:sz w:val="22"/>
          <w:szCs w:val="22"/>
        </w:rPr>
      </w:pPr>
      <w:r w:rsidRPr="00226C75">
        <w:rPr>
          <w:rFonts w:ascii="Times New Roman" w:hAnsi="Times New Roman" w:cs="Times New Roman"/>
          <w:sz w:val="24"/>
          <w:szCs w:val="24"/>
        </w:rPr>
        <w:t xml:space="preserve">Second, inflation targeting has been in place in those countries, with Thailand adopting it in May 2000, the Philippines in January 2002, Indonesia in July 2005, and India in May 2016. Third, we select those countries to represent the </w:t>
      </w:r>
      <w:r w:rsidR="00927E1B" w:rsidRPr="00226C75">
        <w:rPr>
          <w:rFonts w:ascii="Times New Roman" w:hAnsi="Times New Roman" w:cs="Times New Roman"/>
          <w:sz w:val="24"/>
          <w:szCs w:val="24"/>
        </w:rPr>
        <w:t>broa</w:t>
      </w:r>
      <w:r w:rsidRPr="00226C75">
        <w:rPr>
          <w:rFonts w:ascii="Times New Roman" w:hAnsi="Times New Roman" w:cs="Times New Roman"/>
          <w:sz w:val="24"/>
          <w:szCs w:val="24"/>
        </w:rPr>
        <w:t xml:space="preserve">der set of emerging markets with large </w:t>
      </w:r>
      <w:r w:rsidRPr="00226C75">
        <w:rPr>
          <w:rFonts w:ascii="Times New Roman" w:hAnsi="Times New Roman" w:cs="Times New Roman"/>
          <w:sz w:val="24"/>
          <w:szCs w:val="24"/>
        </w:rPr>
        <w:lastRenderedPageBreak/>
        <w:t xml:space="preserve">values of remittances in terms of dollar amount, as reported in </w:t>
      </w:r>
      <w:r w:rsidRPr="003B7653">
        <w:rPr>
          <w:rFonts w:ascii="Times New Roman" w:hAnsi="Times New Roman" w:cs="Times New Roman"/>
          <w:sz w:val="24"/>
          <w:szCs w:val="24"/>
        </w:rPr>
        <w:t>Table 2</w:t>
      </w:r>
      <w:r w:rsidRPr="00226C75">
        <w:rPr>
          <w:rFonts w:ascii="Times New Roman" w:hAnsi="Times New Roman" w:cs="Times New Roman"/>
          <w:sz w:val="24"/>
          <w:szCs w:val="24"/>
        </w:rPr>
        <w:t>. Regarding remittance data for India, Indonesia</w:t>
      </w:r>
      <w:r w:rsidR="00927E1B" w:rsidRPr="00226C75">
        <w:rPr>
          <w:rFonts w:ascii="Times New Roman" w:hAnsi="Times New Roman" w:cs="Times New Roman"/>
          <w:sz w:val="24"/>
          <w:szCs w:val="24"/>
        </w:rPr>
        <w:t>,</w:t>
      </w:r>
      <w:r w:rsidRPr="00226C75">
        <w:rPr>
          <w:rFonts w:ascii="Times New Roman" w:hAnsi="Times New Roman" w:cs="Times New Roman"/>
          <w:sz w:val="24"/>
          <w:szCs w:val="24"/>
        </w:rPr>
        <w:t xml:space="preserve"> and Thailand, we employ a similar approach to the one considered for the Philippines in terms of using sub-national annual population data as a proxy to estimate the shares of remittances across provinces or states. We also apply Silva and Cardoso's (2001) approach in interpolating annual population data into monthly frequency.</w:t>
      </w:r>
    </w:p>
    <w:p w14:paraId="39418A8A" w14:textId="77777777" w:rsidR="004E2B5B" w:rsidRPr="00D6728E" w:rsidRDefault="004E2B5B" w:rsidP="004E2B5B">
      <w:pPr>
        <w:jc w:val="both"/>
        <w:rPr>
          <w:rFonts w:ascii="Montserrat" w:hAnsi="Montserrat"/>
          <w:sz w:val="22"/>
          <w:szCs w:val="22"/>
        </w:rPr>
      </w:pPr>
    </w:p>
    <w:p w14:paraId="226CA614" w14:textId="0BCAB760" w:rsidR="004E2B5B" w:rsidRPr="003A4B12" w:rsidRDefault="004E2B5B" w:rsidP="00D6728E">
      <w:pPr>
        <w:jc w:val="center"/>
        <w:rPr>
          <w:rFonts w:ascii="Times New Roman" w:hAnsi="Times New Roman" w:cs="Times New Roman"/>
          <w:sz w:val="24"/>
          <w:szCs w:val="24"/>
        </w:rPr>
      </w:pPr>
      <w:r w:rsidRPr="003A4B12">
        <w:rPr>
          <w:rFonts w:ascii="Times New Roman" w:eastAsia="Arial" w:hAnsi="Times New Roman" w:cs="Times New Roman"/>
          <w:b/>
          <w:bCs/>
          <w:sz w:val="24"/>
          <w:szCs w:val="24"/>
        </w:rPr>
        <w:t>Table 2</w:t>
      </w:r>
      <w:r w:rsidR="003B7653">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Size of </w:t>
      </w:r>
      <w:r w:rsidR="003B7653">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emittance </w:t>
      </w:r>
      <w:r w:rsidR="003B7653">
        <w:rPr>
          <w:rFonts w:ascii="Times New Roman" w:eastAsia="Arial" w:hAnsi="Times New Roman" w:cs="Times New Roman"/>
          <w:b/>
          <w:bCs/>
          <w:sz w:val="24"/>
          <w:szCs w:val="24"/>
        </w:rPr>
        <w:t>i</w:t>
      </w:r>
      <w:r w:rsidRPr="003A4B12">
        <w:rPr>
          <w:rFonts w:ascii="Times New Roman" w:eastAsia="Arial" w:hAnsi="Times New Roman" w:cs="Times New Roman"/>
          <w:b/>
          <w:bCs/>
          <w:sz w:val="24"/>
          <w:szCs w:val="24"/>
        </w:rPr>
        <w:t>nflows in 2023</w:t>
      </w:r>
    </w:p>
    <w:p w14:paraId="3D2C0DDB" w14:textId="77777777" w:rsidR="004E2B5B" w:rsidRPr="00D6728E" w:rsidRDefault="004E2B5B" w:rsidP="00D6728E">
      <w:pPr>
        <w:snapToGrid w:val="0"/>
        <w:ind w:left="709" w:hanging="709"/>
        <w:jc w:val="center"/>
      </w:pPr>
    </w:p>
    <w:tbl>
      <w:tblPr>
        <w:tblW w:w="6080" w:type="dxa"/>
        <w:jc w:val="center"/>
        <w:tblLook w:val="04A0" w:firstRow="1" w:lastRow="0" w:firstColumn="1" w:lastColumn="0" w:noHBand="0" w:noVBand="1"/>
      </w:tblPr>
      <w:tblGrid>
        <w:gridCol w:w="1240"/>
        <w:gridCol w:w="2420"/>
        <w:gridCol w:w="2420"/>
      </w:tblGrid>
      <w:tr w:rsidR="004E2B5B" w:rsidRPr="00D6728E" w14:paraId="14409578" w14:textId="77777777" w:rsidTr="00D6728E">
        <w:trPr>
          <w:trHeight w:val="315"/>
          <w:jc w:val="center"/>
        </w:trPr>
        <w:tc>
          <w:tcPr>
            <w:tcW w:w="1240" w:type="dxa"/>
            <w:tcBorders>
              <w:top w:val="single" w:sz="4" w:space="0" w:color="auto"/>
              <w:left w:val="nil"/>
              <w:bottom w:val="single" w:sz="4" w:space="0" w:color="auto"/>
              <w:right w:val="nil"/>
            </w:tcBorders>
            <w:shd w:val="clear" w:color="auto" w:fill="auto"/>
            <w:noWrap/>
            <w:vAlign w:val="bottom"/>
            <w:hideMark/>
          </w:tcPr>
          <w:p w14:paraId="5E1C5410"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Country</w:t>
            </w:r>
          </w:p>
        </w:tc>
        <w:tc>
          <w:tcPr>
            <w:tcW w:w="2420" w:type="dxa"/>
            <w:tcBorders>
              <w:top w:val="single" w:sz="4" w:space="0" w:color="auto"/>
              <w:left w:val="nil"/>
              <w:bottom w:val="single" w:sz="4" w:space="0" w:color="auto"/>
              <w:right w:val="nil"/>
            </w:tcBorders>
            <w:shd w:val="clear" w:color="auto" w:fill="auto"/>
            <w:noWrap/>
            <w:vAlign w:val="bottom"/>
            <w:hideMark/>
          </w:tcPr>
          <w:p w14:paraId="7FD1CAEA"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Value (USD billion)</w:t>
            </w:r>
          </w:p>
        </w:tc>
        <w:tc>
          <w:tcPr>
            <w:tcW w:w="2420" w:type="dxa"/>
            <w:tcBorders>
              <w:top w:val="single" w:sz="4" w:space="0" w:color="auto"/>
              <w:left w:val="nil"/>
              <w:bottom w:val="single" w:sz="4" w:space="0" w:color="auto"/>
              <w:right w:val="nil"/>
            </w:tcBorders>
            <w:shd w:val="clear" w:color="auto" w:fill="auto"/>
            <w:noWrap/>
            <w:vAlign w:val="bottom"/>
            <w:hideMark/>
          </w:tcPr>
          <w:p w14:paraId="2E6282CC"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Share of GDP (%)</w:t>
            </w:r>
          </w:p>
        </w:tc>
      </w:tr>
      <w:tr w:rsidR="004E2B5B" w:rsidRPr="00D6728E" w14:paraId="798779E7" w14:textId="77777777" w:rsidTr="00D6728E">
        <w:trPr>
          <w:trHeight w:val="315"/>
          <w:jc w:val="center"/>
        </w:trPr>
        <w:tc>
          <w:tcPr>
            <w:tcW w:w="1240" w:type="dxa"/>
            <w:tcBorders>
              <w:top w:val="nil"/>
              <w:left w:val="nil"/>
              <w:bottom w:val="nil"/>
              <w:right w:val="nil"/>
            </w:tcBorders>
            <w:shd w:val="clear" w:color="auto" w:fill="auto"/>
            <w:noWrap/>
            <w:vAlign w:val="bottom"/>
            <w:hideMark/>
          </w:tcPr>
          <w:p w14:paraId="0CB2C968"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India</w:t>
            </w:r>
          </w:p>
        </w:tc>
        <w:tc>
          <w:tcPr>
            <w:tcW w:w="2420" w:type="dxa"/>
            <w:tcBorders>
              <w:top w:val="nil"/>
              <w:left w:val="nil"/>
              <w:bottom w:val="nil"/>
              <w:right w:val="nil"/>
            </w:tcBorders>
            <w:shd w:val="clear" w:color="auto" w:fill="auto"/>
            <w:noWrap/>
            <w:vAlign w:val="bottom"/>
            <w:hideMark/>
          </w:tcPr>
          <w:p w14:paraId="41E53FB9"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119.5</w:t>
            </w:r>
          </w:p>
        </w:tc>
        <w:tc>
          <w:tcPr>
            <w:tcW w:w="2420" w:type="dxa"/>
            <w:tcBorders>
              <w:top w:val="nil"/>
              <w:left w:val="nil"/>
              <w:bottom w:val="nil"/>
              <w:right w:val="nil"/>
            </w:tcBorders>
            <w:shd w:val="clear" w:color="auto" w:fill="auto"/>
            <w:noWrap/>
            <w:vAlign w:val="bottom"/>
            <w:hideMark/>
          </w:tcPr>
          <w:p w14:paraId="12CA64BE"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3.4</w:t>
            </w:r>
          </w:p>
        </w:tc>
      </w:tr>
      <w:tr w:rsidR="004E2B5B" w:rsidRPr="00D6728E" w14:paraId="41EA8282" w14:textId="77777777" w:rsidTr="00D6728E">
        <w:trPr>
          <w:trHeight w:val="315"/>
          <w:jc w:val="center"/>
        </w:trPr>
        <w:tc>
          <w:tcPr>
            <w:tcW w:w="1240" w:type="dxa"/>
            <w:tcBorders>
              <w:top w:val="nil"/>
              <w:left w:val="nil"/>
              <w:bottom w:val="nil"/>
              <w:right w:val="nil"/>
            </w:tcBorders>
            <w:shd w:val="clear" w:color="auto" w:fill="auto"/>
            <w:noWrap/>
            <w:vAlign w:val="bottom"/>
            <w:hideMark/>
          </w:tcPr>
          <w:p w14:paraId="5D5C8B8D"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Indonesia</w:t>
            </w:r>
          </w:p>
        </w:tc>
        <w:tc>
          <w:tcPr>
            <w:tcW w:w="2420" w:type="dxa"/>
            <w:tcBorders>
              <w:top w:val="nil"/>
              <w:left w:val="nil"/>
              <w:bottom w:val="nil"/>
              <w:right w:val="nil"/>
            </w:tcBorders>
            <w:shd w:val="clear" w:color="auto" w:fill="auto"/>
            <w:noWrap/>
            <w:vAlign w:val="bottom"/>
            <w:hideMark/>
          </w:tcPr>
          <w:p w14:paraId="42628B25" w14:textId="3C53475D"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14.5</w:t>
            </w:r>
          </w:p>
        </w:tc>
        <w:tc>
          <w:tcPr>
            <w:tcW w:w="2420" w:type="dxa"/>
            <w:tcBorders>
              <w:top w:val="nil"/>
              <w:left w:val="nil"/>
              <w:bottom w:val="nil"/>
              <w:right w:val="nil"/>
            </w:tcBorders>
            <w:shd w:val="clear" w:color="auto" w:fill="auto"/>
            <w:noWrap/>
            <w:vAlign w:val="bottom"/>
            <w:hideMark/>
          </w:tcPr>
          <w:p w14:paraId="5980EBFF"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1.1</w:t>
            </w:r>
          </w:p>
        </w:tc>
      </w:tr>
      <w:tr w:rsidR="004E2B5B" w:rsidRPr="00D6728E" w14:paraId="73691705" w14:textId="77777777" w:rsidTr="00D6728E">
        <w:trPr>
          <w:trHeight w:val="315"/>
          <w:jc w:val="center"/>
        </w:trPr>
        <w:tc>
          <w:tcPr>
            <w:tcW w:w="1240" w:type="dxa"/>
            <w:tcBorders>
              <w:top w:val="nil"/>
              <w:left w:val="nil"/>
              <w:bottom w:val="nil"/>
              <w:right w:val="nil"/>
            </w:tcBorders>
            <w:shd w:val="clear" w:color="auto" w:fill="auto"/>
            <w:noWrap/>
            <w:vAlign w:val="bottom"/>
            <w:hideMark/>
          </w:tcPr>
          <w:p w14:paraId="5C9D8C24"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Philippines</w:t>
            </w:r>
          </w:p>
        </w:tc>
        <w:tc>
          <w:tcPr>
            <w:tcW w:w="2420" w:type="dxa"/>
            <w:tcBorders>
              <w:top w:val="nil"/>
              <w:left w:val="nil"/>
              <w:bottom w:val="nil"/>
              <w:right w:val="nil"/>
            </w:tcBorders>
            <w:shd w:val="clear" w:color="auto" w:fill="auto"/>
            <w:noWrap/>
            <w:vAlign w:val="bottom"/>
            <w:hideMark/>
          </w:tcPr>
          <w:p w14:paraId="231635E5" w14:textId="61E58B42"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39.1</w:t>
            </w:r>
          </w:p>
        </w:tc>
        <w:tc>
          <w:tcPr>
            <w:tcW w:w="2420" w:type="dxa"/>
            <w:tcBorders>
              <w:top w:val="nil"/>
              <w:left w:val="nil"/>
              <w:bottom w:val="nil"/>
              <w:right w:val="nil"/>
            </w:tcBorders>
            <w:shd w:val="clear" w:color="auto" w:fill="auto"/>
            <w:noWrap/>
            <w:vAlign w:val="bottom"/>
            <w:hideMark/>
          </w:tcPr>
          <w:p w14:paraId="261E4C7D"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8.9</w:t>
            </w:r>
          </w:p>
        </w:tc>
      </w:tr>
      <w:tr w:rsidR="004E2B5B" w:rsidRPr="00D6728E" w14:paraId="641FD0CC" w14:textId="77777777" w:rsidTr="00D6728E">
        <w:trPr>
          <w:trHeight w:val="315"/>
          <w:jc w:val="center"/>
        </w:trPr>
        <w:tc>
          <w:tcPr>
            <w:tcW w:w="1240" w:type="dxa"/>
            <w:tcBorders>
              <w:top w:val="nil"/>
              <w:left w:val="nil"/>
              <w:bottom w:val="single" w:sz="4" w:space="0" w:color="auto"/>
              <w:right w:val="nil"/>
            </w:tcBorders>
            <w:shd w:val="clear" w:color="auto" w:fill="auto"/>
            <w:noWrap/>
            <w:vAlign w:val="bottom"/>
            <w:hideMark/>
          </w:tcPr>
          <w:p w14:paraId="21A52330"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Thailand</w:t>
            </w:r>
          </w:p>
        </w:tc>
        <w:tc>
          <w:tcPr>
            <w:tcW w:w="2420" w:type="dxa"/>
            <w:tcBorders>
              <w:top w:val="nil"/>
              <w:left w:val="nil"/>
              <w:bottom w:val="single" w:sz="4" w:space="0" w:color="auto"/>
              <w:right w:val="nil"/>
            </w:tcBorders>
            <w:shd w:val="clear" w:color="auto" w:fill="auto"/>
            <w:noWrap/>
            <w:vAlign w:val="bottom"/>
            <w:hideMark/>
          </w:tcPr>
          <w:p w14:paraId="5743B264" w14:textId="3E1C3FF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9.6</w:t>
            </w:r>
          </w:p>
        </w:tc>
        <w:tc>
          <w:tcPr>
            <w:tcW w:w="2420" w:type="dxa"/>
            <w:tcBorders>
              <w:top w:val="nil"/>
              <w:left w:val="nil"/>
              <w:bottom w:val="single" w:sz="4" w:space="0" w:color="auto"/>
              <w:right w:val="nil"/>
            </w:tcBorders>
            <w:shd w:val="clear" w:color="auto" w:fill="auto"/>
            <w:noWrap/>
            <w:vAlign w:val="bottom"/>
            <w:hideMark/>
          </w:tcPr>
          <w:p w14:paraId="5B1F8AE1"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1.9</w:t>
            </w:r>
          </w:p>
        </w:tc>
      </w:tr>
      <w:tr w:rsidR="004E2B5B" w:rsidRPr="00D6728E" w14:paraId="54FE906F" w14:textId="77777777" w:rsidTr="00D6728E">
        <w:trPr>
          <w:trHeight w:val="315"/>
          <w:jc w:val="center"/>
        </w:trPr>
        <w:tc>
          <w:tcPr>
            <w:tcW w:w="1240" w:type="dxa"/>
            <w:tcBorders>
              <w:top w:val="nil"/>
              <w:left w:val="nil"/>
              <w:bottom w:val="nil"/>
              <w:right w:val="nil"/>
            </w:tcBorders>
            <w:shd w:val="clear" w:color="auto" w:fill="auto"/>
            <w:noWrap/>
            <w:vAlign w:val="bottom"/>
            <w:hideMark/>
          </w:tcPr>
          <w:p w14:paraId="339A1400"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Mean</w:t>
            </w:r>
          </w:p>
        </w:tc>
        <w:tc>
          <w:tcPr>
            <w:tcW w:w="2420" w:type="dxa"/>
            <w:tcBorders>
              <w:top w:val="nil"/>
              <w:left w:val="nil"/>
              <w:bottom w:val="nil"/>
              <w:right w:val="nil"/>
            </w:tcBorders>
            <w:shd w:val="clear" w:color="auto" w:fill="auto"/>
            <w:noWrap/>
            <w:vAlign w:val="bottom"/>
            <w:hideMark/>
          </w:tcPr>
          <w:p w14:paraId="38FE2170" w14:textId="5CCEAA2A"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45.7</w:t>
            </w:r>
          </w:p>
        </w:tc>
        <w:tc>
          <w:tcPr>
            <w:tcW w:w="2420" w:type="dxa"/>
            <w:tcBorders>
              <w:top w:val="nil"/>
              <w:left w:val="nil"/>
              <w:bottom w:val="nil"/>
              <w:right w:val="nil"/>
            </w:tcBorders>
            <w:shd w:val="clear" w:color="auto" w:fill="auto"/>
            <w:noWrap/>
            <w:vAlign w:val="bottom"/>
            <w:hideMark/>
          </w:tcPr>
          <w:p w14:paraId="08558C93"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3.8</w:t>
            </w:r>
          </w:p>
        </w:tc>
      </w:tr>
      <w:tr w:rsidR="004E2B5B" w:rsidRPr="00D6728E" w14:paraId="1D79A9CF" w14:textId="77777777" w:rsidTr="00D6728E">
        <w:trPr>
          <w:trHeight w:val="315"/>
          <w:jc w:val="center"/>
        </w:trPr>
        <w:tc>
          <w:tcPr>
            <w:tcW w:w="1240" w:type="dxa"/>
            <w:tcBorders>
              <w:top w:val="nil"/>
              <w:left w:val="nil"/>
              <w:bottom w:val="single" w:sz="4" w:space="0" w:color="auto"/>
              <w:right w:val="nil"/>
            </w:tcBorders>
            <w:shd w:val="clear" w:color="auto" w:fill="auto"/>
            <w:noWrap/>
            <w:vAlign w:val="bottom"/>
            <w:hideMark/>
          </w:tcPr>
          <w:p w14:paraId="44F7D288"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Aggregate</w:t>
            </w:r>
          </w:p>
        </w:tc>
        <w:tc>
          <w:tcPr>
            <w:tcW w:w="2420" w:type="dxa"/>
            <w:tcBorders>
              <w:top w:val="nil"/>
              <w:left w:val="nil"/>
              <w:bottom w:val="single" w:sz="4" w:space="0" w:color="auto"/>
              <w:right w:val="nil"/>
            </w:tcBorders>
            <w:shd w:val="clear" w:color="auto" w:fill="auto"/>
            <w:noWrap/>
            <w:vAlign w:val="bottom"/>
            <w:hideMark/>
          </w:tcPr>
          <w:p w14:paraId="72548DEF" w14:textId="77777777" w:rsidR="004E2B5B" w:rsidRPr="003A4B12" w:rsidRDefault="004E2B5B" w:rsidP="00D6728E">
            <w:pPr>
              <w:jc w:val="center"/>
              <w:rPr>
                <w:rFonts w:ascii="Times New Roman" w:hAnsi="Times New Roman" w:cs="Times New Roman"/>
                <w:color w:val="000000"/>
                <w:sz w:val="22"/>
                <w:szCs w:val="22"/>
              </w:rPr>
            </w:pPr>
            <w:r w:rsidRPr="003A4B12">
              <w:rPr>
                <w:rFonts w:ascii="Times New Roman" w:hAnsi="Times New Roman" w:cs="Times New Roman"/>
                <w:color w:val="000000"/>
                <w:sz w:val="22"/>
                <w:szCs w:val="22"/>
              </w:rPr>
              <w:t>182.7</w:t>
            </w:r>
          </w:p>
        </w:tc>
        <w:tc>
          <w:tcPr>
            <w:tcW w:w="2420" w:type="dxa"/>
            <w:tcBorders>
              <w:top w:val="nil"/>
              <w:left w:val="nil"/>
              <w:bottom w:val="single" w:sz="4" w:space="0" w:color="auto"/>
              <w:right w:val="nil"/>
            </w:tcBorders>
            <w:shd w:val="clear" w:color="auto" w:fill="auto"/>
            <w:noWrap/>
            <w:vAlign w:val="bottom"/>
            <w:hideMark/>
          </w:tcPr>
          <w:p w14:paraId="30D6048F" w14:textId="77777777" w:rsidR="004E2B5B" w:rsidRPr="003A4B12" w:rsidRDefault="004E2B5B" w:rsidP="00D6728E">
            <w:pPr>
              <w:jc w:val="center"/>
              <w:rPr>
                <w:rFonts w:ascii="Times New Roman" w:hAnsi="Times New Roman" w:cs="Times New Roman"/>
                <w:color w:val="000000"/>
                <w:sz w:val="22"/>
                <w:szCs w:val="22"/>
              </w:rPr>
            </w:pPr>
          </w:p>
        </w:tc>
      </w:tr>
    </w:tbl>
    <w:p w14:paraId="5F742517" w14:textId="77777777" w:rsidR="004E2B5B" w:rsidRPr="003A4B12" w:rsidRDefault="004E2B5B" w:rsidP="004849DE">
      <w:pPr>
        <w:ind w:firstLine="1418"/>
        <w:rPr>
          <w:rFonts w:ascii="Times New Roman" w:hAnsi="Times New Roman" w:cs="Times New Roman"/>
          <w:sz w:val="21"/>
          <w:szCs w:val="21"/>
        </w:rPr>
      </w:pPr>
      <w:r w:rsidRPr="003A4B12">
        <w:rPr>
          <w:rFonts w:ascii="Times New Roman" w:hAnsi="Times New Roman" w:cs="Times New Roman"/>
          <w:sz w:val="21"/>
          <w:szCs w:val="21"/>
        </w:rPr>
        <w:t>Source: World Bank (2023).</w:t>
      </w:r>
    </w:p>
    <w:p w14:paraId="05BFDAB8" w14:textId="6204784E" w:rsidR="004E2B5B" w:rsidRPr="00D6728E" w:rsidRDefault="004E2B5B" w:rsidP="004E2B5B">
      <w:pPr>
        <w:jc w:val="both"/>
        <w:rPr>
          <w:rFonts w:ascii="Montserrat" w:hAnsi="Montserrat"/>
          <w:sz w:val="22"/>
          <w:szCs w:val="22"/>
        </w:rPr>
      </w:pPr>
    </w:p>
    <w:p w14:paraId="2C3685E2" w14:textId="333A7C23" w:rsidR="004E2B5B" w:rsidRPr="00FC4DF4" w:rsidRDefault="003B7653" w:rsidP="003B7653">
      <w:bookmarkStart w:id="9" w:name="_Toc197460316"/>
      <w:r w:rsidRPr="003B7653">
        <w:rPr>
          <w:rFonts w:ascii="Times New Roman" w:hAnsi="Times New Roman" w:cs="Times New Roman"/>
          <w:b/>
          <w:bCs/>
          <w:sz w:val="24"/>
          <w:szCs w:val="24"/>
        </w:rPr>
        <w:t>4.</w:t>
      </w:r>
      <w:r w:rsidR="004E2B5B" w:rsidRPr="003B7653">
        <w:rPr>
          <w:rFonts w:ascii="Times New Roman" w:hAnsi="Times New Roman" w:cs="Times New Roman"/>
          <w:b/>
          <w:bCs/>
          <w:sz w:val="24"/>
          <w:szCs w:val="24"/>
        </w:rPr>
        <w:t xml:space="preserve"> Empirical </w:t>
      </w:r>
      <w:r>
        <w:rPr>
          <w:rFonts w:ascii="Times New Roman" w:hAnsi="Times New Roman" w:cs="Times New Roman"/>
          <w:b/>
          <w:bCs/>
          <w:sz w:val="24"/>
          <w:szCs w:val="24"/>
        </w:rPr>
        <w:t>r</w:t>
      </w:r>
      <w:r w:rsidR="004E2B5B" w:rsidRPr="003B7653">
        <w:rPr>
          <w:rFonts w:ascii="Times New Roman" w:hAnsi="Times New Roman" w:cs="Times New Roman"/>
          <w:b/>
          <w:bCs/>
          <w:sz w:val="24"/>
          <w:szCs w:val="24"/>
        </w:rPr>
        <w:t>esults</w:t>
      </w:r>
      <w:bookmarkEnd w:id="9"/>
    </w:p>
    <w:p w14:paraId="42BAFC0E" w14:textId="77777777" w:rsidR="004E2B5B" w:rsidRPr="00D6728E" w:rsidRDefault="004E2B5B" w:rsidP="004E2B5B">
      <w:pPr>
        <w:ind w:firstLine="360"/>
        <w:jc w:val="both"/>
        <w:rPr>
          <w:rFonts w:ascii="Montserrat" w:hAnsi="Montserrat"/>
          <w:sz w:val="22"/>
          <w:szCs w:val="22"/>
        </w:rPr>
      </w:pPr>
    </w:p>
    <w:p w14:paraId="1A646D78" w14:textId="71CF74D8" w:rsidR="004E2B5B" w:rsidRDefault="004E2B5B" w:rsidP="00226C75">
      <w:pPr>
        <w:jc w:val="both"/>
        <w:rPr>
          <w:rFonts w:ascii="Times New Roman" w:hAnsi="Times New Roman" w:cs="Times New Roman"/>
          <w:sz w:val="24"/>
          <w:szCs w:val="24"/>
        </w:rPr>
      </w:pPr>
      <w:r w:rsidRPr="00226C75">
        <w:rPr>
          <w:rFonts w:ascii="Times New Roman" w:hAnsi="Times New Roman" w:cs="Times New Roman"/>
          <w:sz w:val="24"/>
          <w:szCs w:val="24"/>
        </w:rPr>
        <w:t>This section discusses the fixed effect quantile regression results. Our aim is to examine whether changes in fuel prices, rice prices</w:t>
      </w:r>
      <w:r w:rsidR="00927E1B" w:rsidRPr="00226C75">
        <w:rPr>
          <w:rFonts w:ascii="Times New Roman" w:hAnsi="Times New Roman" w:cs="Times New Roman"/>
          <w:sz w:val="24"/>
          <w:szCs w:val="24"/>
        </w:rPr>
        <w:t>,</w:t>
      </w:r>
      <w:r w:rsidRPr="00226C75">
        <w:rPr>
          <w:rFonts w:ascii="Times New Roman" w:hAnsi="Times New Roman" w:cs="Times New Roman"/>
          <w:sz w:val="24"/>
          <w:szCs w:val="24"/>
        </w:rPr>
        <w:t xml:space="preserve"> and remittances constitute a factor that helps explain the dynamic behavior of overall inflation rates across provinces.</w:t>
      </w:r>
    </w:p>
    <w:p w14:paraId="1550452F" w14:textId="77777777" w:rsidR="003B7653" w:rsidRDefault="003B7653" w:rsidP="00226C75">
      <w:pPr>
        <w:jc w:val="both"/>
        <w:rPr>
          <w:rFonts w:ascii="Times New Roman" w:hAnsi="Times New Roman" w:cs="Times New Roman"/>
          <w:sz w:val="24"/>
          <w:szCs w:val="24"/>
        </w:rPr>
      </w:pPr>
    </w:p>
    <w:p w14:paraId="7274F52D" w14:textId="1FF9805A" w:rsidR="008B0194" w:rsidRDefault="003B7653" w:rsidP="008B0194">
      <w:pPr>
        <w:rPr>
          <w:rFonts w:ascii="Times New Roman" w:hAnsi="Times New Roman" w:cs="Times New Roman"/>
          <w:b/>
          <w:bCs/>
          <w:sz w:val="24"/>
          <w:szCs w:val="24"/>
        </w:rPr>
      </w:pPr>
      <w:bookmarkStart w:id="10" w:name="_Toc197460317"/>
      <w:r w:rsidRPr="003B7653">
        <w:rPr>
          <w:rFonts w:ascii="Times New Roman" w:hAnsi="Times New Roman" w:cs="Times New Roman"/>
          <w:b/>
          <w:bCs/>
          <w:sz w:val="24"/>
          <w:szCs w:val="24"/>
        </w:rPr>
        <w:t>4.1</w:t>
      </w:r>
      <w:r w:rsidR="004E2B5B" w:rsidRPr="003B7653">
        <w:rPr>
          <w:rFonts w:ascii="Times New Roman" w:hAnsi="Times New Roman" w:cs="Times New Roman"/>
          <w:b/>
          <w:bCs/>
          <w:sz w:val="24"/>
          <w:szCs w:val="24"/>
        </w:rPr>
        <w:t xml:space="preserve"> Fixed </w:t>
      </w:r>
      <w:r w:rsidRPr="003B7653">
        <w:rPr>
          <w:rFonts w:ascii="Times New Roman" w:hAnsi="Times New Roman" w:cs="Times New Roman"/>
          <w:b/>
          <w:bCs/>
          <w:sz w:val="24"/>
          <w:szCs w:val="24"/>
        </w:rPr>
        <w:t>e</w:t>
      </w:r>
      <w:r w:rsidR="004E2B5B" w:rsidRPr="003B7653">
        <w:rPr>
          <w:rFonts w:ascii="Times New Roman" w:hAnsi="Times New Roman" w:cs="Times New Roman"/>
          <w:b/>
          <w:bCs/>
          <w:sz w:val="24"/>
          <w:szCs w:val="24"/>
        </w:rPr>
        <w:t xml:space="preserve">ffects </w:t>
      </w:r>
      <w:r w:rsidRPr="003B7653">
        <w:rPr>
          <w:rFonts w:ascii="Times New Roman" w:hAnsi="Times New Roman" w:cs="Times New Roman"/>
          <w:b/>
          <w:bCs/>
          <w:sz w:val="24"/>
          <w:szCs w:val="24"/>
        </w:rPr>
        <w:t>q</w:t>
      </w:r>
      <w:r w:rsidR="004E2B5B" w:rsidRPr="003B7653">
        <w:rPr>
          <w:rFonts w:ascii="Times New Roman" w:hAnsi="Times New Roman" w:cs="Times New Roman"/>
          <w:b/>
          <w:bCs/>
          <w:sz w:val="24"/>
          <w:szCs w:val="24"/>
        </w:rPr>
        <w:t xml:space="preserve">uantile </w:t>
      </w:r>
      <w:r w:rsidRPr="003B7653">
        <w:rPr>
          <w:rFonts w:ascii="Times New Roman" w:hAnsi="Times New Roman" w:cs="Times New Roman"/>
          <w:b/>
          <w:bCs/>
          <w:sz w:val="24"/>
          <w:szCs w:val="24"/>
        </w:rPr>
        <w:t>r</w:t>
      </w:r>
      <w:r w:rsidR="004E2B5B" w:rsidRPr="003B7653">
        <w:rPr>
          <w:rFonts w:ascii="Times New Roman" w:hAnsi="Times New Roman" w:cs="Times New Roman"/>
          <w:b/>
          <w:bCs/>
          <w:sz w:val="24"/>
          <w:szCs w:val="24"/>
        </w:rPr>
        <w:t xml:space="preserve">egression </w:t>
      </w:r>
      <w:r w:rsidRPr="003B7653">
        <w:rPr>
          <w:rFonts w:ascii="Times New Roman" w:hAnsi="Times New Roman" w:cs="Times New Roman"/>
          <w:b/>
          <w:bCs/>
          <w:sz w:val="24"/>
          <w:szCs w:val="24"/>
        </w:rPr>
        <w:t>r</w:t>
      </w:r>
      <w:r w:rsidR="004E2B5B" w:rsidRPr="003B7653">
        <w:rPr>
          <w:rFonts w:ascii="Times New Roman" w:hAnsi="Times New Roman" w:cs="Times New Roman"/>
          <w:b/>
          <w:bCs/>
          <w:sz w:val="24"/>
          <w:szCs w:val="24"/>
        </w:rPr>
        <w:t>esults</w:t>
      </w:r>
      <w:bookmarkEnd w:id="10"/>
      <w:r w:rsidR="008B0194">
        <w:rPr>
          <w:rFonts w:ascii="Times New Roman" w:hAnsi="Times New Roman" w:cs="Times New Roman"/>
          <w:b/>
          <w:bCs/>
          <w:sz w:val="24"/>
          <w:szCs w:val="24"/>
        </w:rPr>
        <w:t xml:space="preserve"> </w:t>
      </w:r>
    </w:p>
    <w:p w14:paraId="24A8ECE2" w14:textId="77777777" w:rsidR="008B0194" w:rsidRDefault="008B0194" w:rsidP="008B0194">
      <w:pPr>
        <w:rPr>
          <w:rFonts w:ascii="Times New Roman" w:hAnsi="Times New Roman" w:cs="Times New Roman"/>
          <w:b/>
          <w:bCs/>
          <w:sz w:val="24"/>
          <w:szCs w:val="24"/>
        </w:rPr>
      </w:pPr>
    </w:p>
    <w:p w14:paraId="1F2D4436" w14:textId="256B1418" w:rsidR="004E2B5B" w:rsidRDefault="004E2B5B" w:rsidP="008B0194">
      <w:pPr>
        <w:jc w:val="both"/>
        <w:rPr>
          <w:rFonts w:ascii="Times New Roman" w:hAnsi="Times New Roman" w:cs="Times New Roman"/>
          <w:spacing w:val="-2"/>
          <w:sz w:val="24"/>
          <w:szCs w:val="24"/>
        </w:rPr>
      </w:pPr>
      <w:r w:rsidRPr="003B7653">
        <w:rPr>
          <w:rFonts w:ascii="Times New Roman" w:hAnsi="Times New Roman" w:cs="Times New Roman"/>
          <w:spacing w:val="-2"/>
          <w:sz w:val="24"/>
          <w:szCs w:val="24"/>
        </w:rPr>
        <w:t xml:space="preserve">Figure 3 </w:t>
      </w:r>
      <w:r w:rsidRPr="00F656FB">
        <w:rPr>
          <w:rFonts w:ascii="Times New Roman" w:hAnsi="Times New Roman" w:cs="Times New Roman"/>
          <w:spacing w:val="-2"/>
          <w:sz w:val="24"/>
          <w:szCs w:val="24"/>
        </w:rPr>
        <w:t xml:space="preserve">displays the baseline results of estimating </w:t>
      </w:r>
      <w:r w:rsidR="00C62F33">
        <w:rPr>
          <w:rFonts w:ascii="Times New Roman" w:hAnsi="Times New Roman" w:cs="Times New Roman"/>
          <w:spacing w:val="-2"/>
          <w:sz w:val="24"/>
          <w:szCs w:val="24"/>
        </w:rPr>
        <w:t>e</w:t>
      </w:r>
      <w:r w:rsidRPr="003B7653">
        <w:rPr>
          <w:rFonts w:ascii="Times New Roman" w:hAnsi="Times New Roman" w:cs="Times New Roman"/>
          <w:spacing w:val="-2"/>
          <w:sz w:val="24"/>
          <w:szCs w:val="24"/>
        </w:rPr>
        <w:t xml:space="preserve">quation </w:t>
      </w:r>
      <w:r w:rsidR="00C62F33">
        <w:rPr>
          <w:rFonts w:ascii="Times New Roman" w:hAnsi="Times New Roman" w:cs="Times New Roman"/>
          <w:spacing w:val="-2"/>
          <w:sz w:val="24"/>
          <w:szCs w:val="24"/>
        </w:rPr>
        <w:t>(</w:t>
      </w:r>
      <w:r w:rsidRPr="003B7653">
        <w:rPr>
          <w:rFonts w:ascii="Times New Roman" w:hAnsi="Times New Roman" w:cs="Times New Roman"/>
          <w:spacing w:val="-2"/>
          <w:sz w:val="24"/>
          <w:szCs w:val="24"/>
        </w:rPr>
        <w:t>3</w:t>
      </w:r>
      <w:r w:rsidR="00C62F33">
        <w:rPr>
          <w:rFonts w:ascii="Times New Roman" w:hAnsi="Times New Roman" w:cs="Times New Roman"/>
          <w:spacing w:val="-2"/>
          <w:sz w:val="24"/>
          <w:szCs w:val="24"/>
        </w:rPr>
        <w:t>)</w:t>
      </w:r>
      <w:r w:rsidRPr="003B7653">
        <w:rPr>
          <w:rFonts w:ascii="Times New Roman" w:hAnsi="Times New Roman" w:cs="Times New Roman"/>
          <w:spacing w:val="-2"/>
          <w:sz w:val="24"/>
          <w:szCs w:val="24"/>
        </w:rPr>
        <w:t xml:space="preserve"> </w:t>
      </w:r>
      <w:r w:rsidRPr="00F656FB">
        <w:rPr>
          <w:rFonts w:ascii="Times New Roman" w:hAnsi="Times New Roman" w:cs="Times New Roman"/>
          <w:spacing w:val="-2"/>
          <w:sz w:val="24"/>
          <w:szCs w:val="24"/>
        </w:rPr>
        <w:t>based on the entire sample</w:t>
      </w:r>
      <w:r w:rsidR="00927E1B" w:rsidRPr="00F656FB">
        <w:rPr>
          <w:rFonts w:ascii="Times New Roman" w:hAnsi="Times New Roman" w:cs="Times New Roman"/>
          <w:spacing w:val="-2"/>
          <w:sz w:val="24"/>
          <w:szCs w:val="24"/>
        </w:rPr>
        <w:t>,</w:t>
      </w:r>
      <w:r w:rsidRPr="00F656FB">
        <w:rPr>
          <w:rFonts w:ascii="Times New Roman" w:hAnsi="Times New Roman" w:cs="Times New Roman"/>
          <w:spacing w:val="-2"/>
          <w:sz w:val="24"/>
          <w:szCs w:val="24"/>
        </w:rPr>
        <w:t xml:space="preserve"> along with the comparison of sub-sample estimates before and after the implementation of inflation targeting and the rice tariffication policy. The black solid line in </w:t>
      </w:r>
      <w:r w:rsidRPr="003B7653">
        <w:rPr>
          <w:rFonts w:ascii="Times New Roman" w:hAnsi="Times New Roman" w:cs="Times New Roman"/>
          <w:spacing w:val="-2"/>
          <w:sz w:val="24"/>
          <w:szCs w:val="24"/>
        </w:rPr>
        <w:t>Figure 3</w:t>
      </w:r>
      <w:r w:rsidRPr="00F656FB">
        <w:rPr>
          <w:rFonts w:ascii="Times New Roman" w:hAnsi="Times New Roman" w:cs="Times New Roman"/>
          <w:spacing w:val="-2"/>
          <w:sz w:val="24"/>
          <w:szCs w:val="24"/>
        </w:rPr>
        <w:t xml:space="preserve"> refers to the point estimate, while the gray shaded areas indicate the 95</w:t>
      </w:r>
      <w:r w:rsidR="00814464">
        <w:rPr>
          <w:rFonts w:ascii="Times New Roman" w:hAnsi="Times New Roman" w:cs="Times New Roman"/>
          <w:sz w:val="24"/>
          <w:szCs w:val="24"/>
        </w:rPr>
        <w:t>%</w:t>
      </w:r>
      <w:r w:rsidRPr="00F656FB">
        <w:rPr>
          <w:rFonts w:ascii="Times New Roman" w:hAnsi="Times New Roman" w:cs="Times New Roman"/>
          <w:spacing w:val="-2"/>
          <w:sz w:val="24"/>
          <w:szCs w:val="24"/>
        </w:rPr>
        <w:t xml:space="preserve"> confidence interval. </w:t>
      </w:r>
      <w:r w:rsidRPr="003B7653">
        <w:rPr>
          <w:rFonts w:ascii="Times New Roman" w:hAnsi="Times New Roman" w:cs="Times New Roman"/>
          <w:spacing w:val="-2"/>
          <w:sz w:val="24"/>
          <w:szCs w:val="24"/>
        </w:rPr>
        <w:t>Table 3</w:t>
      </w:r>
      <w:r w:rsidRPr="00F656FB">
        <w:rPr>
          <w:rFonts w:ascii="Times New Roman" w:hAnsi="Times New Roman" w:cs="Times New Roman"/>
          <w:spacing w:val="-2"/>
          <w:sz w:val="24"/>
          <w:szCs w:val="24"/>
        </w:rPr>
        <w:t xml:space="preserve"> reports the full results which also include the estimated coefficients for the lagged values of the three explanatory variables and overall inflation.</w:t>
      </w:r>
    </w:p>
    <w:p w14:paraId="274447EB" w14:textId="77777777" w:rsidR="008B0194" w:rsidRDefault="008B0194" w:rsidP="008B0194">
      <w:pPr>
        <w:jc w:val="both"/>
        <w:rPr>
          <w:rFonts w:ascii="Times New Roman" w:hAnsi="Times New Roman" w:cs="Times New Roman"/>
          <w:spacing w:val="-2"/>
          <w:sz w:val="24"/>
          <w:szCs w:val="24"/>
        </w:rPr>
      </w:pPr>
    </w:p>
    <w:p w14:paraId="2D5B9B0B" w14:textId="17EEA8C6" w:rsidR="00E144C0" w:rsidRDefault="004E2B5B" w:rsidP="008B0194">
      <w:pPr>
        <w:ind w:firstLine="360"/>
        <w:jc w:val="both"/>
        <w:rPr>
          <w:rFonts w:ascii="Times New Roman" w:hAnsi="Times New Roman" w:cs="Times New Roman"/>
          <w:sz w:val="24"/>
          <w:szCs w:val="24"/>
        </w:rPr>
      </w:pPr>
      <w:r w:rsidRPr="00F656FB">
        <w:rPr>
          <w:rFonts w:ascii="Times New Roman" w:hAnsi="Times New Roman" w:cs="Times New Roman"/>
          <w:sz w:val="24"/>
          <w:szCs w:val="24"/>
        </w:rPr>
        <w:t>As shown in</w:t>
      </w:r>
      <w:r w:rsidRPr="00F656FB">
        <w:rPr>
          <w:rFonts w:ascii="Times New Roman" w:hAnsi="Times New Roman" w:cs="Times New Roman"/>
          <w:i/>
          <w:iCs/>
          <w:sz w:val="24"/>
          <w:szCs w:val="24"/>
        </w:rPr>
        <w:t xml:space="preserve"> </w:t>
      </w:r>
      <w:r w:rsidRPr="00C62F33">
        <w:rPr>
          <w:rFonts w:ascii="Times New Roman" w:hAnsi="Times New Roman" w:cs="Times New Roman"/>
          <w:sz w:val="24"/>
          <w:szCs w:val="24"/>
        </w:rPr>
        <w:t>Figure 3a</w:t>
      </w:r>
      <w:r w:rsidRPr="00F656FB">
        <w:rPr>
          <w:rFonts w:ascii="Times New Roman" w:hAnsi="Times New Roman" w:cs="Times New Roman"/>
          <w:sz w:val="24"/>
          <w:szCs w:val="24"/>
        </w:rPr>
        <w:t>, an important finding from applying the fixed effects quantile regression model is the clear positive relationship between overall inflation and rice or fuel price inflation. The positive impact of rice prices is significant across all quantiles, while it is only significant at higher quantiles in the case of fuel prices. In terms of the short-run effect, we estimate that a 1</w:t>
      </w:r>
      <w:r w:rsidR="00814464">
        <w:rPr>
          <w:rFonts w:ascii="Times New Roman" w:hAnsi="Times New Roman" w:cs="Times New Roman"/>
          <w:sz w:val="24"/>
          <w:szCs w:val="24"/>
        </w:rPr>
        <w:t>%</w:t>
      </w:r>
      <w:r w:rsidRPr="00F656FB">
        <w:rPr>
          <w:rFonts w:ascii="Times New Roman" w:hAnsi="Times New Roman" w:cs="Times New Roman"/>
          <w:sz w:val="24"/>
          <w:szCs w:val="24"/>
        </w:rPr>
        <w:t xml:space="preserve"> increase in rice prices corresponds to a 0.15</w:t>
      </w:r>
      <w:r w:rsidR="00814464">
        <w:rPr>
          <w:rFonts w:ascii="Times New Roman" w:hAnsi="Times New Roman" w:cs="Times New Roman"/>
          <w:sz w:val="24"/>
          <w:szCs w:val="24"/>
        </w:rPr>
        <w:t>%</w:t>
      </w:r>
      <w:r w:rsidRPr="00F656FB">
        <w:rPr>
          <w:rFonts w:ascii="Times New Roman" w:hAnsi="Times New Roman" w:cs="Times New Roman"/>
          <w:sz w:val="24"/>
          <w:szCs w:val="24"/>
        </w:rPr>
        <w:t xml:space="preserve"> increase in overall inflation at the lowest and 0.16</w:t>
      </w:r>
      <w:r w:rsidR="00814464">
        <w:rPr>
          <w:rFonts w:ascii="Times New Roman" w:hAnsi="Times New Roman" w:cs="Times New Roman"/>
          <w:sz w:val="24"/>
          <w:szCs w:val="24"/>
        </w:rPr>
        <w:t>%</w:t>
      </w:r>
      <w:r w:rsidRPr="00F656FB">
        <w:rPr>
          <w:rFonts w:ascii="Times New Roman" w:hAnsi="Times New Roman" w:cs="Times New Roman"/>
          <w:sz w:val="24"/>
          <w:szCs w:val="24"/>
        </w:rPr>
        <w:t xml:space="preserve"> at the highest quantiles. Where the short-run effect of fuel prices is significant, the results show that a 1</w:t>
      </w:r>
      <w:r w:rsidR="00814464">
        <w:rPr>
          <w:rFonts w:ascii="Times New Roman" w:hAnsi="Times New Roman" w:cs="Times New Roman"/>
          <w:sz w:val="24"/>
          <w:szCs w:val="24"/>
        </w:rPr>
        <w:t>%</w:t>
      </w:r>
      <w:r w:rsidRPr="00F656FB">
        <w:rPr>
          <w:rFonts w:ascii="Times New Roman" w:hAnsi="Times New Roman" w:cs="Times New Roman"/>
          <w:sz w:val="24"/>
          <w:szCs w:val="24"/>
        </w:rPr>
        <w:t xml:space="preserve"> rise in fuel prices generates a 0.01</w:t>
      </w:r>
      <w:r w:rsidR="00814464">
        <w:rPr>
          <w:rFonts w:ascii="Times New Roman" w:hAnsi="Times New Roman" w:cs="Times New Roman"/>
          <w:sz w:val="24"/>
          <w:szCs w:val="24"/>
        </w:rPr>
        <w:t>%</w:t>
      </w:r>
      <w:r w:rsidRPr="00F656FB">
        <w:rPr>
          <w:rFonts w:ascii="Times New Roman" w:hAnsi="Times New Roman" w:cs="Times New Roman"/>
          <w:sz w:val="24"/>
          <w:szCs w:val="24"/>
        </w:rPr>
        <w:t xml:space="preserve"> increase in overall inflation at </w:t>
      </w:r>
      <m:oMath>
        <m:r>
          <w:rPr>
            <w:rFonts w:ascii="Cambria Math" w:hAnsi="Cambria Math" w:cs="Times New Roman"/>
            <w:sz w:val="24"/>
            <w:szCs w:val="24"/>
          </w:rPr>
          <m:t>τ=0.8</m:t>
        </m:r>
      </m:oMath>
      <w:r w:rsidRPr="00F656FB">
        <w:rPr>
          <w:rFonts w:ascii="Times New Roman" w:hAnsi="Times New Roman" w:cs="Times New Roman"/>
          <w:sz w:val="24"/>
          <w:szCs w:val="24"/>
        </w:rPr>
        <w:t xml:space="preserve"> and </w:t>
      </w:r>
      <m:oMath>
        <m:r>
          <w:rPr>
            <w:rFonts w:ascii="Cambria Math" w:hAnsi="Cambria Math" w:cs="Times New Roman"/>
            <w:sz w:val="24"/>
            <w:szCs w:val="24"/>
          </w:rPr>
          <m:t>τ=0.9</m:t>
        </m:r>
      </m:oMath>
      <w:r w:rsidRPr="00F656FB">
        <w:rPr>
          <w:rFonts w:ascii="Times New Roman" w:hAnsi="Times New Roman" w:cs="Times New Roman"/>
          <w:sz w:val="24"/>
          <w:szCs w:val="24"/>
        </w:rPr>
        <w:t xml:space="preserve">. Those findings suggest that the effects of rice and fuel prices tend to increase at higher quantiles. When inflation is higher, the impact of rice and fuel prices is also higher. Yet it is important to note that overlapping confidence intervals can be seen for both estimates using the entire sample and sub-sample periods. For example, the short-run effect estimates for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1,τ</m:t>
            </m:r>
          </m:sub>
        </m:sSub>
      </m:oMath>
      <w:r w:rsidRPr="00F656FB">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2,τ</m:t>
            </m:r>
          </m:sub>
        </m:sSub>
      </m:oMath>
      <w:r w:rsidRPr="00F656FB">
        <w:rPr>
          <w:rFonts w:ascii="Times New Roman" w:hAnsi="Times New Roman" w:cs="Times New Roman"/>
          <w:sz w:val="24"/>
          <w:szCs w:val="24"/>
        </w:rPr>
        <w:t xml:space="preserve"> rise with </w:t>
      </w:r>
      <m:oMath>
        <m:r>
          <w:rPr>
            <w:rFonts w:ascii="Cambria Math" w:hAnsi="Cambria Math" w:cs="Times New Roman"/>
            <w:sz w:val="24"/>
            <w:szCs w:val="24"/>
          </w:rPr>
          <m:t>τ</m:t>
        </m:r>
      </m:oMath>
      <w:r w:rsidRPr="00F656FB">
        <w:rPr>
          <w:rFonts w:ascii="Times New Roman" w:hAnsi="Times New Roman" w:cs="Times New Roman"/>
          <w:sz w:val="24"/>
          <w:szCs w:val="24"/>
        </w:rPr>
        <w:t xml:space="preserve"> in the cases of rice and fuel price inflation</w:t>
      </w:r>
      <w:r w:rsidR="00927E1B" w:rsidRPr="00F656FB">
        <w:rPr>
          <w:rFonts w:ascii="Times New Roman" w:hAnsi="Times New Roman" w:cs="Times New Roman"/>
          <w:sz w:val="24"/>
          <w:szCs w:val="24"/>
        </w:rPr>
        <w:t>,</w:t>
      </w:r>
      <w:r w:rsidRPr="00F656FB">
        <w:rPr>
          <w:rFonts w:ascii="Times New Roman" w:hAnsi="Times New Roman" w:cs="Times New Roman"/>
          <w:sz w:val="24"/>
          <w:szCs w:val="24"/>
        </w:rPr>
        <w:t xml:space="preserve"> but the upper part of their </w:t>
      </w:r>
      <m:oMath>
        <m:r>
          <w:rPr>
            <w:rFonts w:ascii="Cambria Math" w:hAnsi="Cambria Math" w:cs="Times New Roman"/>
            <w:sz w:val="24"/>
            <w:szCs w:val="24"/>
          </w:rPr>
          <m:t>τ=0.1</m:t>
        </m:r>
      </m:oMath>
      <w:r w:rsidRPr="00F656FB">
        <w:rPr>
          <w:rFonts w:ascii="Times New Roman" w:hAnsi="Times New Roman" w:cs="Times New Roman"/>
          <w:sz w:val="24"/>
          <w:szCs w:val="24"/>
        </w:rPr>
        <w:t xml:space="preserve"> confidence interval fits inside the </w:t>
      </w:r>
      <m:oMath>
        <m:r>
          <w:rPr>
            <w:rFonts w:ascii="Cambria Math" w:hAnsi="Cambria Math" w:cs="Times New Roman"/>
            <w:sz w:val="24"/>
            <w:szCs w:val="24"/>
          </w:rPr>
          <m:t>τ=0.9</m:t>
        </m:r>
      </m:oMath>
      <w:r w:rsidRPr="00F656FB">
        <w:rPr>
          <w:rFonts w:ascii="Times New Roman" w:hAnsi="Times New Roman" w:cs="Times New Roman"/>
          <w:sz w:val="24"/>
          <w:szCs w:val="24"/>
        </w:rPr>
        <w:t xml:space="preserve"> confidence band. This suggests that there is no discernable variation in the increasing short-run effects of rice or fuel price inflation between the lower and upper quantiles.</w:t>
      </w:r>
    </w:p>
    <w:p w14:paraId="14A7B823" w14:textId="77777777" w:rsidR="00064832" w:rsidRPr="00F656FB" w:rsidRDefault="00064832" w:rsidP="008B0194">
      <w:pPr>
        <w:ind w:firstLine="360"/>
        <w:jc w:val="both"/>
        <w:rPr>
          <w:rFonts w:ascii="Times New Roman" w:hAnsi="Times New Roman" w:cs="Times New Roman"/>
          <w:sz w:val="24"/>
          <w:szCs w:val="24"/>
        </w:rPr>
      </w:pPr>
    </w:p>
    <w:p w14:paraId="52AE3B12" w14:textId="39CD756B" w:rsidR="00E144C0" w:rsidRPr="00F656FB" w:rsidRDefault="00E144C0" w:rsidP="00E144C0">
      <w:pPr>
        <w:ind w:firstLine="360"/>
        <w:jc w:val="both"/>
        <w:rPr>
          <w:rFonts w:ascii="Times New Roman" w:hAnsi="Times New Roman" w:cs="Times New Roman"/>
          <w:sz w:val="24"/>
          <w:szCs w:val="24"/>
        </w:rPr>
      </w:pPr>
      <w:r w:rsidRPr="00F656FB">
        <w:rPr>
          <w:rFonts w:ascii="Times New Roman" w:hAnsi="Times New Roman" w:cs="Times New Roman"/>
          <w:sz w:val="24"/>
          <w:szCs w:val="24"/>
        </w:rPr>
        <w:lastRenderedPageBreak/>
        <w:t>However, an insightful finding emerges from estimates for the long-run effect which lend quantitative support to the tendency that the increase in sensitivity to the impact of rice or fuel prices remains at the</w:t>
      </w:r>
      <w:r w:rsidR="001317DB" w:rsidRPr="00F656FB">
        <w:rPr>
          <w:rFonts w:ascii="Times New Roman" w:hAnsi="Times New Roman" w:cs="Times New Roman"/>
          <w:sz w:val="24"/>
          <w:szCs w:val="24"/>
        </w:rPr>
        <w:t xml:space="preserve"> higher quantiles</w:t>
      </w:r>
      <w:r w:rsidRPr="00F656FB">
        <w:rPr>
          <w:rFonts w:ascii="Times New Roman" w:hAnsi="Times New Roman" w:cs="Times New Roman"/>
          <w:sz w:val="24"/>
          <w:szCs w:val="24"/>
        </w:rPr>
        <w:t xml:space="preserve">. </w:t>
      </w:r>
      <w:proofErr w:type="gramStart"/>
      <w:r w:rsidRPr="00F656FB">
        <w:rPr>
          <w:rFonts w:ascii="Times New Roman" w:hAnsi="Times New Roman" w:cs="Times New Roman"/>
          <w:sz w:val="24"/>
          <w:szCs w:val="24"/>
        </w:rPr>
        <w:t>In particular, plugging</w:t>
      </w:r>
      <w:proofErr w:type="gramEnd"/>
      <w:r w:rsidRPr="00F656FB">
        <w:rPr>
          <w:rFonts w:ascii="Times New Roman" w:hAnsi="Times New Roman" w:cs="Times New Roman"/>
          <w:sz w:val="24"/>
          <w:szCs w:val="24"/>
        </w:rPr>
        <w:t xml:space="preserve"> the short-run impact estimates and relevant coefficients for the lagged values of rice prices and overall inflation into </w:t>
      </w:r>
      <w:r w:rsidR="00C62F33">
        <w:rPr>
          <w:rFonts w:ascii="Times New Roman" w:hAnsi="Times New Roman" w:cs="Times New Roman"/>
          <w:sz w:val="24"/>
          <w:szCs w:val="24"/>
        </w:rPr>
        <w:t>e</w:t>
      </w:r>
      <w:r w:rsidR="00B60430" w:rsidRPr="00F31AC0">
        <w:rPr>
          <w:rFonts w:ascii="Times New Roman" w:hAnsi="Times New Roman" w:cs="Times New Roman"/>
          <w:sz w:val="24"/>
          <w:szCs w:val="24"/>
        </w:rPr>
        <w:t>quation</w:t>
      </w:r>
      <w:r w:rsidRPr="00F31AC0">
        <w:rPr>
          <w:rFonts w:ascii="Times New Roman" w:hAnsi="Times New Roman" w:cs="Times New Roman"/>
          <w:sz w:val="24"/>
          <w:szCs w:val="24"/>
        </w:rPr>
        <w:t xml:space="preserve"> </w:t>
      </w:r>
      <w:r w:rsidR="00C62F33">
        <w:rPr>
          <w:rFonts w:ascii="Times New Roman" w:hAnsi="Times New Roman" w:cs="Times New Roman"/>
          <w:sz w:val="24"/>
          <w:szCs w:val="24"/>
        </w:rPr>
        <w:t>(</w:t>
      </w:r>
      <w:r w:rsidRPr="00F31AC0">
        <w:rPr>
          <w:rFonts w:ascii="Times New Roman" w:hAnsi="Times New Roman" w:cs="Times New Roman"/>
          <w:sz w:val="24"/>
          <w:szCs w:val="24"/>
        </w:rPr>
        <w:t>4</w:t>
      </w:r>
      <w:r w:rsidR="00C62F33">
        <w:rPr>
          <w:rFonts w:ascii="Times New Roman" w:hAnsi="Times New Roman" w:cs="Times New Roman"/>
          <w:sz w:val="24"/>
          <w:szCs w:val="24"/>
        </w:rPr>
        <w:t>)</w:t>
      </w:r>
      <w:r w:rsidRPr="00F656FB">
        <w:rPr>
          <w:rFonts w:ascii="Times New Roman" w:hAnsi="Times New Roman" w:cs="Times New Roman"/>
          <w:sz w:val="24"/>
          <w:szCs w:val="24"/>
        </w:rPr>
        <w:t xml:space="preserve"> outlined in Section 3.1, the long-run effect is estimated at 0.1040 for </w:t>
      </w:r>
      <m:oMath>
        <m:r>
          <w:rPr>
            <w:rFonts w:ascii="Cambria Math" w:hAnsi="Cambria Math" w:cs="Times New Roman"/>
            <w:sz w:val="24"/>
            <w:szCs w:val="24"/>
          </w:rPr>
          <m:t>τ=0.1</m:t>
        </m:r>
      </m:oMath>
      <w:r w:rsidRPr="00F656FB">
        <w:rPr>
          <w:rFonts w:ascii="Times New Roman" w:hAnsi="Times New Roman" w:cs="Times New Roman"/>
          <w:sz w:val="24"/>
          <w:szCs w:val="24"/>
        </w:rPr>
        <w:t xml:space="preserve"> and 0.2857 </w:t>
      </w:r>
      <m:oMath>
        <m:r>
          <w:rPr>
            <w:rFonts w:ascii="Cambria Math" w:hAnsi="Cambria Math" w:cs="Times New Roman"/>
            <w:sz w:val="24"/>
            <w:szCs w:val="24"/>
          </w:rPr>
          <m:t>τ=0.9</m:t>
        </m:r>
      </m:oMath>
      <w:r w:rsidRPr="00F656FB">
        <w:rPr>
          <w:rFonts w:ascii="Times New Roman" w:hAnsi="Times New Roman" w:cs="Times New Roman"/>
          <w:sz w:val="24"/>
          <w:szCs w:val="24"/>
        </w:rPr>
        <w:t xml:space="preserve">. The increase in sensitivity of the impact of fuel prices is also pronounced at the higher quantiles with a long-run effect of 0.0617 for </w:t>
      </w:r>
      <m:oMath>
        <m:r>
          <w:rPr>
            <w:rFonts w:ascii="Cambria Math" w:hAnsi="Cambria Math" w:cs="Times New Roman"/>
            <w:sz w:val="24"/>
            <w:szCs w:val="24"/>
          </w:rPr>
          <m:t>τ=0.10</m:t>
        </m:r>
      </m:oMath>
      <w:r w:rsidRPr="00F656FB">
        <w:rPr>
          <w:rFonts w:ascii="Times New Roman" w:hAnsi="Times New Roman" w:cs="Times New Roman"/>
          <w:sz w:val="24"/>
          <w:szCs w:val="24"/>
        </w:rPr>
        <w:t xml:space="preserve"> compared to 0.4762 for </w:t>
      </w:r>
      <m:oMath>
        <m:r>
          <w:rPr>
            <w:rFonts w:ascii="Cambria Math" w:hAnsi="Cambria Math" w:cs="Times New Roman"/>
            <w:sz w:val="24"/>
            <w:szCs w:val="24"/>
          </w:rPr>
          <m:t>τ=0.9</m:t>
        </m:r>
      </m:oMath>
      <w:r w:rsidRPr="00F656FB">
        <w:rPr>
          <w:rFonts w:ascii="Times New Roman" w:hAnsi="Times New Roman" w:cs="Times New Roman"/>
          <w:sz w:val="24"/>
          <w:szCs w:val="24"/>
        </w:rPr>
        <w:t>.</w:t>
      </w:r>
    </w:p>
    <w:p w14:paraId="011D0F63" w14:textId="77777777" w:rsidR="00E144C0" w:rsidRPr="00F656FB" w:rsidRDefault="00E144C0" w:rsidP="00E144C0">
      <w:pPr>
        <w:ind w:firstLine="360"/>
        <w:jc w:val="both"/>
        <w:rPr>
          <w:rFonts w:ascii="Times New Roman" w:hAnsi="Times New Roman" w:cs="Times New Roman"/>
          <w:sz w:val="24"/>
          <w:szCs w:val="24"/>
        </w:rPr>
      </w:pPr>
    </w:p>
    <w:p w14:paraId="583C19CF" w14:textId="7370168C" w:rsidR="009908C6" w:rsidRDefault="00E144C0" w:rsidP="009D14B5">
      <w:pPr>
        <w:ind w:firstLine="360"/>
        <w:jc w:val="both"/>
        <w:rPr>
          <w:rFonts w:ascii="Times New Roman" w:hAnsi="Times New Roman" w:cs="Times New Roman"/>
          <w:sz w:val="24"/>
          <w:szCs w:val="24"/>
        </w:rPr>
      </w:pPr>
      <w:r w:rsidRPr="00F656FB">
        <w:rPr>
          <w:rFonts w:ascii="Times New Roman" w:hAnsi="Times New Roman" w:cs="Times New Roman"/>
          <w:sz w:val="24"/>
          <w:szCs w:val="24"/>
        </w:rPr>
        <w:t>The results also align with recent studies on emerging economies that highlight</w:t>
      </w:r>
      <w:r w:rsidR="00B60430" w:rsidRPr="00F656FB">
        <w:rPr>
          <w:rFonts w:ascii="Times New Roman" w:hAnsi="Times New Roman" w:cs="Times New Roman"/>
          <w:sz w:val="24"/>
          <w:szCs w:val="24"/>
        </w:rPr>
        <w:t xml:space="preserve"> </w:t>
      </w:r>
      <w:r w:rsidRPr="00F656FB">
        <w:rPr>
          <w:rFonts w:ascii="Times New Roman" w:hAnsi="Times New Roman" w:cs="Times New Roman"/>
          <w:sz w:val="24"/>
          <w:szCs w:val="24"/>
        </w:rPr>
        <w:t xml:space="preserve">the role of rising food prices in both current and future inflation through expectations and wage negotiations (Pourroy et al., 2016). Using the quantile regression method, Iddrisu and </w:t>
      </w:r>
      <w:proofErr w:type="spellStart"/>
      <w:r w:rsidRPr="00F656FB">
        <w:rPr>
          <w:rFonts w:ascii="Times New Roman" w:hAnsi="Times New Roman" w:cs="Times New Roman"/>
          <w:sz w:val="24"/>
          <w:szCs w:val="24"/>
        </w:rPr>
        <w:t>Alagidede</w:t>
      </w:r>
      <w:proofErr w:type="spellEnd"/>
      <w:r w:rsidRPr="00F656FB">
        <w:rPr>
          <w:rFonts w:ascii="Times New Roman" w:hAnsi="Times New Roman" w:cs="Times New Roman"/>
          <w:sz w:val="24"/>
          <w:szCs w:val="24"/>
        </w:rPr>
        <w:t xml:space="preserve"> (2020) found that a 1</w:t>
      </w:r>
      <w:r w:rsidR="00D7160B">
        <w:rPr>
          <w:rFonts w:ascii="Times New Roman" w:hAnsi="Times New Roman" w:cs="Times New Roman"/>
          <w:sz w:val="24"/>
          <w:szCs w:val="24"/>
        </w:rPr>
        <w:t>%</w:t>
      </w:r>
      <w:r w:rsidRPr="00F656FB">
        <w:rPr>
          <w:rFonts w:ascii="Times New Roman" w:hAnsi="Times New Roman" w:cs="Times New Roman"/>
          <w:sz w:val="24"/>
          <w:szCs w:val="24"/>
        </w:rPr>
        <w:t xml:space="preserve"> increase in world food prices raises domestic food prices in South Africa by 0.03</w:t>
      </w:r>
      <w:r w:rsidR="00D7160B">
        <w:rPr>
          <w:rFonts w:ascii="Times New Roman" w:hAnsi="Times New Roman" w:cs="Times New Roman"/>
          <w:sz w:val="24"/>
          <w:szCs w:val="24"/>
        </w:rPr>
        <w:t>%</w:t>
      </w:r>
      <w:r w:rsidRPr="00F656FB">
        <w:rPr>
          <w:rFonts w:ascii="Times New Roman" w:hAnsi="Times New Roman" w:cs="Times New Roman"/>
          <w:sz w:val="24"/>
          <w:szCs w:val="24"/>
        </w:rPr>
        <w:t xml:space="preserve"> at the higher quantile. Similarly, Abbas and Lan (2020)</w:t>
      </w:r>
      <w:r w:rsidR="00D7160B">
        <w:rPr>
          <w:rFonts w:ascii="Times New Roman" w:hAnsi="Times New Roman" w:cs="Times New Roman"/>
          <w:sz w:val="24"/>
          <w:szCs w:val="24"/>
        </w:rPr>
        <w:t xml:space="preserve"> used</w:t>
      </w:r>
      <w:r w:rsidRPr="00F656FB">
        <w:rPr>
          <w:rFonts w:ascii="Times New Roman" w:hAnsi="Times New Roman" w:cs="Times New Roman"/>
          <w:sz w:val="24"/>
          <w:szCs w:val="24"/>
        </w:rPr>
        <w:t xml:space="preserve"> the self-exciting threshold autoregressive model</w:t>
      </w:r>
      <w:r w:rsidR="00D7160B">
        <w:rPr>
          <w:rFonts w:ascii="Times New Roman" w:hAnsi="Times New Roman" w:cs="Times New Roman"/>
          <w:sz w:val="24"/>
          <w:szCs w:val="24"/>
        </w:rPr>
        <w:t xml:space="preserve"> and</w:t>
      </w:r>
      <w:r w:rsidRPr="00F656FB">
        <w:rPr>
          <w:rFonts w:ascii="Times New Roman" w:hAnsi="Times New Roman" w:cs="Times New Roman"/>
          <w:sz w:val="24"/>
          <w:szCs w:val="24"/>
        </w:rPr>
        <w:t xml:space="preserve"> found that a 1</w:t>
      </w:r>
      <w:r w:rsidR="00D7160B">
        <w:rPr>
          <w:rFonts w:ascii="Times New Roman" w:hAnsi="Times New Roman" w:cs="Times New Roman"/>
          <w:sz w:val="24"/>
          <w:szCs w:val="24"/>
        </w:rPr>
        <w:t>%</w:t>
      </w:r>
      <w:r w:rsidRPr="00F656FB">
        <w:rPr>
          <w:rFonts w:ascii="Times New Roman" w:hAnsi="Times New Roman" w:cs="Times New Roman"/>
          <w:sz w:val="24"/>
          <w:szCs w:val="24"/>
        </w:rPr>
        <w:t xml:space="preserve"> rise in food prices leads to a 0.04</w:t>
      </w:r>
      <w:r w:rsidR="00D7160B">
        <w:rPr>
          <w:rFonts w:ascii="Times New Roman" w:hAnsi="Times New Roman" w:cs="Times New Roman"/>
          <w:sz w:val="24"/>
          <w:szCs w:val="24"/>
        </w:rPr>
        <w:t>%</w:t>
      </w:r>
      <w:r w:rsidRPr="00F656FB">
        <w:rPr>
          <w:rFonts w:ascii="Times New Roman" w:hAnsi="Times New Roman" w:cs="Times New Roman"/>
          <w:sz w:val="24"/>
          <w:szCs w:val="24"/>
        </w:rPr>
        <w:t xml:space="preserve"> and 0.10</w:t>
      </w:r>
      <w:r w:rsidR="00D7160B">
        <w:rPr>
          <w:rFonts w:ascii="Times New Roman" w:hAnsi="Times New Roman" w:cs="Times New Roman"/>
          <w:sz w:val="24"/>
          <w:szCs w:val="24"/>
        </w:rPr>
        <w:t>%</w:t>
      </w:r>
      <w:r w:rsidRPr="00F656FB">
        <w:rPr>
          <w:rFonts w:ascii="Times New Roman" w:hAnsi="Times New Roman" w:cs="Times New Roman"/>
          <w:sz w:val="24"/>
          <w:szCs w:val="24"/>
        </w:rPr>
        <w:t xml:space="preserve"> inflation increase in the low-inflation regimes in China and Pakistan, respectively.</w:t>
      </w:r>
    </w:p>
    <w:p w14:paraId="77B15146" w14:textId="77777777" w:rsidR="009908C6" w:rsidRDefault="009908C6" w:rsidP="009D14B5">
      <w:pPr>
        <w:ind w:firstLine="360"/>
        <w:jc w:val="both"/>
        <w:rPr>
          <w:rFonts w:ascii="Times New Roman" w:hAnsi="Times New Roman" w:cs="Times New Roman"/>
          <w:sz w:val="24"/>
          <w:szCs w:val="24"/>
        </w:rPr>
      </w:pPr>
    </w:p>
    <w:p w14:paraId="201392CF" w14:textId="77777777" w:rsidR="009908C6" w:rsidRPr="00423E4F" w:rsidRDefault="009908C6" w:rsidP="009D14B5">
      <w:pPr>
        <w:ind w:firstLine="360"/>
        <w:jc w:val="both"/>
        <w:rPr>
          <w:rFonts w:ascii="Times New Roman" w:hAnsi="Times New Roman" w:cs="Times New Roman"/>
          <w:sz w:val="24"/>
          <w:szCs w:val="24"/>
        </w:rPr>
      </w:pPr>
      <w:r w:rsidRPr="00423E4F">
        <w:rPr>
          <w:rFonts w:ascii="Times New Roman" w:hAnsi="Times New Roman" w:cs="Times New Roman"/>
          <w:sz w:val="24"/>
          <w:szCs w:val="24"/>
        </w:rPr>
        <w:t xml:space="preserve">Overall, the empirical results align with evidence suggesting that modeling asymmetries and/or thicker tails in the distribution of inflation in the analysis of food and energy prices plays an important role in understanding the dynamics of inflation and commodity prices (Abbas &amp; Lan, 2020; Choi et al., 2018; Ge &amp; Sun, 2024; Iddrisu &amp; </w:t>
      </w:r>
      <w:proofErr w:type="spellStart"/>
      <w:r w:rsidRPr="00423E4F">
        <w:rPr>
          <w:rFonts w:ascii="Times New Roman" w:hAnsi="Times New Roman" w:cs="Times New Roman"/>
          <w:sz w:val="24"/>
          <w:szCs w:val="24"/>
        </w:rPr>
        <w:t>Alagidede</w:t>
      </w:r>
      <w:proofErr w:type="spellEnd"/>
      <w:r w:rsidRPr="00423E4F">
        <w:rPr>
          <w:rFonts w:ascii="Times New Roman" w:hAnsi="Times New Roman" w:cs="Times New Roman"/>
          <w:sz w:val="24"/>
          <w:szCs w:val="24"/>
        </w:rPr>
        <w:t xml:space="preserve">, 2021). </w:t>
      </w:r>
    </w:p>
    <w:p w14:paraId="29F3CD64" w14:textId="77777777" w:rsidR="009908C6" w:rsidRPr="00423E4F" w:rsidRDefault="009908C6" w:rsidP="009D14B5">
      <w:pPr>
        <w:ind w:firstLine="360"/>
        <w:jc w:val="both"/>
        <w:rPr>
          <w:rFonts w:ascii="Times New Roman" w:hAnsi="Times New Roman" w:cs="Times New Roman"/>
          <w:sz w:val="24"/>
          <w:szCs w:val="24"/>
        </w:rPr>
      </w:pPr>
    </w:p>
    <w:p w14:paraId="091B4608" w14:textId="361CBE07" w:rsidR="009908C6" w:rsidRPr="00423E4F" w:rsidRDefault="009908C6" w:rsidP="009D14B5">
      <w:pPr>
        <w:ind w:firstLine="360"/>
        <w:jc w:val="both"/>
        <w:rPr>
          <w:rFonts w:ascii="Times New Roman" w:hAnsi="Times New Roman" w:cs="Times New Roman"/>
          <w:sz w:val="24"/>
          <w:szCs w:val="24"/>
        </w:rPr>
      </w:pPr>
      <w:r w:rsidRPr="00423E4F">
        <w:rPr>
          <w:rFonts w:ascii="Times New Roman" w:hAnsi="Times New Roman" w:cs="Times New Roman"/>
          <w:sz w:val="24"/>
          <w:szCs w:val="24"/>
        </w:rPr>
        <w:t xml:space="preserve">Existing studies offer a comparable estimate of the energy price effect on inflation. Iddrisu and </w:t>
      </w:r>
      <w:proofErr w:type="spellStart"/>
      <w:r w:rsidRPr="00423E4F">
        <w:rPr>
          <w:rFonts w:ascii="Times New Roman" w:hAnsi="Times New Roman" w:cs="Times New Roman"/>
          <w:sz w:val="24"/>
          <w:szCs w:val="24"/>
        </w:rPr>
        <w:t>Alagidede</w:t>
      </w:r>
      <w:proofErr w:type="spellEnd"/>
      <w:r w:rsidRPr="00423E4F">
        <w:rPr>
          <w:rFonts w:ascii="Times New Roman" w:hAnsi="Times New Roman" w:cs="Times New Roman"/>
          <w:sz w:val="24"/>
          <w:szCs w:val="24"/>
        </w:rPr>
        <w:t xml:space="preserve"> (2021) us</w:t>
      </w:r>
      <w:r>
        <w:rPr>
          <w:rFonts w:ascii="Times New Roman" w:hAnsi="Times New Roman" w:cs="Times New Roman"/>
          <w:sz w:val="24"/>
          <w:szCs w:val="24"/>
        </w:rPr>
        <w:t xml:space="preserve">ed </w:t>
      </w:r>
      <w:r w:rsidRPr="00423E4F">
        <w:rPr>
          <w:rFonts w:ascii="Times New Roman" w:hAnsi="Times New Roman" w:cs="Times New Roman"/>
          <w:sz w:val="24"/>
          <w:szCs w:val="24"/>
        </w:rPr>
        <w:t xml:space="preserve">wavelet-based </w:t>
      </w:r>
      <w:r w:rsidRPr="00423E4F">
        <w:rPr>
          <w:rFonts w:ascii="Times New Roman" w:hAnsi="Times New Roman" w:cs="Times New Roman"/>
          <w:spacing w:val="-2"/>
          <w:sz w:val="24"/>
          <w:szCs w:val="24"/>
        </w:rPr>
        <w:t>quantile regression for South African provinces</w:t>
      </w:r>
      <w:r>
        <w:rPr>
          <w:rFonts w:ascii="Times New Roman" w:hAnsi="Times New Roman" w:cs="Times New Roman"/>
          <w:spacing w:val="-2"/>
          <w:sz w:val="24"/>
          <w:szCs w:val="24"/>
        </w:rPr>
        <w:t xml:space="preserve"> and showed</w:t>
      </w:r>
      <w:r w:rsidRPr="00423E4F">
        <w:rPr>
          <w:rFonts w:ascii="Times New Roman" w:hAnsi="Times New Roman" w:cs="Times New Roman"/>
          <w:spacing w:val="-2"/>
          <w:sz w:val="24"/>
          <w:szCs w:val="24"/>
        </w:rPr>
        <w:t xml:space="preserve"> that a 1</w:t>
      </w:r>
      <w:r>
        <w:rPr>
          <w:rFonts w:ascii="Times New Roman" w:hAnsi="Times New Roman" w:cs="Times New Roman"/>
          <w:spacing w:val="-2"/>
          <w:sz w:val="24"/>
          <w:szCs w:val="24"/>
        </w:rPr>
        <w:t>%</w:t>
      </w:r>
      <w:r w:rsidR="00814464">
        <w:rPr>
          <w:rFonts w:ascii="Times New Roman" w:hAnsi="Times New Roman" w:cs="Times New Roman"/>
          <w:spacing w:val="-2"/>
          <w:sz w:val="24"/>
          <w:szCs w:val="24"/>
        </w:rPr>
        <w:t xml:space="preserve"> </w:t>
      </w:r>
      <w:r>
        <w:rPr>
          <w:rFonts w:ascii="Times New Roman" w:hAnsi="Times New Roman" w:cs="Times New Roman"/>
          <w:spacing w:val="-2"/>
          <w:sz w:val="24"/>
          <w:szCs w:val="24"/>
        </w:rPr>
        <w:t>i</w:t>
      </w:r>
      <w:r w:rsidR="00814464">
        <w:rPr>
          <w:rFonts w:ascii="Times New Roman" w:hAnsi="Times New Roman" w:cs="Times New Roman"/>
          <w:spacing w:val="-2"/>
          <w:sz w:val="24"/>
          <w:szCs w:val="24"/>
        </w:rPr>
        <w:t>ncrea</w:t>
      </w:r>
      <w:r>
        <w:rPr>
          <w:rFonts w:ascii="Times New Roman" w:hAnsi="Times New Roman" w:cs="Times New Roman"/>
          <w:spacing w:val="-2"/>
          <w:sz w:val="24"/>
          <w:szCs w:val="24"/>
        </w:rPr>
        <w:t>se</w:t>
      </w:r>
      <w:r w:rsidRPr="00423E4F">
        <w:rPr>
          <w:rFonts w:ascii="Times New Roman" w:hAnsi="Times New Roman" w:cs="Times New Roman"/>
          <w:spacing w:val="-2"/>
          <w:sz w:val="24"/>
          <w:szCs w:val="24"/>
        </w:rPr>
        <w:t xml:space="preserve"> in transportation cost—reflecting fuel price changes and goods movement costs—raises overall inflation in the Gauteng province by 0.02–0.04</w:t>
      </w:r>
      <w:r>
        <w:rPr>
          <w:rFonts w:ascii="Times New Roman" w:hAnsi="Times New Roman" w:cs="Times New Roman"/>
          <w:spacing w:val="-2"/>
          <w:sz w:val="24"/>
          <w:szCs w:val="24"/>
        </w:rPr>
        <w:t>%</w:t>
      </w:r>
      <w:r w:rsidRPr="00423E4F">
        <w:rPr>
          <w:rFonts w:ascii="Times New Roman" w:hAnsi="Times New Roman" w:cs="Times New Roman"/>
          <w:spacing w:val="-2"/>
          <w:sz w:val="24"/>
          <w:szCs w:val="24"/>
        </w:rPr>
        <w:t>.</w:t>
      </w:r>
      <w:r w:rsidRPr="00423E4F">
        <w:rPr>
          <w:rFonts w:ascii="Times New Roman" w:hAnsi="Times New Roman" w:cs="Times New Roman"/>
          <w:sz w:val="24"/>
          <w:szCs w:val="24"/>
        </w:rPr>
        <w:t xml:space="preserve"> Our estimate aligns with Abbas and Lan (2020), who reported that a 1.0</w:t>
      </w:r>
      <w:r>
        <w:rPr>
          <w:rFonts w:ascii="Times New Roman" w:hAnsi="Times New Roman" w:cs="Times New Roman"/>
          <w:spacing w:val="-2"/>
          <w:sz w:val="24"/>
          <w:szCs w:val="24"/>
        </w:rPr>
        <w:t>%</w:t>
      </w:r>
      <w:r w:rsidRPr="00423E4F">
        <w:rPr>
          <w:rFonts w:ascii="Times New Roman" w:hAnsi="Times New Roman" w:cs="Times New Roman"/>
          <w:sz w:val="24"/>
          <w:szCs w:val="24"/>
        </w:rPr>
        <w:t xml:space="preserve"> rise in energy prices increases inflation in China, India, and Pakistan by 0.01–0.50</w:t>
      </w:r>
      <w:r>
        <w:rPr>
          <w:rFonts w:ascii="Times New Roman" w:hAnsi="Times New Roman" w:cs="Times New Roman"/>
          <w:sz w:val="24"/>
          <w:szCs w:val="24"/>
        </w:rPr>
        <w:t>%</w:t>
      </w:r>
      <w:r w:rsidRPr="00423E4F">
        <w:rPr>
          <w:rFonts w:ascii="Times New Roman" w:hAnsi="Times New Roman" w:cs="Times New Roman"/>
          <w:sz w:val="24"/>
          <w:szCs w:val="24"/>
        </w:rPr>
        <w:t xml:space="preserve"> under high-inflation regimes. </w:t>
      </w:r>
    </w:p>
    <w:p w14:paraId="765A4611" w14:textId="77777777" w:rsidR="009908C6" w:rsidRPr="00423E4F" w:rsidRDefault="009908C6" w:rsidP="009D14B5">
      <w:pPr>
        <w:ind w:firstLine="360"/>
        <w:jc w:val="both"/>
        <w:rPr>
          <w:rFonts w:ascii="Times New Roman" w:hAnsi="Times New Roman" w:cs="Times New Roman"/>
          <w:sz w:val="24"/>
          <w:szCs w:val="24"/>
        </w:rPr>
      </w:pPr>
    </w:p>
    <w:p w14:paraId="003EFDFB" w14:textId="77777777" w:rsidR="009908C6" w:rsidRDefault="009908C6" w:rsidP="009D14B5">
      <w:pPr>
        <w:ind w:firstLine="284"/>
        <w:jc w:val="both"/>
        <w:rPr>
          <w:rFonts w:ascii="Times New Roman" w:hAnsi="Times New Roman" w:cs="Times New Roman"/>
          <w:sz w:val="24"/>
          <w:szCs w:val="24"/>
        </w:rPr>
      </w:pPr>
      <w:r w:rsidRPr="00423E4F">
        <w:rPr>
          <w:rFonts w:ascii="Times New Roman" w:hAnsi="Times New Roman" w:cs="Times New Roman"/>
          <w:sz w:val="24"/>
          <w:szCs w:val="24"/>
        </w:rPr>
        <w:t>Our findings are also consistent with Grundler (2024), who showed that the pass-through of gasoline price shocks to inflation depends on the inflation level. For example, it might be harder for firms to predict a future price level when inflation is close to the central bank's target. In such cases, gasoline price shocks provide an incentive for firms to consider larger price adjustments as a hedge against a scenario where they are forced to sell below their marginal costs, in line with the precautionary pricing mechanism (Born &amp; Pfeifer, 2021).</w:t>
      </w:r>
    </w:p>
    <w:p w14:paraId="56F6B3D5" w14:textId="77777777" w:rsidR="009908C6" w:rsidRDefault="009908C6" w:rsidP="009908C6">
      <w:pPr>
        <w:ind w:firstLine="284"/>
        <w:jc w:val="both"/>
        <w:rPr>
          <w:rFonts w:ascii="Times New Roman" w:hAnsi="Times New Roman" w:cs="Times New Roman"/>
          <w:sz w:val="24"/>
          <w:szCs w:val="24"/>
        </w:rPr>
      </w:pPr>
    </w:p>
    <w:p w14:paraId="219556C4" w14:textId="43179E19" w:rsidR="008C580F" w:rsidRPr="00D6728E" w:rsidRDefault="009908C6" w:rsidP="000F681F">
      <w:pPr>
        <w:ind w:firstLine="284"/>
        <w:jc w:val="both"/>
        <w:rPr>
          <w:rFonts w:ascii="Montserrat" w:eastAsia="Arial" w:hAnsi="Montserrat" w:cs="Times New Roman"/>
          <w:b/>
          <w:bCs/>
          <w:sz w:val="22"/>
          <w:szCs w:val="22"/>
        </w:rPr>
      </w:pPr>
      <w:r w:rsidRPr="00423E4F">
        <w:rPr>
          <w:rFonts w:ascii="Times New Roman" w:hAnsi="Times New Roman" w:cs="Times New Roman"/>
          <w:sz w:val="24"/>
          <w:szCs w:val="24"/>
        </w:rPr>
        <w:t xml:space="preserve">One can consider theoretical reasons behind our key finding that increasing rice and gasoline prices have a greater impact during times of higher overall inflation. The starting insights can be drawn from the time-dependent price-setting models proposed by Calvo (1983) and Taylor (2000). In these models, firms adjust their prices at fixed intervals, irrespective of current economic conditions. In the Calvo model, it posits that only a fraction of firms can adjust their prices at any given time, leading to differing degrees of price flexibility across the economy. In high inflation scenarios, those firms that can adjust their prices are likely to do so more swiftly in response to rising costs, which can exacerbate inflation. In contrast, Taylor's (2000)’s model also employed a time-dependent framework, where firms adjust prices at pre-determined intervals. According to Taylor (2000), firms tend to pass on their costs to consumer prices in an inflationary environment. However, it does not account for the randomness of which firms can change prices in any given period, potentially resulting in rigidities that prevent immediate responses to changes in costs or demand. Devereux and Siu (2007) also suggested that firms are more averse to underpricing than overpricing. In this case, firms strongly pass through higher costs to prices when they expect high inflation (Banerjee et al., 2024). </w:t>
      </w:r>
      <w:r w:rsidR="008C580F" w:rsidRPr="00D6728E">
        <w:rPr>
          <w:rFonts w:ascii="Montserrat" w:eastAsia="Arial" w:hAnsi="Montserrat" w:cs="Times New Roman"/>
          <w:b/>
          <w:bCs/>
          <w:sz w:val="22"/>
          <w:szCs w:val="22"/>
        </w:rPr>
        <w:br w:type="page"/>
      </w:r>
    </w:p>
    <w:p w14:paraId="13965811" w14:textId="77777777" w:rsidR="004E2B5B" w:rsidRPr="00D6728E" w:rsidRDefault="004E2B5B" w:rsidP="004E2B5B">
      <w:pPr>
        <w:spacing w:line="260" w:lineRule="auto"/>
        <w:jc w:val="center"/>
        <w:rPr>
          <w:rFonts w:ascii="Montserrat" w:eastAsia="Arial" w:hAnsi="Montserrat" w:cs="Times New Roman"/>
          <w:b/>
          <w:bCs/>
          <w:sz w:val="22"/>
          <w:szCs w:val="22"/>
        </w:rPr>
        <w:sectPr w:rsidR="004E2B5B" w:rsidRPr="00D6728E" w:rsidSect="00290F51">
          <w:headerReference w:type="default" r:id="rId10"/>
          <w:footerReference w:type="even" r:id="rId11"/>
          <w:footerReference w:type="default" r:id="rId12"/>
          <w:type w:val="continuous"/>
          <w:pgSz w:w="11906" w:h="16838" w:code="9"/>
          <w:pgMar w:top="1440" w:right="1440" w:bottom="1440" w:left="1440" w:header="720" w:footer="720" w:gutter="0"/>
          <w:pgNumType w:start="0"/>
          <w:cols w:space="720"/>
          <w:titlePg/>
          <w:docGrid w:linePitch="360"/>
        </w:sectPr>
      </w:pPr>
    </w:p>
    <w:p w14:paraId="046EEBA2" w14:textId="64B683E4" w:rsidR="004E2B5B" w:rsidRPr="003A4B12" w:rsidRDefault="004E2B5B" w:rsidP="004E2B5B">
      <w:pPr>
        <w:spacing w:line="260" w:lineRule="auto"/>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lastRenderedPageBreak/>
        <w:t>Figure 3</w:t>
      </w:r>
      <w:r w:rsidR="00064832">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Fixed </w:t>
      </w:r>
      <w:r w:rsidR="00064832">
        <w:rPr>
          <w:rFonts w:ascii="Times New Roman" w:eastAsia="Arial" w:hAnsi="Times New Roman" w:cs="Times New Roman"/>
          <w:b/>
          <w:bCs/>
          <w:sz w:val="24"/>
          <w:szCs w:val="24"/>
        </w:rPr>
        <w:t>e</w:t>
      </w:r>
      <w:r w:rsidRPr="003A4B12">
        <w:rPr>
          <w:rFonts w:ascii="Times New Roman" w:eastAsia="Arial" w:hAnsi="Times New Roman" w:cs="Times New Roman"/>
          <w:b/>
          <w:bCs/>
          <w:sz w:val="24"/>
          <w:szCs w:val="24"/>
        </w:rPr>
        <w:t xml:space="preserve">ffects </w:t>
      </w:r>
      <w:r w:rsidR="00064832">
        <w:rPr>
          <w:rFonts w:ascii="Times New Roman" w:eastAsia="Arial" w:hAnsi="Times New Roman" w:cs="Times New Roman"/>
          <w:b/>
          <w:bCs/>
          <w:sz w:val="24"/>
          <w:szCs w:val="24"/>
        </w:rPr>
        <w:t>q</w:t>
      </w:r>
      <w:r w:rsidRPr="003A4B12">
        <w:rPr>
          <w:rFonts w:ascii="Times New Roman" w:eastAsia="Arial" w:hAnsi="Times New Roman" w:cs="Times New Roman"/>
          <w:b/>
          <w:bCs/>
          <w:sz w:val="24"/>
          <w:szCs w:val="24"/>
        </w:rPr>
        <w:t xml:space="preserve">uantile </w:t>
      </w:r>
      <w:r w:rsidR="00064832">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egression </w:t>
      </w:r>
      <w:r w:rsidR="00064832">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esults for the </w:t>
      </w:r>
      <w:r w:rsidR="00064832">
        <w:rPr>
          <w:rFonts w:ascii="Times New Roman" w:eastAsia="Arial" w:hAnsi="Times New Roman" w:cs="Times New Roman"/>
          <w:b/>
          <w:bCs/>
          <w:sz w:val="24"/>
          <w:szCs w:val="24"/>
        </w:rPr>
        <w:t>w</w:t>
      </w:r>
      <w:r w:rsidRPr="003A4B12">
        <w:rPr>
          <w:rFonts w:ascii="Times New Roman" w:eastAsia="Arial" w:hAnsi="Times New Roman" w:cs="Times New Roman"/>
          <w:b/>
          <w:bCs/>
          <w:sz w:val="24"/>
          <w:szCs w:val="24"/>
        </w:rPr>
        <w:t xml:space="preserve">hole </w:t>
      </w:r>
      <w:r w:rsidR="00064832">
        <w:rPr>
          <w:rFonts w:ascii="Times New Roman" w:eastAsia="Arial" w:hAnsi="Times New Roman" w:cs="Times New Roman"/>
          <w:b/>
          <w:bCs/>
          <w:sz w:val="24"/>
          <w:szCs w:val="24"/>
        </w:rPr>
        <w:t>s</w:t>
      </w:r>
      <w:r w:rsidRPr="003A4B12">
        <w:rPr>
          <w:rFonts w:ascii="Times New Roman" w:eastAsia="Arial" w:hAnsi="Times New Roman" w:cs="Times New Roman"/>
          <w:b/>
          <w:bCs/>
          <w:sz w:val="24"/>
          <w:szCs w:val="24"/>
        </w:rPr>
        <w:t>ample during</w:t>
      </w:r>
      <w:r w:rsidR="00064832">
        <w:rPr>
          <w:rFonts w:ascii="Times New Roman" w:eastAsia="Arial" w:hAnsi="Times New Roman" w:cs="Times New Roman"/>
          <w:b/>
          <w:bCs/>
          <w:sz w:val="24"/>
          <w:szCs w:val="24"/>
        </w:rPr>
        <w:t xml:space="preserve"> i</w:t>
      </w:r>
      <w:r w:rsidRPr="003A4B12">
        <w:rPr>
          <w:rFonts w:ascii="Times New Roman" w:eastAsia="Arial" w:hAnsi="Times New Roman" w:cs="Times New Roman"/>
          <w:b/>
          <w:bCs/>
          <w:sz w:val="24"/>
          <w:szCs w:val="24"/>
        </w:rPr>
        <w:t xml:space="preserve">nflation </w:t>
      </w:r>
      <w:r w:rsidR="00064832">
        <w:rPr>
          <w:rFonts w:ascii="Times New Roman" w:eastAsia="Arial" w:hAnsi="Times New Roman" w:cs="Times New Roman"/>
          <w:b/>
          <w:bCs/>
          <w:sz w:val="24"/>
          <w:szCs w:val="24"/>
        </w:rPr>
        <w:t>t</w:t>
      </w:r>
      <w:r w:rsidRPr="003A4B12">
        <w:rPr>
          <w:rFonts w:ascii="Times New Roman" w:eastAsia="Arial" w:hAnsi="Times New Roman" w:cs="Times New Roman"/>
          <w:b/>
          <w:bCs/>
          <w:sz w:val="24"/>
          <w:szCs w:val="24"/>
        </w:rPr>
        <w:t xml:space="preserve">argeting and </w:t>
      </w:r>
      <w:r w:rsidR="00064832">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ice </w:t>
      </w:r>
      <w:r w:rsidR="00064832">
        <w:rPr>
          <w:rFonts w:ascii="Times New Roman" w:eastAsia="Arial" w:hAnsi="Times New Roman" w:cs="Times New Roman"/>
          <w:b/>
          <w:bCs/>
          <w:sz w:val="24"/>
          <w:szCs w:val="24"/>
        </w:rPr>
        <w:t>t</w:t>
      </w:r>
      <w:r w:rsidRPr="003A4B12">
        <w:rPr>
          <w:rFonts w:ascii="Times New Roman" w:eastAsia="Arial" w:hAnsi="Times New Roman" w:cs="Times New Roman"/>
          <w:b/>
          <w:bCs/>
          <w:sz w:val="24"/>
          <w:szCs w:val="24"/>
        </w:rPr>
        <w:t xml:space="preserve">ariffication </w:t>
      </w:r>
      <w:r w:rsidR="00064832">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eriods</w:t>
      </w:r>
    </w:p>
    <w:p w14:paraId="2E524EB0" w14:textId="77777777" w:rsidR="004E2B5B" w:rsidRPr="00D6728E" w:rsidRDefault="004E2B5B" w:rsidP="004E2B5B">
      <w:pPr>
        <w:spacing w:line="260" w:lineRule="auto"/>
        <w:jc w:val="center"/>
        <w:rPr>
          <w:rFonts w:ascii="Montserrat" w:eastAsia="Arial" w:hAnsi="Montserrat" w:cs="Times New Roman"/>
          <w:b/>
          <w:bCs/>
          <w:sz w:val="22"/>
          <w:szCs w:val="22"/>
        </w:rPr>
      </w:pPr>
    </w:p>
    <w:tbl>
      <w:tblPr>
        <w:tblStyle w:val="TableGrid"/>
        <w:tblW w:w="1403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946"/>
        <w:gridCol w:w="270"/>
        <w:gridCol w:w="2430"/>
        <w:gridCol w:w="2520"/>
        <w:gridCol w:w="236"/>
        <w:gridCol w:w="2291"/>
        <w:gridCol w:w="2835"/>
      </w:tblGrid>
      <w:tr w:rsidR="004E2B5B" w:rsidRPr="00D6728E" w14:paraId="0B908238" w14:textId="77777777" w:rsidTr="00532745">
        <w:tc>
          <w:tcPr>
            <w:tcW w:w="506" w:type="dxa"/>
            <w:tcBorders>
              <w:bottom w:val="single" w:sz="4" w:space="0" w:color="auto"/>
            </w:tcBorders>
          </w:tcPr>
          <w:p w14:paraId="26A18F8E" w14:textId="77777777" w:rsidR="004E2B5B" w:rsidRPr="00D6728E" w:rsidRDefault="004E2B5B" w:rsidP="00532745">
            <w:pPr>
              <w:rPr>
                <w:rFonts w:ascii="Montserrat" w:hAnsi="Montserrat"/>
              </w:rPr>
            </w:pPr>
          </w:p>
        </w:tc>
        <w:tc>
          <w:tcPr>
            <w:tcW w:w="2946" w:type="dxa"/>
            <w:tcBorders>
              <w:bottom w:val="single" w:sz="4" w:space="0" w:color="auto"/>
            </w:tcBorders>
          </w:tcPr>
          <w:p w14:paraId="1F0CF75B" w14:textId="77777777" w:rsidR="004E2B5B" w:rsidRPr="003A4B12" w:rsidRDefault="004E2B5B" w:rsidP="00532745">
            <w:pPr>
              <w:jc w:val="center"/>
              <w:rPr>
                <w:rFonts w:ascii="Times New Roman" w:hAnsi="Times New Roman" w:cs="Times New Roman"/>
                <w:b/>
                <w:bCs/>
                <w:sz w:val="22"/>
                <w:szCs w:val="22"/>
              </w:rPr>
            </w:pPr>
            <w:r w:rsidRPr="003A4B12">
              <w:rPr>
                <w:rFonts w:ascii="Times New Roman" w:hAnsi="Times New Roman" w:cs="Times New Roman"/>
                <w:b/>
                <w:bCs/>
                <w:sz w:val="22"/>
                <w:szCs w:val="22"/>
              </w:rPr>
              <w:t>(a) Baseline results</w:t>
            </w:r>
          </w:p>
        </w:tc>
        <w:tc>
          <w:tcPr>
            <w:tcW w:w="270" w:type="dxa"/>
          </w:tcPr>
          <w:p w14:paraId="4F7A1D73" w14:textId="77777777" w:rsidR="004E2B5B" w:rsidRPr="003A4B12" w:rsidRDefault="004E2B5B" w:rsidP="00532745">
            <w:pPr>
              <w:rPr>
                <w:rFonts w:ascii="Times New Roman" w:hAnsi="Times New Roman" w:cs="Times New Roman"/>
                <w:b/>
                <w:bCs/>
                <w:sz w:val="22"/>
                <w:szCs w:val="22"/>
              </w:rPr>
            </w:pPr>
          </w:p>
        </w:tc>
        <w:tc>
          <w:tcPr>
            <w:tcW w:w="4950" w:type="dxa"/>
            <w:gridSpan w:val="2"/>
            <w:tcBorders>
              <w:bottom w:val="single" w:sz="4" w:space="0" w:color="auto"/>
            </w:tcBorders>
          </w:tcPr>
          <w:p w14:paraId="1AC891E2" w14:textId="77777777" w:rsidR="004E2B5B" w:rsidRPr="003A4B12" w:rsidRDefault="004E2B5B" w:rsidP="00532745">
            <w:pPr>
              <w:jc w:val="center"/>
              <w:rPr>
                <w:rFonts w:ascii="Times New Roman" w:hAnsi="Times New Roman" w:cs="Times New Roman"/>
                <w:b/>
                <w:bCs/>
                <w:sz w:val="22"/>
                <w:szCs w:val="22"/>
              </w:rPr>
            </w:pPr>
            <w:r w:rsidRPr="003A4B12">
              <w:rPr>
                <w:rFonts w:ascii="Times New Roman" w:hAnsi="Times New Roman" w:cs="Times New Roman"/>
                <w:b/>
                <w:bCs/>
                <w:sz w:val="22"/>
                <w:szCs w:val="22"/>
              </w:rPr>
              <w:t>(b) Inflation targeting</w:t>
            </w:r>
          </w:p>
        </w:tc>
        <w:tc>
          <w:tcPr>
            <w:tcW w:w="236" w:type="dxa"/>
          </w:tcPr>
          <w:p w14:paraId="1B913B0F" w14:textId="77777777" w:rsidR="004E2B5B" w:rsidRPr="003A4B12" w:rsidRDefault="004E2B5B" w:rsidP="00532745">
            <w:pPr>
              <w:jc w:val="center"/>
              <w:rPr>
                <w:rFonts w:ascii="Times New Roman" w:hAnsi="Times New Roman" w:cs="Times New Roman"/>
                <w:b/>
                <w:bCs/>
                <w:sz w:val="22"/>
                <w:szCs w:val="22"/>
              </w:rPr>
            </w:pPr>
          </w:p>
        </w:tc>
        <w:tc>
          <w:tcPr>
            <w:tcW w:w="5126" w:type="dxa"/>
            <w:gridSpan w:val="2"/>
            <w:tcBorders>
              <w:bottom w:val="single" w:sz="4" w:space="0" w:color="auto"/>
            </w:tcBorders>
          </w:tcPr>
          <w:p w14:paraId="2D936B84" w14:textId="77777777" w:rsidR="004E2B5B" w:rsidRPr="003A4B12" w:rsidRDefault="004E2B5B" w:rsidP="00532745">
            <w:pPr>
              <w:jc w:val="center"/>
              <w:rPr>
                <w:rFonts w:ascii="Times New Roman" w:hAnsi="Times New Roman" w:cs="Times New Roman"/>
                <w:b/>
                <w:bCs/>
                <w:sz w:val="22"/>
                <w:szCs w:val="22"/>
              </w:rPr>
            </w:pPr>
            <w:r w:rsidRPr="003A4B12">
              <w:rPr>
                <w:rFonts w:ascii="Times New Roman" w:hAnsi="Times New Roman" w:cs="Times New Roman"/>
                <w:b/>
                <w:bCs/>
                <w:sz w:val="22"/>
                <w:szCs w:val="22"/>
              </w:rPr>
              <w:t>(c) Rice tariffication</w:t>
            </w:r>
          </w:p>
        </w:tc>
      </w:tr>
      <w:tr w:rsidR="004E2B5B" w:rsidRPr="00D6728E" w14:paraId="1D6EECD5" w14:textId="77777777" w:rsidTr="00532745">
        <w:trPr>
          <w:cantSplit/>
          <w:trHeight w:val="332"/>
        </w:trPr>
        <w:tc>
          <w:tcPr>
            <w:tcW w:w="506" w:type="dxa"/>
            <w:tcBorders>
              <w:top w:val="single" w:sz="4" w:space="0" w:color="auto"/>
              <w:bottom w:val="single" w:sz="4" w:space="0" w:color="auto"/>
            </w:tcBorders>
            <w:textDirection w:val="btLr"/>
          </w:tcPr>
          <w:p w14:paraId="41E05AF6" w14:textId="77777777" w:rsidR="004E2B5B" w:rsidRPr="00D6728E" w:rsidRDefault="004E2B5B" w:rsidP="00532745">
            <w:pPr>
              <w:ind w:left="113" w:right="113"/>
              <w:rPr>
                <w:rFonts w:ascii="Montserrat" w:hAnsi="Montserrat"/>
              </w:rPr>
            </w:pPr>
          </w:p>
        </w:tc>
        <w:tc>
          <w:tcPr>
            <w:tcW w:w="2946" w:type="dxa"/>
            <w:tcBorders>
              <w:top w:val="single" w:sz="4" w:space="0" w:color="auto"/>
              <w:bottom w:val="single" w:sz="4" w:space="0" w:color="auto"/>
            </w:tcBorders>
          </w:tcPr>
          <w:p w14:paraId="570E672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Whole sample period</w:t>
            </w:r>
          </w:p>
        </w:tc>
        <w:tc>
          <w:tcPr>
            <w:tcW w:w="270" w:type="dxa"/>
            <w:tcBorders>
              <w:bottom w:val="single" w:sz="4" w:space="0" w:color="auto"/>
            </w:tcBorders>
          </w:tcPr>
          <w:p w14:paraId="5E994B6A" w14:textId="77777777" w:rsidR="004E2B5B" w:rsidRPr="003A4B12" w:rsidRDefault="004E2B5B" w:rsidP="00532745">
            <w:pPr>
              <w:rPr>
                <w:rFonts w:ascii="Times New Roman" w:hAnsi="Times New Roman" w:cs="Times New Roman"/>
                <w:sz w:val="22"/>
                <w:szCs w:val="22"/>
              </w:rPr>
            </w:pPr>
          </w:p>
        </w:tc>
        <w:tc>
          <w:tcPr>
            <w:tcW w:w="2430" w:type="dxa"/>
            <w:tcBorders>
              <w:top w:val="single" w:sz="4" w:space="0" w:color="auto"/>
              <w:bottom w:val="single" w:sz="4" w:space="0" w:color="auto"/>
            </w:tcBorders>
          </w:tcPr>
          <w:p w14:paraId="39EF1D7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Before</w:t>
            </w:r>
          </w:p>
        </w:tc>
        <w:tc>
          <w:tcPr>
            <w:tcW w:w="2520" w:type="dxa"/>
            <w:tcBorders>
              <w:top w:val="single" w:sz="4" w:space="0" w:color="auto"/>
              <w:bottom w:val="single" w:sz="4" w:space="0" w:color="auto"/>
            </w:tcBorders>
          </w:tcPr>
          <w:p w14:paraId="25493C2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After</w:t>
            </w:r>
          </w:p>
        </w:tc>
        <w:tc>
          <w:tcPr>
            <w:tcW w:w="236" w:type="dxa"/>
            <w:tcBorders>
              <w:bottom w:val="single" w:sz="4" w:space="0" w:color="auto"/>
            </w:tcBorders>
          </w:tcPr>
          <w:p w14:paraId="0595CF02" w14:textId="77777777" w:rsidR="004E2B5B" w:rsidRPr="003A4B12" w:rsidRDefault="004E2B5B" w:rsidP="00532745">
            <w:pPr>
              <w:jc w:val="center"/>
              <w:rPr>
                <w:rFonts w:ascii="Times New Roman" w:hAnsi="Times New Roman" w:cs="Times New Roman"/>
                <w:sz w:val="22"/>
                <w:szCs w:val="22"/>
              </w:rPr>
            </w:pPr>
          </w:p>
        </w:tc>
        <w:tc>
          <w:tcPr>
            <w:tcW w:w="2291" w:type="dxa"/>
            <w:tcBorders>
              <w:top w:val="single" w:sz="4" w:space="0" w:color="auto"/>
              <w:bottom w:val="single" w:sz="4" w:space="0" w:color="auto"/>
            </w:tcBorders>
          </w:tcPr>
          <w:p w14:paraId="5F33389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Before</w:t>
            </w:r>
          </w:p>
        </w:tc>
        <w:tc>
          <w:tcPr>
            <w:tcW w:w="2835" w:type="dxa"/>
            <w:tcBorders>
              <w:top w:val="single" w:sz="4" w:space="0" w:color="auto"/>
              <w:bottom w:val="single" w:sz="4" w:space="0" w:color="auto"/>
            </w:tcBorders>
          </w:tcPr>
          <w:p w14:paraId="4B0F1A4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After</w:t>
            </w:r>
          </w:p>
        </w:tc>
      </w:tr>
      <w:tr w:rsidR="004E2B5B" w:rsidRPr="00D6728E" w14:paraId="77775D68" w14:textId="77777777" w:rsidTr="00532745">
        <w:trPr>
          <w:cantSplit/>
          <w:trHeight w:val="1981"/>
        </w:trPr>
        <w:tc>
          <w:tcPr>
            <w:tcW w:w="506" w:type="dxa"/>
            <w:tcBorders>
              <w:top w:val="single" w:sz="4" w:space="0" w:color="auto"/>
            </w:tcBorders>
            <w:textDirection w:val="btLr"/>
          </w:tcPr>
          <w:p w14:paraId="43806A37" w14:textId="77777777" w:rsidR="004E2B5B" w:rsidRPr="003A4B12" w:rsidRDefault="004E2B5B" w:rsidP="00532745">
            <w:pPr>
              <w:ind w:left="113" w:right="113"/>
              <w:rPr>
                <w:rFonts w:ascii="Times New Roman" w:hAnsi="Times New Roman" w:cs="Times New Roman"/>
                <w:sz w:val="22"/>
                <w:szCs w:val="22"/>
              </w:rPr>
            </w:pPr>
            <w:r w:rsidRPr="003A4B12">
              <w:rPr>
                <w:rFonts w:ascii="Times New Roman" w:hAnsi="Times New Roman" w:cs="Times New Roman"/>
                <w:sz w:val="22"/>
                <w:szCs w:val="22"/>
              </w:rPr>
              <w:t xml:space="preserve">              Rice</w:t>
            </w:r>
          </w:p>
        </w:tc>
        <w:tc>
          <w:tcPr>
            <w:tcW w:w="13528" w:type="dxa"/>
            <w:gridSpan w:val="7"/>
            <w:vMerge w:val="restart"/>
            <w:tcBorders>
              <w:top w:val="single" w:sz="4" w:space="0" w:color="auto"/>
            </w:tcBorders>
          </w:tcPr>
          <w:p w14:paraId="30779AB8" w14:textId="77777777" w:rsidR="004E2B5B" w:rsidRPr="00D6728E" w:rsidRDefault="004E2B5B" w:rsidP="00532745">
            <w:pPr>
              <w:rPr>
                <w:rFonts w:ascii="Montserrat" w:hAnsi="Montserrat"/>
                <w:b/>
                <w:bCs/>
              </w:rPr>
            </w:pPr>
            <w:r w:rsidRPr="00D6728E">
              <w:rPr>
                <w:rFonts w:ascii="Montserrat" w:hAnsi="Montserrat"/>
                <w:b/>
                <w:bCs/>
                <w:noProof/>
              </w:rPr>
              <w:drawing>
                <wp:inline distT="0" distB="0" distL="0" distR="0" wp14:anchorId="6A4EDD61" wp14:editId="6E8FB19F">
                  <wp:extent cx="8423906" cy="3785022"/>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different sizes and shap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423906" cy="3785022"/>
                          </a:xfrm>
                          <a:prstGeom prst="rect">
                            <a:avLst/>
                          </a:prstGeom>
                        </pic:spPr>
                      </pic:pic>
                    </a:graphicData>
                  </a:graphic>
                </wp:inline>
              </w:drawing>
            </w:r>
          </w:p>
        </w:tc>
      </w:tr>
      <w:tr w:rsidR="004E2B5B" w:rsidRPr="00D6728E" w14:paraId="73A95970" w14:textId="77777777" w:rsidTr="00532745">
        <w:trPr>
          <w:cantSplit/>
          <w:trHeight w:val="1824"/>
        </w:trPr>
        <w:tc>
          <w:tcPr>
            <w:tcW w:w="506" w:type="dxa"/>
            <w:textDirection w:val="btLr"/>
          </w:tcPr>
          <w:p w14:paraId="39475372" w14:textId="77777777" w:rsidR="004E2B5B" w:rsidRPr="003A4B12" w:rsidRDefault="004E2B5B" w:rsidP="00532745">
            <w:pPr>
              <w:ind w:left="113" w:right="113"/>
              <w:rPr>
                <w:rFonts w:ascii="Times New Roman" w:hAnsi="Times New Roman" w:cs="Times New Roman"/>
                <w:sz w:val="22"/>
                <w:szCs w:val="22"/>
              </w:rPr>
            </w:pPr>
            <w:r w:rsidRPr="003A4B12">
              <w:rPr>
                <w:rFonts w:ascii="Times New Roman" w:hAnsi="Times New Roman" w:cs="Times New Roman"/>
                <w:sz w:val="22"/>
                <w:szCs w:val="22"/>
              </w:rPr>
              <w:t xml:space="preserve">            Fuel</w:t>
            </w:r>
          </w:p>
        </w:tc>
        <w:tc>
          <w:tcPr>
            <w:tcW w:w="13528" w:type="dxa"/>
            <w:gridSpan w:val="7"/>
            <w:vMerge/>
          </w:tcPr>
          <w:p w14:paraId="00590F37" w14:textId="77777777" w:rsidR="004E2B5B" w:rsidRPr="00D6728E" w:rsidRDefault="004E2B5B" w:rsidP="00532745">
            <w:pPr>
              <w:rPr>
                <w:rFonts w:ascii="Montserrat" w:hAnsi="Montserrat"/>
                <w:b/>
                <w:bCs/>
              </w:rPr>
            </w:pPr>
          </w:p>
        </w:tc>
      </w:tr>
      <w:tr w:rsidR="004E2B5B" w:rsidRPr="00D6728E" w14:paraId="54BF531E" w14:textId="77777777" w:rsidTr="00532745">
        <w:trPr>
          <w:cantSplit/>
          <w:trHeight w:val="1347"/>
        </w:trPr>
        <w:tc>
          <w:tcPr>
            <w:tcW w:w="506" w:type="dxa"/>
            <w:tcBorders>
              <w:bottom w:val="single" w:sz="4" w:space="0" w:color="auto"/>
            </w:tcBorders>
            <w:textDirection w:val="btLr"/>
          </w:tcPr>
          <w:p w14:paraId="42D92130" w14:textId="77777777" w:rsidR="004E2B5B" w:rsidRPr="003A4B12" w:rsidRDefault="004E2B5B" w:rsidP="00532745">
            <w:pPr>
              <w:ind w:left="113" w:right="113"/>
              <w:rPr>
                <w:rFonts w:ascii="Times New Roman" w:hAnsi="Times New Roman" w:cs="Times New Roman"/>
                <w:sz w:val="22"/>
                <w:szCs w:val="22"/>
              </w:rPr>
            </w:pPr>
            <w:r w:rsidRPr="003A4B12">
              <w:rPr>
                <w:rFonts w:ascii="Times New Roman" w:hAnsi="Times New Roman" w:cs="Times New Roman"/>
                <w:sz w:val="22"/>
                <w:szCs w:val="22"/>
              </w:rPr>
              <w:t xml:space="preserve">           Remittance</w:t>
            </w:r>
          </w:p>
        </w:tc>
        <w:tc>
          <w:tcPr>
            <w:tcW w:w="13528" w:type="dxa"/>
            <w:gridSpan w:val="7"/>
            <w:vMerge/>
            <w:tcBorders>
              <w:bottom w:val="single" w:sz="4" w:space="0" w:color="auto"/>
            </w:tcBorders>
          </w:tcPr>
          <w:p w14:paraId="1EDB0E46" w14:textId="77777777" w:rsidR="004E2B5B" w:rsidRPr="00D6728E" w:rsidRDefault="004E2B5B" w:rsidP="00532745">
            <w:pPr>
              <w:rPr>
                <w:rFonts w:ascii="Montserrat" w:hAnsi="Montserrat"/>
                <w:b/>
                <w:bCs/>
              </w:rPr>
            </w:pPr>
          </w:p>
        </w:tc>
      </w:tr>
    </w:tbl>
    <w:p w14:paraId="4AE48EDF" w14:textId="77777777" w:rsidR="004E2B5B" w:rsidRPr="00D6728E" w:rsidRDefault="004E2B5B" w:rsidP="004E2B5B">
      <w:pPr>
        <w:jc w:val="both"/>
        <w:rPr>
          <w:rFonts w:ascii="Montserrat" w:eastAsia="Arial" w:hAnsi="Montserrat" w:cs="Times New Roman"/>
          <w:sz w:val="6"/>
          <w:szCs w:val="6"/>
        </w:rPr>
      </w:pPr>
    </w:p>
    <w:p w14:paraId="3D49ED35" w14:textId="14456B1D" w:rsidR="004E2B5B" w:rsidRPr="003A4B12" w:rsidRDefault="00064832" w:rsidP="004E2B5B">
      <w:pPr>
        <w:spacing w:after="240"/>
        <w:ind w:hanging="567"/>
        <w:jc w:val="both"/>
        <w:rPr>
          <w:rFonts w:ascii="Times New Roman" w:eastAsia="Arial" w:hAnsi="Times New Roman" w:cs="Times New Roman"/>
        </w:rPr>
        <w:sectPr w:rsidR="004E2B5B" w:rsidRPr="003A4B12" w:rsidSect="00290F51">
          <w:pgSz w:w="16838" w:h="11906" w:orient="landscape" w:code="9"/>
          <w:pgMar w:top="1440" w:right="1440" w:bottom="1440" w:left="1440" w:header="720" w:footer="720" w:gutter="0"/>
          <w:cols w:space="720"/>
          <w:docGrid w:linePitch="360"/>
        </w:sectPr>
      </w:pPr>
      <w:r>
        <w:rPr>
          <w:rFonts w:ascii="Times New Roman" w:eastAsia="Arial" w:hAnsi="Times New Roman" w:cs="Times New Roman"/>
        </w:rPr>
        <w:t xml:space="preserve">Note: </w:t>
      </w:r>
      <w:r w:rsidR="004E2B5B" w:rsidRPr="003A4B12">
        <w:rPr>
          <w:rFonts w:ascii="Times New Roman" w:eastAsia="Arial" w:hAnsi="Times New Roman" w:cs="Times New Roman"/>
        </w:rPr>
        <w:t xml:space="preserve">Gray shaded area is the 95% confidence interval around the point estimates. </w:t>
      </w:r>
    </w:p>
    <w:p w14:paraId="581DEF2E" w14:textId="1740B88B" w:rsidR="004E2B5B" w:rsidRPr="003A4B12" w:rsidRDefault="004E2B5B" w:rsidP="004E2B5B">
      <w:pPr>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lastRenderedPageBreak/>
        <w:t>Table 3</w:t>
      </w:r>
      <w:r w:rsidR="00064832">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Estimated </w:t>
      </w:r>
      <w:r w:rsidR="00064832">
        <w:rPr>
          <w:rFonts w:ascii="Times New Roman" w:eastAsia="Arial" w:hAnsi="Times New Roman" w:cs="Times New Roman"/>
          <w:b/>
          <w:bCs/>
          <w:sz w:val="24"/>
          <w:szCs w:val="24"/>
        </w:rPr>
        <w:t>f</w:t>
      </w:r>
      <w:r w:rsidRPr="003A4B12">
        <w:rPr>
          <w:rFonts w:ascii="Times New Roman" w:eastAsia="Arial" w:hAnsi="Times New Roman" w:cs="Times New Roman"/>
          <w:b/>
          <w:bCs/>
          <w:sz w:val="24"/>
          <w:szCs w:val="24"/>
        </w:rPr>
        <w:t xml:space="preserve">ixed </w:t>
      </w:r>
      <w:r w:rsidR="00064832">
        <w:rPr>
          <w:rFonts w:ascii="Times New Roman" w:eastAsia="Arial" w:hAnsi="Times New Roman" w:cs="Times New Roman"/>
          <w:b/>
          <w:bCs/>
          <w:sz w:val="24"/>
          <w:szCs w:val="24"/>
        </w:rPr>
        <w:t>e</w:t>
      </w:r>
      <w:r w:rsidRPr="003A4B12">
        <w:rPr>
          <w:rFonts w:ascii="Times New Roman" w:eastAsia="Arial" w:hAnsi="Times New Roman" w:cs="Times New Roman"/>
          <w:b/>
          <w:bCs/>
          <w:sz w:val="24"/>
          <w:szCs w:val="24"/>
        </w:rPr>
        <w:t xml:space="preserve">ffects </w:t>
      </w:r>
      <w:r w:rsidR="00064832">
        <w:rPr>
          <w:rFonts w:ascii="Times New Roman" w:eastAsia="Arial" w:hAnsi="Times New Roman" w:cs="Times New Roman"/>
          <w:b/>
          <w:bCs/>
          <w:sz w:val="24"/>
          <w:szCs w:val="24"/>
        </w:rPr>
        <w:t>q</w:t>
      </w:r>
      <w:r w:rsidRPr="003A4B12">
        <w:rPr>
          <w:rFonts w:ascii="Times New Roman" w:eastAsia="Arial" w:hAnsi="Times New Roman" w:cs="Times New Roman"/>
          <w:b/>
          <w:bCs/>
          <w:sz w:val="24"/>
          <w:szCs w:val="24"/>
        </w:rPr>
        <w:t xml:space="preserve">uantile </w:t>
      </w:r>
      <w:r w:rsidR="00064832">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egression </w:t>
      </w:r>
      <w:r w:rsidR="00064832">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esults for the </w:t>
      </w:r>
      <w:r w:rsidR="00064832">
        <w:rPr>
          <w:rFonts w:ascii="Times New Roman" w:eastAsia="Arial" w:hAnsi="Times New Roman" w:cs="Times New Roman"/>
          <w:b/>
          <w:bCs/>
          <w:sz w:val="24"/>
          <w:szCs w:val="24"/>
        </w:rPr>
        <w:t>w</w:t>
      </w:r>
      <w:r w:rsidRPr="003A4B12">
        <w:rPr>
          <w:rFonts w:ascii="Times New Roman" w:eastAsia="Arial" w:hAnsi="Times New Roman" w:cs="Times New Roman"/>
          <w:b/>
          <w:bCs/>
          <w:sz w:val="24"/>
          <w:szCs w:val="24"/>
        </w:rPr>
        <w:t xml:space="preserve">hole </w:t>
      </w:r>
      <w:r w:rsidR="00064832">
        <w:rPr>
          <w:rFonts w:ascii="Times New Roman" w:eastAsia="Arial" w:hAnsi="Times New Roman" w:cs="Times New Roman"/>
          <w:b/>
          <w:bCs/>
          <w:sz w:val="24"/>
          <w:szCs w:val="24"/>
        </w:rPr>
        <w:t>s</w:t>
      </w:r>
      <w:r w:rsidRPr="003A4B12">
        <w:rPr>
          <w:rFonts w:ascii="Times New Roman" w:eastAsia="Arial" w:hAnsi="Times New Roman" w:cs="Times New Roman"/>
          <w:b/>
          <w:bCs/>
          <w:sz w:val="24"/>
          <w:szCs w:val="24"/>
        </w:rPr>
        <w:t xml:space="preserve">ample </w:t>
      </w:r>
      <w:r w:rsidR="00064832">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eriod</w:t>
      </w:r>
    </w:p>
    <w:p w14:paraId="0F6DAB41" w14:textId="77777777" w:rsidR="004E2B5B" w:rsidRPr="00D6728E" w:rsidRDefault="004E2B5B" w:rsidP="004E2B5B">
      <w:pPr>
        <w:jc w:val="center"/>
        <w:rPr>
          <w:rFonts w:ascii="Montserrat" w:hAnsi="Montserrat"/>
          <w:sz w:val="6"/>
          <w:szCs w:val="6"/>
        </w:rPr>
      </w:pPr>
    </w:p>
    <w:tbl>
      <w:tblPr>
        <w:tblW w:w="14470" w:type="dxa"/>
        <w:tblInd w:w="-709" w:type="dxa"/>
        <w:tblLook w:val="04A0" w:firstRow="1" w:lastRow="0" w:firstColumn="1" w:lastColumn="0" w:noHBand="0" w:noVBand="1"/>
      </w:tblPr>
      <w:tblGrid>
        <w:gridCol w:w="3119"/>
        <w:gridCol w:w="1134"/>
        <w:gridCol w:w="1134"/>
        <w:gridCol w:w="1134"/>
        <w:gridCol w:w="1134"/>
        <w:gridCol w:w="1134"/>
        <w:gridCol w:w="1134"/>
        <w:gridCol w:w="1220"/>
        <w:gridCol w:w="1059"/>
        <w:gridCol w:w="1134"/>
        <w:gridCol w:w="1134"/>
      </w:tblGrid>
      <w:tr w:rsidR="004E2B5B" w:rsidRPr="00D6728E" w14:paraId="5FF86D73" w14:textId="77777777" w:rsidTr="00532745">
        <w:trPr>
          <w:trHeight w:val="255"/>
        </w:trPr>
        <w:tc>
          <w:tcPr>
            <w:tcW w:w="3119" w:type="dxa"/>
            <w:tcBorders>
              <w:top w:val="single" w:sz="4" w:space="0" w:color="auto"/>
              <w:left w:val="nil"/>
              <w:bottom w:val="nil"/>
              <w:right w:val="nil"/>
            </w:tcBorders>
            <w:shd w:val="clear" w:color="auto" w:fill="auto"/>
            <w:noWrap/>
            <w:vAlign w:val="center"/>
            <w:hideMark/>
          </w:tcPr>
          <w:p w14:paraId="7D4F9388" w14:textId="77777777" w:rsidR="004E2B5B" w:rsidRPr="00D6728E" w:rsidRDefault="004E2B5B" w:rsidP="00532745">
            <w:pPr>
              <w:rPr>
                <w:rFonts w:ascii="Montserrat" w:hAnsi="Montserrat"/>
                <w:b/>
                <w:bCs/>
                <w:color w:val="000000"/>
              </w:rPr>
            </w:pPr>
            <w:r w:rsidRPr="00D6728E">
              <w:rPr>
                <w:rFonts w:ascii="Montserrat" w:hAnsi="Montserrat"/>
                <w:b/>
                <w:bCs/>
                <w:color w:val="000000"/>
              </w:rPr>
              <w:t> </w:t>
            </w:r>
          </w:p>
        </w:tc>
        <w:tc>
          <w:tcPr>
            <w:tcW w:w="1134" w:type="dxa"/>
            <w:tcBorders>
              <w:top w:val="single" w:sz="4" w:space="0" w:color="auto"/>
              <w:left w:val="nil"/>
              <w:bottom w:val="nil"/>
              <w:right w:val="nil"/>
            </w:tcBorders>
            <w:shd w:val="clear" w:color="auto" w:fill="auto"/>
            <w:vAlign w:val="center"/>
            <w:hideMark/>
          </w:tcPr>
          <w:p w14:paraId="70DBCE13" w14:textId="77777777" w:rsidR="004E2B5B" w:rsidRPr="00D6728E" w:rsidRDefault="004E2B5B" w:rsidP="00532745">
            <w:pPr>
              <w:rPr>
                <w:rFonts w:ascii="Montserrat" w:hAnsi="Montserrat"/>
                <w:b/>
                <w:bCs/>
                <w:color w:val="000000"/>
              </w:rPr>
            </w:pPr>
            <w:r w:rsidRPr="00D6728E">
              <w:rPr>
                <w:rFonts w:ascii="Montserrat" w:hAnsi="Montserrat"/>
                <w:b/>
                <w:bCs/>
                <w:color w:val="000000"/>
              </w:rPr>
              <w:t> </w:t>
            </w:r>
          </w:p>
        </w:tc>
        <w:tc>
          <w:tcPr>
            <w:tcW w:w="10217" w:type="dxa"/>
            <w:gridSpan w:val="9"/>
            <w:tcBorders>
              <w:top w:val="single" w:sz="4" w:space="0" w:color="auto"/>
              <w:left w:val="nil"/>
              <w:bottom w:val="single" w:sz="4" w:space="0" w:color="auto"/>
              <w:right w:val="nil"/>
            </w:tcBorders>
            <w:shd w:val="clear" w:color="auto" w:fill="auto"/>
            <w:noWrap/>
            <w:vAlign w:val="center"/>
            <w:hideMark/>
          </w:tcPr>
          <w:p w14:paraId="3B7DB0E7" w14:textId="77777777" w:rsidR="004E2B5B" w:rsidRPr="00D6728E" w:rsidRDefault="004E2B5B" w:rsidP="00532745">
            <w:pPr>
              <w:rPr>
                <w:rFonts w:ascii="Montserrat" w:hAnsi="Montserrat"/>
                <w:b/>
                <w:bCs/>
                <w:color w:val="000000"/>
              </w:rPr>
            </w:pPr>
            <w:r w:rsidRPr="00D6728E">
              <w:rPr>
                <w:rFonts w:ascii="Cambria" w:hAnsi="Cambria" w:cs="Cambria"/>
                <w:b/>
                <w:bCs/>
                <w:color w:val="000000"/>
              </w:rPr>
              <w:t>τ</w:t>
            </w:r>
          </w:p>
        </w:tc>
      </w:tr>
      <w:tr w:rsidR="004E2B5B" w:rsidRPr="00D6728E" w14:paraId="2CFB69C7" w14:textId="77777777" w:rsidTr="00532745">
        <w:trPr>
          <w:trHeight w:val="255"/>
        </w:trPr>
        <w:tc>
          <w:tcPr>
            <w:tcW w:w="3119" w:type="dxa"/>
            <w:tcBorders>
              <w:top w:val="nil"/>
              <w:left w:val="nil"/>
              <w:bottom w:val="single" w:sz="4" w:space="0" w:color="auto"/>
              <w:right w:val="nil"/>
            </w:tcBorders>
            <w:shd w:val="clear" w:color="auto" w:fill="auto"/>
            <w:noWrap/>
            <w:vAlign w:val="center"/>
            <w:hideMark/>
          </w:tcPr>
          <w:p w14:paraId="588BC552" w14:textId="77777777" w:rsidR="004E2B5B" w:rsidRPr="003A4B12" w:rsidRDefault="004E2B5B" w:rsidP="00532745">
            <w:pP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Variables</w:t>
            </w:r>
          </w:p>
        </w:tc>
        <w:tc>
          <w:tcPr>
            <w:tcW w:w="1134" w:type="dxa"/>
            <w:tcBorders>
              <w:top w:val="nil"/>
              <w:left w:val="nil"/>
              <w:bottom w:val="single" w:sz="4" w:space="0" w:color="auto"/>
              <w:right w:val="nil"/>
            </w:tcBorders>
            <w:shd w:val="clear" w:color="auto" w:fill="auto"/>
            <w:vAlign w:val="center"/>
            <w:hideMark/>
          </w:tcPr>
          <w:p w14:paraId="051DADE3" w14:textId="77777777" w:rsidR="004E2B5B" w:rsidRPr="003A4B12" w:rsidRDefault="004E2B5B" w:rsidP="00532745">
            <w:pP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OLS</w:t>
            </w:r>
          </w:p>
        </w:tc>
        <w:tc>
          <w:tcPr>
            <w:tcW w:w="1134" w:type="dxa"/>
            <w:tcBorders>
              <w:top w:val="nil"/>
              <w:left w:val="nil"/>
              <w:bottom w:val="single" w:sz="4" w:space="0" w:color="auto"/>
              <w:right w:val="nil"/>
            </w:tcBorders>
            <w:shd w:val="clear" w:color="auto" w:fill="auto"/>
            <w:noWrap/>
            <w:vAlign w:val="center"/>
            <w:hideMark/>
          </w:tcPr>
          <w:p w14:paraId="5EA4A1CC"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0.1</w:t>
            </w:r>
          </w:p>
        </w:tc>
        <w:tc>
          <w:tcPr>
            <w:tcW w:w="1134" w:type="dxa"/>
            <w:tcBorders>
              <w:top w:val="nil"/>
              <w:left w:val="nil"/>
              <w:bottom w:val="single" w:sz="4" w:space="0" w:color="auto"/>
              <w:right w:val="nil"/>
            </w:tcBorders>
            <w:shd w:val="clear" w:color="auto" w:fill="auto"/>
            <w:noWrap/>
            <w:vAlign w:val="center"/>
            <w:hideMark/>
          </w:tcPr>
          <w:p w14:paraId="6CE0021F"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0.2</w:t>
            </w:r>
          </w:p>
        </w:tc>
        <w:tc>
          <w:tcPr>
            <w:tcW w:w="1134" w:type="dxa"/>
            <w:tcBorders>
              <w:top w:val="nil"/>
              <w:left w:val="nil"/>
              <w:bottom w:val="single" w:sz="4" w:space="0" w:color="auto"/>
              <w:right w:val="nil"/>
            </w:tcBorders>
            <w:shd w:val="clear" w:color="auto" w:fill="auto"/>
            <w:noWrap/>
            <w:vAlign w:val="center"/>
            <w:hideMark/>
          </w:tcPr>
          <w:p w14:paraId="68BE587E"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0.3</w:t>
            </w:r>
          </w:p>
        </w:tc>
        <w:tc>
          <w:tcPr>
            <w:tcW w:w="1134" w:type="dxa"/>
            <w:tcBorders>
              <w:top w:val="nil"/>
              <w:left w:val="nil"/>
              <w:bottom w:val="single" w:sz="4" w:space="0" w:color="auto"/>
              <w:right w:val="nil"/>
            </w:tcBorders>
            <w:shd w:val="clear" w:color="auto" w:fill="auto"/>
            <w:noWrap/>
            <w:vAlign w:val="center"/>
            <w:hideMark/>
          </w:tcPr>
          <w:p w14:paraId="6955D614"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0.4</w:t>
            </w:r>
          </w:p>
        </w:tc>
        <w:tc>
          <w:tcPr>
            <w:tcW w:w="1134" w:type="dxa"/>
            <w:tcBorders>
              <w:top w:val="nil"/>
              <w:left w:val="nil"/>
              <w:bottom w:val="single" w:sz="4" w:space="0" w:color="auto"/>
              <w:right w:val="nil"/>
            </w:tcBorders>
            <w:shd w:val="clear" w:color="auto" w:fill="auto"/>
            <w:noWrap/>
            <w:vAlign w:val="center"/>
            <w:hideMark/>
          </w:tcPr>
          <w:p w14:paraId="1D02A438"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0.5</w:t>
            </w:r>
          </w:p>
        </w:tc>
        <w:tc>
          <w:tcPr>
            <w:tcW w:w="1220" w:type="dxa"/>
            <w:tcBorders>
              <w:top w:val="nil"/>
              <w:left w:val="nil"/>
              <w:bottom w:val="single" w:sz="4" w:space="0" w:color="auto"/>
              <w:right w:val="nil"/>
            </w:tcBorders>
            <w:shd w:val="clear" w:color="auto" w:fill="auto"/>
            <w:noWrap/>
            <w:vAlign w:val="center"/>
            <w:hideMark/>
          </w:tcPr>
          <w:p w14:paraId="0962C1DA"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0.6</w:t>
            </w:r>
          </w:p>
        </w:tc>
        <w:tc>
          <w:tcPr>
            <w:tcW w:w="1059" w:type="dxa"/>
            <w:tcBorders>
              <w:top w:val="nil"/>
              <w:left w:val="nil"/>
              <w:bottom w:val="single" w:sz="4" w:space="0" w:color="auto"/>
              <w:right w:val="nil"/>
            </w:tcBorders>
            <w:shd w:val="clear" w:color="auto" w:fill="auto"/>
            <w:noWrap/>
            <w:vAlign w:val="center"/>
            <w:hideMark/>
          </w:tcPr>
          <w:p w14:paraId="2CB382F1"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0.7</w:t>
            </w:r>
          </w:p>
        </w:tc>
        <w:tc>
          <w:tcPr>
            <w:tcW w:w="1134" w:type="dxa"/>
            <w:tcBorders>
              <w:top w:val="nil"/>
              <w:left w:val="nil"/>
              <w:bottom w:val="single" w:sz="4" w:space="0" w:color="auto"/>
              <w:right w:val="nil"/>
            </w:tcBorders>
            <w:shd w:val="clear" w:color="auto" w:fill="auto"/>
            <w:noWrap/>
            <w:vAlign w:val="center"/>
            <w:hideMark/>
          </w:tcPr>
          <w:p w14:paraId="7DB31A9C"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0.8</w:t>
            </w:r>
          </w:p>
        </w:tc>
        <w:tc>
          <w:tcPr>
            <w:tcW w:w="1134" w:type="dxa"/>
            <w:tcBorders>
              <w:top w:val="nil"/>
              <w:left w:val="nil"/>
              <w:bottom w:val="single" w:sz="4" w:space="0" w:color="auto"/>
              <w:right w:val="nil"/>
            </w:tcBorders>
            <w:shd w:val="clear" w:color="auto" w:fill="auto"/>
            <w:noWrap/>
            <w:vAlign w:val="center"/>
            <w:hideMark/>
          </w:tcPr>
          <w:p w14:paraId="5B10C250" w14:textId="77777777" w:rsidR="004E2B5B" w:rsidRPr="003A4B12" w:rsidRDefault="004E2B5B" w:rsidP="00532745">
            <w:pPr>
              <w:jc w:val="center"/>
              <w:rPr>
                <w:rFonts w:ascii="Times New Roman" w:hAnsi="Times New Roman" w:cs="Times New Roman"/>
                <w:b/>
                <w:bCs/>
                <w:color w:val="000000"/>
                <w:sz w:val="22"/>
                <w:szCs w:val="22"/>
              </w:rPr>
            </w:pPr>
            <w:r w:rsidRPr="003A4B12">
              <w:rPr>
                <w:rFonts w:ascii="Times New Roman" w:hAnsi="Times New Roman" w:cs="Times New Roman"/>
                <w:b/>
                <w:bCs/>
                <w:color w:val="000000"/>
                <w:sz w:val="22"/>
                <w:szCs w:val="22"/>
              </w:rPr>
              <w:t>0.9</w:t>
            </w:r>
          </w:p>
        </w:tc>
      </w:tr>
      <w:tr w:rsidR="004E2B5B" w:rsidRPr="00D6728E" w14:paraId="76F6D4D3" w14:textId="77777777" w:rsidTr="00532745">
        <w:trPr>
          <w:trHeight w:val="255"/>
        </w:trPr>
        <w:tc>
          <w:tcPr>
            <w:tcW w:w="3119" w:type="dxa"/>
            <w:tcBorders>
              <w:top w:val="nil"/>
              <w:left w:val="nil"/>
              <w:bottom w:val="nil"/>
              <w:right w:val="nil"/>
            </w:tcBorders>
            <w:shd w:val="clear" w:color="auto" w:fill="auto"/>
            <w:noWrap/>
            <w:vAlign w:val="bottom"/>
            <w:hideMark/>
          </w:tcPr>
          <w:p w14:paraId="4415D4A7" w14:textId="77777777" w:rsidR="004E2B5B" w:rsidRPr="00D6728E" w:rsidRDefault="004E2B5B" w:rsidP="00532745">
            <w:pPr>
              <w:jc w:val="center"/>
              <w:rPr>
                <w:rFonts w:ascii="Montserrat" w:hAnsi="Montserrat"/>
                <w:color w:val="000000"/>
              </w:rPr>
            </w:pPr>
          </w:p>
        </w:tc>
        <w:tc>
          <w:tcPr>
            <w:tcW w:w="1134" w:type="dxa"/>
            <w:tcBorders>
              <w:top w:val="nil"/>
              <w:left w:val="nil"/>
              <w:bottom w:val="nil"/>
              <w:right w:val="nil"/>
            </w:tcBorders>
            <w:shd w:val="clear" w:color="auto" w:fill="auto"/>
            <w:noWrap/>
            <w:vAlign w:val="bottom"/>
            <w:hideMark/>
          </w:tcPr>
          <w:p w14:paraId="148BF0F3" w14:textId="77777777" w:rsidR="004E2B5B" w:rsidRPr="00D6728E" w:rsidRDefault="004E2B5B" w:rsidP="00532745">
            <w:pPr>
              <w:rPr>
                <w:rFonts w:ascii="Montserrat" w:hAnsi="Montserrat"/>
              </w:rPr>
            </w:pPr>
          </w:p>
        </w:tc>
        <w:tc>
          <w:tcPr>
            <w:tcW w:w="1134" w:type="dxa"/>
            <w:tcBorders>
              <w:top w:val="nil"/>
              <w:left w:val="nil"/>
              <w:bottom w:val="nil"/>
              <w:right w:val="nil"/>
            </w:tcBorders>
            <w:shd w:val="clear" w:color="auto" w:fill="auto"/>
            <w:noWrap/>
            <w:vAlign w:val="bottom"/>
            <w:hideMark/>
          </w:tcPr>
          <w:p w14:paraId="57A74B6E" w14:textId="77777777" w:rsidR="004E2B5B" w:rsidRPr="00D6728E" w:rsidRDefault="004E2B5B" w:rsidP="00532745">
            <w:pPr>
              <w:jc w:val="center"/>
              <w:rPr>
                <w:rFonts w:ascii="Montserrat" w:hAnsi="Montserrat"/>
              </w:rPr>
            </w:pPr>
          </w:p>
        </w:tc>
        <w:tc>
          <w:tcPr>
            <w:tcW w:w="1134" w:type="dxa"/>
            <w:tcBorders>
              <w:top w:val="nil"/>
              <w:left w:val="nil"/>
              <w:bottom w:val="nil"/>
              <w:right w:val="nil"/>
            </w:tcBorders>
            <w:shd w:val="clear" w:color="auto" w:fill="auto"/>
            <w:noWrap/>
            <w:vAlign w:val="bottom"/>
            <w:hideMark/>
          </w:tcPr>
          <w:p w14:paraId="48059ACB" w14:textId="77777777" w:rsidR="004E2B5B" w:rsidRPr="00D6728E" w:rsidRDefault="004E2B5B" w:rsidP="00532745">
            <w:pPr>
              <w:jc w:val="center"/>
              <w:rPr>
                <w:rFonts w:ascii="Montserrat" w:hAnsi="Montserrat"/>
              </w:rPr>
            </w:pPr>
          </w:p>
        </w:tc>
        <w:tc>
          <w:tcPr>
            <w:tcW w:w="1134" w:type="dxa"/>
            <w:tcBorders>
              <w:top w:val="nil"/>
              <w:left w:val="nil"/>
              <w:bottom w:val="nil"/>
              <w:right w:val="nil"/>
            </w:tcBorders>
            <w:shd w:val="clear" w:color="auto" w:fill="auto"/>
            <w:noWrap/>
            <w:vAlign w:val="bottom"/>
            <w:hideMark/>
          </w:tcPr>
          <w:p w14:paraId="1A1043CD" w14:textId="77777777" w:rsidR="004E2B5B" w:rsidRPr="00D6728E" w:rsidRDefault="004E2B5B" w:rsidP="00532745">
            <w:pPr>
              <w:jc w:val="center"/>
              <w:rPr>
                <w:rFonts w:ascii="Montserrat" w:hAnsi="Montserrat"/>
              </w:rPr>
            </w:pPr>
          </w:p>
        </w:tc>
        <w:tc>
          <w:tcPr>
            <w:tcW w:w="1134" w:type="dxa"/>
            <w:tcBorders>
              <w:top w:val="nil"/>
              <w:left w:val="nil"/>
              <w:bottom w:val="nil"/>
              <w:right w:val="nil"/>
            </w:tcBorders>
            <w:shd w:val="clear" w:color="auto" w:fill="auto"/>
            <w:noWrap/>
            <w:vAlign w:val="bottom"/>
            <w:hideMark/>
          </w:tcPr>
          <w:p w14:paraId="7D05D215" w14:textId="77777777" w:rsidR="004E2B5B" w:rsidRPr="00D6728E" w:rsidRDefault="004E2B5B" w:rsidP="00532745">
            <w:pPr>
              <w:jc w:val="center"/>
              <w:rPr>
                <w:rFonts w:ascii="Montserrat" w:hAnsi="Montserrat"/>
              </w:rPr>
            </w:pPr>
          </w:p>
        </w:tc>
        <w:tc>
          <w:tcPr>
            <w:tcW w:w="1134" w:type="dxa"/>
            <w:tcBorders>
              <w:top w:val="nil"/>
              <w:left w:val="nil"/>
              <w:bottom w:val="nil"/>
              <w:right w:val="nil"/>
            </w:tcBorders>
            <w:shd w:val="clear" w:color="auto" w:fill="auto"/>
            <w:noWrap/>
            <w:vAlign w:val="bottom"/>
            <w:hideMark/>
          </w:tcPr>
          <w:p w14:paraId="63595BD3" w14:textId="77777777" w:rsidR="004E2B5B" w:rsidRPr="00D6728E" w:rsidRDefault="004E2B5B" w:rsidP="00532745">
            <w:pPr>
              <w:jc w:val="center"/>
              <w:rPr>
                <w:rFonts w:ascii="Montserrat" w:hAnsi="Montserrat"/>
              </w:rPr>
            </w:pPr>
          </w:p>
        </w:tc>
        <w:tc>
          <w:tcPr>
            <w:tcW w:w="1220" w:type="dxa"/>
            <w:tcBorders>
              <w:top w:val="nil"/>
              <w:left w:val="nil"/>
              <w:bottom w:val="nil"/>
              <w:right w:val="nil"/>
            </w:tcBorders>
            <w:shd w:val="clear" w:color="auto" w:fill="auto"/>
            <w:noWrap/>
            <w:vAlign w:val="bottom"/>
            <w:hideMark/>
          </w:tcPr>
          <w:p w14:paraId="76249294" w14:textId="77777777" w:rsidR="004E2B5B" w:rsidRPr="00D6728E" w:rsidRDefault="004E2B5B" w:rsidP="00532745">
            <w:pPr>
              <w:jc w:val="center"/>
              <w:rPr>
                <w:rFonts w:ascii="Montserrat" w:hAnsi="Montserrat"/>
              </w:rPr>
            </w:pPr>
          </w:p>
        </w:tc>
        <w:tc>
          <w:tcPr>
            <w:tcW w:w="1059" w:type="dxa"/>
            <w:tcBorders>
              <w:top w:val="nil"/>
              <w:left w:val="nil"/>
              <w:bottom w:val="nil"/>
              <w:right w:val="nil"/>
            </w:tcBorders>
            <w:shd w:val="clear" w:color="auto" w:fill="auto"/>
            <w:noWrap/>
            <w:vAlign w:val="bottom"/>
            <w:hideMark/>
          </w:tcPr>
          <w:p w14:paraId="74182B4D" w14:textId="77777777" w:rsidR="004E2B5B" w:rsidRPr="00D6728E" w:rsidRDefault="004E2B5B" w:rsidP="00532745">
            <w:pPr>
              <w:jc w:val="center"/>
              <w:rPr>
                <w:rFonts w:ascii="Montserrat" w:hAnsi="Montserrat"/>
              </w:rPr>
            </w:pPr>
          </w:p>
        </w:tc>
        <w:tc>
          <w:tcPr>
            <w:tcW w:w="1134" w:type="dxa"/>
            <w:tcBorders>
              <w:top w:val="nil"/>
              <w:left w:val="nil"/>
              <w:bottom w:val="nil"/>
              <w:right w:val="nil"/>
            </w:tcBorders>
            <w:shd w:val="clear" w:color="auto" w:fill="auto"/>
            <w:noWrap/>
            <w:vAlign w:val="bottom"/>
            <w:hideMark/>
          </w:tcPr>
          <w:p w14:paraId="5E422CC5" w14:textId="77777777" w:rsidR="004E2B5B" w:rsidRPr="00D6728E" w:rsidRDefault="004E2B5B" w:rsidP="00532745">
            <w:pPr>
              <w:jc w:val="center"/>
              <w:rPr>
                <w:rFonts w:ascii="Montserrat" w:hAnsi="Montserrat"/>
              </w:rPr>
            </w:pPr>
          </w:p>
        </w:tc>
        <w:tc>
          <w:tcPr>
            <w:tcW w:w="1134" w:type="dxa"/>
            <w:tcBorders>
              <w:top w:val="nil"/>
              <w:left w:val="nil"/>
              <w:bottom w:val="nil"/>
              <w:right w:val="nil"/>
            </w:tcBorders>
            <w:shd w:val="clear" w:color="auto" w:fill="auto"/>
            <w:noWrap/>
            <w:vAlign w:val="bottom"/>
            <w:hideMark/>
          </w:tcPr>
          <w:p w14:paraId="2BBC6EE3" w14:textId="77777777" w:rsidR="004E2B5B" w:rsidRPr="00D6728E" w:rsidRDefault="004E2B5B" w:rsidP="00532745">
            <w:pPr>
              <w:jc w:val="center"/>
              <w:rPr>
                <w:rFonts w:ascii="Montserrat" w:hAnsi="Montserrat"/>
              </w:rPr>
            </w:pPr>
          </w:p>
        </w:tc>
      </w:tr>
      <w:tr w:rsidR="004E2B5B" w:rsidRPr="00D6728E" w14:paraId="33321B01" w14:textId="77777777" w:rsidTr="00532745">
        <w:trPr>
          <w:trHeight w:val="255"/>
        </w:trPr>
        <w:tc>
          <w:tcPr>
            <w:tcW w:w="3119" w:type="dxa"/>
            <w:tcBorders>
              <w:top w:val="nil"/>
              <w:left w:val="nil"/>
              <w:bottom w:val="nil"/>
              <w:right w:val="nil"/>
            </w:tcBorders>
            <w:shd w:val="clear" w:color="auto" w:fill="auto"/>
            <w:noWrap/>
            <w:vAlign w:val="bottom"/>
            <w:hideMark/>
          </w:tcPr>
          <w:p w14:paraId="764FA519"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Rice price inflation</w:t>
            </w:r>
          </w:p>
        </w:tc>
        <w:tc>
          <w:tcPr>
            <w:tcW w:w="1134" w:type="dxa"/>
            <w:tcBorders>
              <w:top w:val="nil"/>
              <w:left w:val="nil"/>
              <w:bottom w:val="nil"/>
              <w:right w:val="nil"/>
            </w:tcBorders>
            <w:shd w:val="clear" w:color="auto" w:fill="auto"/>
            <w:noWrap/>
            <w:vAlign w:val="bottom"/>
            <w:hideMark/>
          </w:tcPr>
          <w:p w14:paraId="687DB96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0.1530</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3A3F627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0.1479</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2CB231B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0.1499</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4B2A57A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0.1511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32718C8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0.1521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49287E8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0.1529</w:t>
            </w:r>
            <w:r w:rsidRPr="003A4B12">
              <w:rPr>
                <w:rFonts w:ascii="Times New Roman" w:hAnsi="Times New Roman" w:cs="Times New Roman"/>
                <w:sz w:val="22"/>
                <w:szCs w:val="22"/>
                <w:vertAlign w:val="superscript"/>
              </w:rPr>
              <w:t>***</w:t>
            </w:r>
          </w:p>
        </w:tc>
        <w:tc>
          <w:tcPr>
            <w:tcW w:w="1220" w:type="dxa"/>
            <w:tcBorders>
              <w:top w:val="nil"/>
              <w:left w:val="nil"/>
              <w:bottom w:val="nil"/>
              <w:right w:val="nil"/>
            </w:tcBorders>
            <w:shd w:val="clear" w:color="auto" w:fill="auto"/>
            <w:noWrap/>
            <w:vAlign w:val="bottom"/>
            <w:hideMark/>
          </w:tcPr>
          <w:p w14:paraId="318B652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0.1538</w:t>
            </w:r>
            <w:r w:rsidRPr="003A4B12">
              <w:rPr>
                <w:rFonts w:ascii="Times New Roman" w:hAnsi="Times New Roman" w:cs="Times New Roman"/>
                <w:sz w:val="22"/>
                <w:szCs w:val="22"/>
                <w:vertAlign w:val="superscript"/>
              </w:rPr>
              <w:t>***</w:t>
            </w:r>
          </w:p>
        </w:tc>
        <w:tc>
          <w:tcPr>
            <w:tcW w:w="1059" w:type="dxa"/>
            <w:tcBorders>
              <w:top w:val="nil"/>
              <w:left w:val="nil"/>
              <w:bottom w:val="nil"/>
              <w:right w:val="nil"/>
            </w:tcBorders>
            <w:shd w:val="clear" w:color="auto" w:fill="auto"/>
            <w:noWrap/>
            <w:vAlign w:val="bottom"/>
            <w:hideMark/>
          </w:tcPr>
          <w:p w14:paraId="4BB3532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0.1548</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398A6A9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0.1560</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E28181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0.1580</w:t>
            </w:r>
            <w:r w:rsidRPr="003A4B12">
              <w:rPr>
                <w:rFonts w:ascii="Times New Roman" w:hAnsi="Times New Roman" w:cs="Times New Roman"/>
                <w:sz w:val="22"/>
                <w:szCs w:val="22"/>
                <w:vertAlign w:val="superscript"/>
              </w:rPr>
              <w:t>***</w:t>
            </w:r>
          </w:p>
        </w:tc>
      </w:tr>
      <w:tr w:rsidR="004E2B5B" w:rsidRPr="00D6728E" w14:paraId="5E56C44E" w14:textId="77777777" w:rsidTr="00532745">
        <w:trPr>
          <w:trHeight w:val="255"/>
        </w:trPr>
        <w:tc>
          <w:tcPr>
            <w:tcW w:w="3119" w:type="dxa"/>
            <w:tcBorders>
              <w:top w:val="nil"/>
              <w:left w:val="nil"/>
              <w:bottom w:val="nil"/>
              <w:right w:val="nil"/>
            </w:tcBorders>
            <w:shd w:val="clear" w:color="auto" w:fill="auto"/>
            <w:noWrap/>
            <w:vAlign w:val="bottom"/>
            <w:hideMark/>
          </w:tcPr>
          <w:p w14:paraId="2442C29E"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3030E54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5ED9231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4B23458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23300E2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059C0FD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4F196A6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220" w:type="dxa"/>
            <w:tcBorders>
              <w:top w:val="nil"/>
              <w:left w:val="nil"/>
              <w:bottom w:val="nil"/>
              <w:right w:val="nil"/>
            </w:tcBorders>
            <w:shd w:val="clear" w:color="auto" w:fill="auto"/>
            <w:noWrap/>
            <w:vAlign w:val="bottom"/>
            <w:hideMark/>
          </w:tcPr>
          <w:p w14:paraId="1D12BD9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059" w:type="dxa"/>
            <w:tcBorders>
              <w:top w:val="nil"/>
              <w:left w:val="nil"/>
              <w:bottom w:val="nil"/>
              <w:right w:val="nil"/>
            </w:tcBorders>
            <w:shd w:val="clear" w:color="auto" w:fill="auto"/>
            <w:noWrap/>
            <w:vAlign w:val="bottom"/>
            <w:hideMark/>
          </w:tcPr>
          <w:p w14:paraId="7300261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67C2313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FE63A4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r>
      <w:tr w:rsidR="004E2B5B" w:rsidRPr="00D6728E" w14:paraId="1E8A60B4" w14:textId="77777777" w:rsidTr="00532745">
        <w:trPr>
          <w:trHeight w:val="255"/>
        </w:trPr>
        <w:tc>
          <w:tcPr>
            <w:tcW w:w="3119" w:type="dxa"/>
            <w:tcBorders>
              <w:top w:val="nil"/>
              <w:left w:val="nil"/>
              <w:bottom w:val="nil"/>
              <w:right w:val="nil"/>
            </w:tcBorders>
            <w:shd w:val="clear" w:color="auto" w:fill="auto"/>
            <w:noWrap/>
            <w:vAlign w:val="bottom"/>
            <w:hideMark/>
          </w:tcPr>
          <w:p w14:paraId="41B5D09C"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Fuel price inflation</w:t>
            </w:r>
          </w:p>
        </w:tc>
        <w:tc>
          <w:tcPr>
            <w:tcW w:w="1134" w:type="dxa"/>
            <w:tcBorders>
              <w:top w:val="nil"/>
              <w:left w:val="nil"/>
              <w:bottom w:val="nil"/>
              <w:right w:val="nil"/>
            </w:tcBorders>
            <w:shd w:val="clear" w:color="auto" w:fill="auto"/>
            <w:noWrap/>
            <w:vAlign w:val="bottom"/>
            <w:hideMark/>
          </w:tcPr>
          <w:p w14:paraId="7710B63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0.0105</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572AD84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0.0044 </w:t>
            </w:r>
          </w:p>
        </w:tc>
        <w:tc>
          <w:tcPr>
            <w:tcW w:w="1134" w:type="dxa"/>
            <w:tcBorders>
              <w:top w:val="nil"/>
              <w:left w:val="nil"/>
              <w:bottom w:val="nil"/>
              <w:right w:val="nil"/>
            </w:tcBorders>
            <w:shd w:val="clear" w:color="auto" w:fill="auto"/>
            <w:noWrap/>
            <w:vAlign w:val="bottom"/>
            <w:hideMark/>
          </w:tcPr>
          <w:p w14:paraId="21B92C7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0.0068 </w:t>
            </w:r>
          </w:p>
        </w:tc>
        <w:tc>
          <w:tcPr>
            <w:tcW w:w="1134" w:type="dxa"/>
            <w:tcBorders>
              <w:top w:val="nil"/>
              <w:left w:val="nil"/>
              <w:bottom w:val="nil"/>
              <w:right w:val="nil"/>
            </w:tcBorders>
            <w:shd w:val="clear" w:color="auto" w:fill="auto"/>
            <w:noWrap/>
            <w:vAlign w:val="bottom"/>
            <w:hideMark/>
          </w:tcPr>
          <w:p w14:paraId="57EA811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0.0083 </w:t>
            </w:r>
          </w:p>
        </w:tc>
        <w:tc>
          <w:tcPr>
            <w:tcW w:w="1134" w:type="dxa"/>
            <w:tcBorders>
              <w:top w:val="nil"/>
              <w:left w:val="nil"/>
              <w:bottom w:val="nil"/>
              <w:right w:val="nil"/>
            </w:tcBorders>
            <w:shd w:val="clear" w:color="auto" w:fill="auto"/>
            <w:noWrap/>
            <w:vAlign w:val="bottom"/>
            <w:hideMark/>
          </w:tcPr>
          <w:p w14:paraId="5A66C58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0.0094 </w:t>
            </w:r>
          </w:p>
        </w:tc>
        <w:tc>
          <w:tcPr>
            <w:tcW w:w="1134" w:type="dxa"/>
            <w:tcBorders>
              <w:top w:val="nil"/>
              <w:left w:val="nil"/>
              <w:bottom w:val="nil"/>
              <w:right w:val="nil"/>
            </w:tcBorders>
            <w:shd w:val="clear" w:color="auto" w:fill="auto"/>
            <w:noWrap/>
            <w:vAlign w:val="bottom"/>
            <w:hideMark/>
          </w:tcPr>
          <w:p w14:paraId="33B520D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0.0105 </w:t>
            </w:r>
          </w:p>
        </w:tc>
        <w:tc>
          <w:tcPr>
            <w:tcW w:w="1220" w:type="dxa"/>
            <w:tcBorders>
              <w:top w:val="nil"/>
              <w:left w:val="nil"/>
              <w:bottom w:val="nil"/>
              <w:right w:val="nil"/>
            </w:tcBorders>
            <w:shd w:val="clear" w:color="auto" w:fill="auto"/>
            <w:noWrap/>
            <w:vAlign w:val="bottom"/>
            <w:hideMark/>
          </w:tcPr>
          <w:p w14:paraId="46B9AC8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0.0115 </w:t>
            </w:r>
          </w:p>
        </w:tc>
        <w:tc>
          <w:tcPr>
            <w:tcW w:w="1059" w:type="dxa"/>
            <w:tcBorders>
              <w:top w:val="nil"/>
              <w:left w:val="nil"/>
              <w:bottom w:val="nil"/>
              <w:right w:val="nil"/>
            </w:tcBorders>
            <w:shd w:val="clear" w:color="auto" w:fill="auto"/>
            <w:noWrap/>
            <w:vAlign w:val="bottom"/>
            <w:hideMark/>
          </w:tcPr>
          <w:p w14:paraId="5C1D6BE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0.0127 </w:t>
            </w:r>
          </w:p>
        </w:tc>
        <w:tc>
          <w:tcPr>
            <w:tcW w:w="1134" w:type="dxa"/>
            <w:tcBorders>
              <w:top w:val="nil"/>
              <w:left w:val="nil"/>
              <w:bottom w:val="nil"/>
              <w:right w:val="nil"/>
            </w:tcBorders>
            <w:shd w:val="clear" w:color="auto" w:fill="auto"/>
            <w:noWrap/>
            <w:vAlign w:val="bottom"/>
            <w:hideMark/>
          </w:tcPr>
          <w:p w14:paraId="6FC125C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0.0142</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5FD236B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0.0167</w:t>
            </w:r>
            <w:r w:rsidRPr="003A4B12">
              <w:rPr>
                <w:rFonts w:ascii="Times New Roman" w:hAnsi="Times New Roman" w:cs="Times New Roman"/>
                <w:sz w:val="22"/>
                <w:szCs w:val="22"/>
                <w:vertAlign w:val="superscript"/>
              </w:rPr>
              <w:t>**</w:t>
            </w:r>
          </w:p>
        </w:tc>
      </w:tr>
      <w:tr w:rsidR="004E2B5B" w:rsidRPr="00D6728E" w14:paraId="06575B17" w14:textId="77777777" w:rsidTr="00532745">
        <w:trPr>
          <w:trHeight w:val="255"/>
        </w:trPr>
        <w:tc>
          <w:tcPr>
            <w:tcW w:w="3119" w:type="dxa"/>
            <w:tcBorders>
              <w:top w:val="nil"/>
              <w:left w:val="nil"/>
              <w:bottom w:val="nil"/>
              <w:right w:val="nil"/>
            </w:tcBorders>
            <w:shd w:val="clear" w:color="auto" w:fill="auto"/>
            <w:noWrap/>
            <w:vAlign w:val="bottom"/>
            <w:hideMark/>
          </w:tcPr>
          <w:p w14:paraId="3DAC98C8"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216DFDC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3ACD1C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(0.631)</w:t>
            </w:r>
          </w:p>
        </w:tc>
        <w:tc>
          <w:tcPr>
            <w:tcW w:w="1134" w:type="dxa"/>
            <w:tcBorders>
              <w:top w:val="nil"/>
              <w:left w:val="nil"/>
              <w:bottom w:val="nil"/>
              <w:right w:val="nil"/>
            </w:tcBorders>
            <w:shd w:val="clear" w:color="auto" w:fill="auto"/>
            <w:noWrap/>
            <w:vAlign w:val="bottom"/>
            <w:hideMark/>
          </w:tcPr>
          <w:p w14:paraId="67F93C2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(0.446)</w:t>
            </w:r>
          </w:p>
        </w:tc>
        <w:tc>
          <w:tcPr>
            <w:tcW w:w="1134" w:type="dxa"/>
            <w:tcBorders>
              <w:top w:val="nil"/>
              <w:left w:val="nil"/>
              <w:bottom w:val="nil"/>
              <w:right w:val="nil"/>
            </w:tcBorders>
            <w:shd w:val="clear" w:color="auto" w:fill="auto"/>
            <w:noWrap/>
            <w:vAlign w:val="bottom"/>
            <w:hideMark/>
          </w:tcPr>
          <w:p w14:paraId="5F86659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(0.349)</w:t>
            </w:r>
          </w:p>
        </w:tc>
        <w:tc>
          <w:tcPr>
            <w:tcW w:w="1134" w:type="dxa"/>
            <w:tcBorders>
              <w:top w:val="nil"/>
              <w:left w:val="nil"/>
              <w:bottom w:val="nil"/>
              <w:right w:val="nil"/>
            </w:tcBorders>
            <w:shd w:val="clear" w:color="auto" w:fill="auto"/>
            <w:noWrap/>
            <w:vAlign w:val="bottom"/>
            <w:hideMark/>
          </w:tcPr>
          <w:p w14:paraId="41F4F4A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(0.282)</w:t>
            </w:r>
          </w:p>
        </w:tc>
        <w:tc>
          <w:tcPr>
            <w:tcW w:w="1134" w:type="dxa"/>
            <w:tcBorders>
              <w:top w:val="nil"/>
              <w:left w:val="nil"/>
              <w:bottom w:val="nil"/>
              <w:right w:val="nil"/>
            </w:tcBorders>
            <w:shd w:val="clear" w:color="auto" w:fill="auto"/>
            <w:noWrap/>
            <w:vAlign w:val="bottom"/>
            <w:hideMark/>
          </w:tcPr>
          <w:p w14:paraId="6D5A827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(0.229)</w:t>
            </w:r>
          </w:p>
        </w:tc>
        <w:tc>
          <w:tcPr>
            <w:tcW w:w="1220" w:type="dxa"/>
            <w:tcBorders>
              <w:top w:val="nil"/>
              <w:left w:val="nil"/>
              <w:bottom w:val="nil"/>
              <w:right w:val="nil"/>
            </w:tcBorders>
            <w:shd w:val="clear" w:color="auto" w:fill="auto"/>
            <w:noWrap/>
            <w:vAlign w:val="bottom"/>
            <w:hideMark/>
          </w:tcPr>
          <w:p w14:paraId="444CA46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(0.183)</w:t>
            </w:r>
          </w:p>
        </w:tc>
        <w:tc>
          <w:tcPr>
            <w:tcW w:w="1059" w:type="dxa"/>
            <w:tcBorders>
              <w:top w:val="nil"/>
              <w:left w:val="nil"/>
              <w:bottom w:val="nil"/>
              <w:right w:val="nil"/>
            </w:tcBorders>
            <w:shd w:val="clear" w:color="auto" w:fill="auto"/>
            <w:noWrap/>
            <w:vAlign w:val="bottom"/>
            <w:hideMark/>
          </w:tcPr>
          <w:p w14:paraId="4B4B65F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(0.139)</w:t>
            </w:r>
          </w:p>
        </w:tc>
        <w:tc>
          <w:tcPr>
            <w:tcW w:w="1134" w:type="dxa"/>
            <w:tcBorders>
              <w:top w:val="nil"/>
              <w:left w:val="nil"/>
              <w:bottom w:val="nil"/>
              <w:right w:val="nil"/>
            </w:tcBorders>
            <w:shd w:val="clear" w:color="auto" w:fill="auto"/>
            <w:noWrap/>
            <w:vAlign w:val="bottom"/>
            <w:hideMark/>
          </w:tcPr>
          <w:p w14:paraId="2693CC8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(0.096)</w:t>
            </w:r>
          </w:p>
        </w:tc>
        <w:tc>
          <w:tcPr>
            <w:tcW w:w="1134" w:type="dxa"/>
            <w:tcBorders>
              <w:top w:val="nil"/>
              <w:left w:val="nil"/>
              <w:bottom w:val="nil"/>
              <w:right w:val="nil"/>
            </w:tcBorders>
            <w:shd w:val="clear" w:color="auto" w:fill="auto"/>
            <w:noWrap/>
            <w:vAlign w:val="bottom"/>
            <w:hideMark/>
          </w:tcPr>
          <w:p w14:paraId="0F1A7DC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(0.049)</w:t>
            </w:r>
          </w:p>
        </w:tc>
      </w:tr>
      <w:tr w:rsidR="004E2B5B" w:rsidRPr="00D6728E" w14:paraId="5B1B1C55" w14:textId="77777777" w:rsidTr="00532745">
        <w:trPr>
          <w:trHeight w:val="255"/>
        </w:trPr>
        <w:tc>
          <w:tcPr>
            <w:tcW w:w="3119" w:type="dxa"/>
            <w:tcBorders>
              <w:top w:val="nil"/>
              <w:left w:val="nil"/>
              <w:bottom w:val="nil"/>
              <w:right w:val="nil"/>
            </w:tcBorders>
            <w:shd w:val="clear" w:color="auto" w:fill="auto"/>
            <w:noWrap/>
            <w:vAlign w:val="bottom"/>
            <w:hideMark/>
          </w:tcPr>
          <w:p w14:paraId="604E2C23"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Changes in remittances</w:t>
            </w:r>
          </w:p>
        </w:tc>
        <w:tc>
          <w:tcPr>
            <w:tcW w:w="1134" w:type="dxa"/>
            <w:tcBorders>
              <w:top w:val="nil"/>
              <w:left w:val="nil"/>
              <w:bottom w:val="nil"/>
              <w:right w:val="nil"/>
            </w:tcBorders>
            <w:shd w:val="clear" w:color="auto" w:fill="auto"/>
            <w:noWrap/>
            <w:vAlign w:val="bottom"/>
            <w:hideMark/>
          </w:tcPr>
          <w:p w14:paraId="3200300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0.00003</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4C404DC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0.00004 </w:t>
            </w:r>
          </w:p>
        </w:tc>
        <w:tc>
          <w:tcPr>
            <w:tcW w:w="1134" w:type="dxa"/>
            <w:tcBorders>
              <w:top w:val="nil"/>
              <w:left w:val="nil"/>
              <w:bottom w:val="nil"/>
              <w:right w:val="nil"/>
            </w:tcBorders>
            <w:shd w:val="clear" w:color="auto" w:fill="auto"/>
            <w:noWrap/>
            <w:vAlign w:val="bottom"/>
            <w:hideMark/>
          </w:tcPr>
          <w:p w14:paraId="59F5543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0.00003 </w:t>
            </w:r>
          </w:p>
        </w:tc>
        <w:tc>
          <w:tcPr>
            <w:tcW w:w="1134" w:type="dxa"/>
            <w:tcBorders>
              <w:top w:val="nil"/>
              <w:left w:val="nil"/>
              <w:bottom w:val="nil"/>
              <w:right w:val="nil"/>
            </w:tcBorders>
            <w:shd w:val="clear" w:color="auto" w:fill="auto"/>
            <w:noWrap/>
            <w:vAlign w:val="bottom"/>
            <w:hideMark/>
          </w:tcPr>
          <w:p w14:paraId="33AD8CC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0.00003</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23FEF90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0.00003</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7A52F2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0.00003</w:t>
            </w:r>
            <w:r w:rsidRPr="003A4B12">
              <w:rPr>
                <w:rFonts w:ascii="Times New Roman" w:hAnsi="Times New Roman" w:cs="Times New Roman"/>
                <w:sz w:val="22"/>
                <w:szCs w:val="22"/>
                <w:vertAlign w:val="superscript"/>
              </w:rPr>
              <w:t>*</w:t>
            </w:r>
          </w:p>
        </w:tc>
        <w:tc>
          <w:tcPr>
            <w:tcW w:w="1220" w:type="dxa"/>
            <w:tcBorders>
              <w:top w:val="nil"/>
              <w:left w:val="nil"/>
              <w:bottom w:val="nil"/>
              <w:right w:val="nil"/>
            </w:tcBorders>
            <w:shd w:val="clear" w:color="auto" w:fill="auto"/>
            <w:noWrap/>
            <w:vAlign w:val="bottom"/>
            <w:hideMark/>
          </w:tcPr>
          <w:p w14:paraId="670DE2C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0.00003</w:t>
            </w:r>
            <w:r w:rsidRPr="003A4B12">
              <w:rPr>
                <w:rFonts w:ascii="Times New Roman" w:hAnsi="Times New Roman" w:cs="Times New Roman"/>
                <w:sz w:val="22"/>
                <w:szCs w:val="22"/>
                <w:vertAlign w:val="superscript"/>
              </w:rPr>
              <w:t>*</w:t>
            </w:r>
          </w:p>
        </w:tc>
        <w:tc>
          <w:tcPr>
            <w:tcW w:w="1059" w:type="dxa"/>
            <w:tcBorders>
              <w:top w:val="nil"/>
              <w:left w:val="nil"/>
              <w:bottom w:val="nil"/>
              <w:right w:val="nil"/>
            </w:tcBorders>
            <w:shd w:val="clear" w:color="auto" w:fill="auto"/>
            <w:noWrap/>
            <w:vAlign w:val="bottom"/>
            <w:hideMark/>
          </w:tcPr>
          <w:p w14:paraId="1AC295D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0.00003 </w:t>
            </w:r>
          </w:p>
        </w:tc>
        <w:tc>
          <w:tcPr>
            <w:tcW w:w="1134" w:type="dxa"/>
            <w:tcBorders>
              <w:top w:val="nil"/>
              <w:left w:val="nil"/>
              <w:bottom w:val="nil"/>
              <w:right w:val="nil"/>
            </w:tcBorders>
            <w:shd w:val="clear" w:color="auto" w:fill="auto"/>
            <w:noWrap/>
            <w:vAlign w:val="bottom"/>
            <w:hideMark/>
          </w:tcPr>
          <w:p w14:paraId="35FAF18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0.00002 </w:t>
            </w:r>
          </w:p>
        </w:tc>
        <w:tc>
          <w:tcPr>
            <w:tcW w:w="1134" w:type="dxa"/>
            <w:tcBorders>
              <w:top w:val="nil"/>
              <w:left w:val="nil"/>
              <w:bottom w:val="nil"/>
              <w:right w:val="nil"/>
            </w:tcBorders>
            <w:shd w:val="clear" w:color="auto" w:fill="auto"/>
            <w:noWrap/>
            <w:vAlign w:val="bottom"/>
            <w:hideMark/>
          </w:tcPr>
          <w:p w14:paraId="7710D07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0.00002 </w:t>
            </w:r>
          </w:p>
        </w:tc>
      </w:tr>
      <w:tr w:rsidR="004E2B5B" w:rsidRPr="00D6728E" w14:paraId="5772E013" w14:textId="77777777" w:rsidTr="00532745">
        <w:trPr>
          <w:trHeight w:val="255"/>
        </w:trPr>
        <w:tc>
          <w:tcPr>
            <w:tcW w:w="3119" w:type="dxa"/>
            <w:tcBorders>
              <w:top w:val="nil"/>
              <w:left w:val="nil"/>
              <w:bottom w:val="nil"/>
              <w:right w:val="nil"/>
            </w:tcBorders>
            <w:shd w:val="clear" w:color="auto" w:fill="auto"/>
            <w:noWrap/>
            <w:vAlign w:val="bottom"/>
            <w:hideMark/>
          </w:tcPr>
          <w:p w14:paraId="3A1AC950"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30A9D32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(0.070)</w:t>
            </w:r>
          </w:p>
        </w:tc>
        <w:tc>
          <w:tcPr>
            <w:tcW w:w="1134" w:type="dxa"/>
            <w:tcBorders>
              <w:top w:val="nil"/>
              <w:left w:val="nil"/>
              <w:bottom w:val="nil"/>
              <w:right w:val="nil"/>
            </w:tcBorders>
            <w:shd w:val="clear" w:color="auto" w:fill="auto"/>
            <w:noWrap/>
            <w:vAlign w:val="bottom"/>
            <w:hideMark/>
          </w:tcPr>
          <w:p w14:paraId="7E15ADB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(0.127)</w:t>
            </w:r>
          </w:p>
        </w:tc>
        <w:tc>
          <w:tcPr>
            <w:tcW w:w="1134" w:type="dxa"/>
            <w:tcBorders>
              <w:top w:val="nil"/>
              <w:left w:val="nil"/>
              <w:bottom w:val="nil"/>
              <w:right w:val="nil"/>
            </w:tcBorders>
            <w:shd w:val="clear" w:color="auto" w:fill="auto"/>
            <w:noWrap/>
            <w:vAlign w:val="bottom"/>
            <w:hideMark/>
          </w:tcPr>
          <w:p w14:paraId="20B65B0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(0.102)</w:t>
            </w:r>
          </w:p>
        </w:tc>
        <w:tc>
          <w:tcPr>
            <w:tcW w:w="1134" w:type="dxa"/>
            <w:tcBorders>
              <w:top w:val="nil"/>
              <w:left w:val="nil"/>
              <w:bottom w:val="nil"/>
              <w:right w:val="nil"/>
            </w:tcBorders>
            <w:shd w:val="clear" w:color="auto" w:fill="auto"/>
            <w:noWrap/>
            <w:vAlign w:val="bottom"/>
            <w:hideMark/>
          </w:tcPr>
          <w:p w14:paraId="0ECF576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(0.092)</w:t>
            </w:r>
          </w:p>
        </w:tc>
        <w:tc>
          <w:tcPr>
            <w:tcW w:w="1134" w:type="dxa"/>
            <w:tcBorders>
              <w:top w:val="nil"/>
              <w:left w:val="nil"/>
              <w:bottom w:val="nil"/>
              <w:right w:val="nil"/>
            </w:tcBorders>
            <w:shd w:val="clear" w:color="auto" w:fill="auto"/>
            <w:noWrap/>
            <w:vAlign w:val="bottom"/>
            <w:hideMark/>
          </w:tcPr>
          <w:p w14:paraId="4358591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(0.088)</w:t>
            </w:r>
          </w:p>
        </w:tc>
        <w:tc>
          <w:tcPr>
            <w:tcW w:w="1134" w:type="dxa"/>
            <w:tcBorders>
              <w:top w:val="nil"/>
              <w:left w:val="nil"/>
              <w:bottom w:val="nil"/>
              <w:right w:val="nil"/>
            </w:tcBorders>
            <w:shd w:val="clear" w:color="auto" w:fill="auto"/>
            <w:noWrap/>
            <w:vAlign w:val="bottom"/>
            <w:hideMark/>
          </w:tcPr>
          <w:p w14:paraId="2F5F99C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(0.090)</w:t>
            </w:r>
          </w:p>
        </w:tc>
        <w:tc>
          <w:tcPr>
            <w:tcW w:w="1220" w:type="dxa"/>
            <w:tcBorders>
              <w:top w:val="nil"/>
              <w:left w:val="nil"/>
              <w:bottom w:val="nil"/>
              <w:right w:val="nil"/>
            </w:tcBorders>
            <w:shd w:val="clear" w:color="auto" w:fill="auto"/>
            <w:noWrap/>
            <w:vAlign w:val="bottom"/>
            <w:hideMark/>
          </w:tcPr>
          <w:p w14:paraId="019C5FB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(0.098)</w:t>
            </w:r>
          </w:p>
        </w:tc>
        <w:tc>
          <w:tcPr>
            <w:tcW w:w="1059" w:type="dxa"/>
            <w:tcBorders>
              <w:top w:val="nil"/>
              <w:left w:val="nil"/>
              <w:bottom w:val="nil"/>
              <w:right w:val="nil"/>
            </w:tcBorders>
            <w:shd w:val="clear" w:color="auto" w:fill="auto"/>
            <w:noWrap/>
            <w:vAlign w:val="bottom"/>
            <w:hideMark/>
          </w:tcPr>
          <w:p w14:paraId="6711785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(0.117)</w:t>
            </w:r>
          </w:p>
        </w:tc>
        <w:tc>
          <w:tcPr>
            <w:tcW w:w="1134" w:type="dxa"/>
            <w:tcBorders>
              <w:top w:val="nil"/>
              <w:left w:val="nil"/>
              <w:bottom w:val="nil"/>
              <w:right w:val="nil"/>
            </w:tcBorders>
            <w:shd w:val="clear" w:color="auto" w:fill="auto"/>
            <w:noWrap/>
            <w:vAlign w:val="bottom"/>
            <w:hideMark/>
          </w:tcPr>
          <w:p w14:paraId="2442F25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(0.162)</w:t>
            </w:r>
          </w:p>
        </w:tc>
        <w:tc>
          <w:tcPr>
            <w:tcW w:w="1134" w:type="dxa"/>
            <w:tcBorders>
              <w:top w:val="nil"/>
              <w:left w:val="nil"/>
              <w:bottom w:val="nil"/>
              <w:right w:val="nil"/>
            </w:tcBorders>
            <w:shd w:val="clear" w:color="auto" w:fill="auto"/>
            <w:noWrap/>
            <w:vAlign w:val="bottom"/>
            <w:hideMark/>
          </w:tcPr>
          <w:p w14:paraId="3758745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(0.289)</w:t>
            </w:r>
          </w:p>
        </w:tc>
      </w:tr>
      <w:tr w:rsidR="004E2B5B" w:rsidRPr="00D6728E" w14:paraId="19781C5F" w14:textId="77777777" w:rsidTr="00532745">
        <w:trPr>
          <w:trHeight w:val="255"/>
        </w:trPr>
        <w:tc>
          <w:tcPr>
            <w:tcW w:w="3119" w:type="dxa"/>
            <w:tcBorders>
              <w:top w:val="nil"/>
              <w:left w:val="nil"/>
              <w:bottom w:val="nil"/>
              <w:right w:val="nil"/>
            </w:tcBorders>
            <w:shd w:val="clear" w:color="auto" w:fill="auto"/>
            <w:noWrap/>
            <w:vAlign w:val="bottom"/>
            <w:hideMark/>
          </w:tcPr>
          <w:p w14:paraId="6D0B2FE3"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Rice price inflation (t-1)</w:t>
            </w:r>
          </w:p>
        </w:tc>
        <w:tc>
          <w:tcPr>
            <w:tcW w:w="1134" w:type="dxa"/>
            <w:tcBorders>
              <w:top w:val="nil"/>
              <w:left w:val="nil"/>
              <w:bottom w:val="nil"/>
              <w:right w:val="nil"/>
            </w:tcBorders>
            <w:shd w:val="clear" w:color="auto" w:fill="auto"/>
            <w:noWrap/>
            <w:vAlign w:val="bottom"/>
            <w:hideMark/>
          </w:tcPr>
          <w:p w14:paraId="6139026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-0.1432</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631D719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-0.1324</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7B9BC80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-0.1365</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2256BA3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-0.1390</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7433D1C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-0.1409</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303F02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-0.1427</w:t>
            </w:r>
            <w:r w:rsidRPr="003A4B12">
              <w:rPr>
                <w:rFonts w:ascii="Times New Roman" w:hAnsi="Times New Roman" w:cs="Times New Roman"/>
                <w:sz w:val="22"/>
                <w:szCs w:val="22"/>
                <w:vertAlign w:val="superscript"/>
              </w:rPr>
              <w:t>***</w:t>
            </w:r>
          </w:p>
        </w:tc>
        <w:tc>
          <w:tcPr>
            <w:tcW w:w="1220" w:type="dxa"/>
            <w:tcBorders>
              <w:top w:val="nil"/>
              <w:left w:val="nil"/>
              <w:bottom w:val="nil"/>
              <w:right w:val="nil"/>
            </w:tcBorders>
            <w:shd w:val="clear" w:color="auto" w:fill="auto"/>
            <w:noWrap/>
            <w:vAlign w:val="bottom"/>
            <w:hideMark/>
          </w:tcPr>
          <w:p w14:paraId="491FC8E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-0.1445</w:t>
            </w:r>
            <w:r w:rsidRPr="003A4B12">
              <w:rPr>
                <w:rFonts w:ascii="Times New Roman" w:hAnsi="Times New Roman" w:cs="Times New Roman"/>
                <w:sz w:val="22"/>
                <w:szCs w:val="22"/>
                <w:vertAlign w:val="superscript"/>
              </w:rPr>
              <w:t>***</w:t>
            </w:r>
          </w:p>
        </w:tc>
        <w:tc>
          <w:tcPr>
            <w:tcW w:w="1059" w:type="dxa"/>
            <w:tcBorders>
              <w:top w:val="nil"/>
              <w:left w:val="nil"/>
              <w:bottom w:val="nil"/>
              <w:right w:val="nil"/>
            </w:tcBorders>
            <w:shd w:val="clear" w:color="auto" w:fill="auto"/>
            <w:noWrap/>
            <w:vAlign w:val="bottom"/>
            <w:hideMark/>
          </w:tcPr>
          <w:p w14:paraId="636A1DA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-0.1465</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78FF9BA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-0.1490</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104352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-0.1532</w:t>
            </w:r>
            <w:r w:rsidRPr="003A4B12">
              <w:rPr>
                <w:rFonts w:ascii="Times New Roman" w:hAnsi="Times New Roman" w:cs="Times New Roman"/>
                <w:sz w:val="22"/>
                <w:szCs w:val="22"/>
                <w:vertAlign w:val="superscript"/>
              </w:rPr>
              <w:t>***</w:t>
            </w:r>
          </w:p>
        </w:tc>
      </w:tr>
      <w:tr w:rsidR="004E2B5B" w:rsidRPr="00D6728E" w14:paraId="282D9C3E" w14:textId="77777777" w:rsidTr="00532745">
        <w:trPr>
          <w:trHeight w:val="255"/>
        </w:trPr>
        <w:tc>
          <w:tcPr>
            <w:tcW w:w="3119" w:type="dxa"/>
            <w:tcBorders>
              <w:top w:val="nil"/>
              <w:left w:val="nil"/>
              <w:bottom w:val="nil"/>
              <w:right w:val="nil"/>
            </w:tcBorders>
            <w:shd w:val="clear" w:color="auto" w:fill="auto"/>
            <w:noWrap/>
            <w:vAlign w:val="bottom"/>
            <w:hideMark/>
          </w:tcPr>
          <w:p w14:paraId="2FE51E03"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03BD329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(0.040)</w:t>
            </w:r>
          </w:p>
        </w:tc>
        <w:tc>
          <w:tcPr>
            <w:tcW w:w="1134" w:type="dxa"/>
            <w:tcBorders>
              <w:top w:val="nil"/>
              <w:left w:val="nil"/>
              <w:bottom w:val="nil"/>
              <w:right w:val="nil"/>
            </w:tcBorders>
            <w:shd w:val="clear" w:color="auto" w:fill="auto"/>
            <w:noWrap/>
            <w:vAlign w:val="bottom"/>
            <w:hideMark/>
          </w:tcPr>
          <w:p w14:paraId="0C4AB6B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2950633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0BFBC15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5434DBD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0AE2B64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220" w:type="dxa"/>
            <w:tcBorders>
              <w:top w:val="nil"/>
              <w:left w:val="nil"/>
              <w:bottom w:val="nil"/>
              <w:right w:val="nil"/>
            </w:tcBorders>
            <w:shd w:val="clear" w:color="auto" w:fill="auto"/>
            <w:noWrap/>
            <w:vAlign w:val="bottom"/>
            <w:hideMark/>
          </w:tcPr>
          <w:p w14:paraId="367700C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059" w:type="dxa"/>
            <w:tcBorders>
              <w:top w:val="nil"/>
              <w:left w:val="nil"/>
              <w:bottom w:val="nil"/>
              <w:right w:val="nil"/>
            </w:tcBorders>
            <w:shd w:val="clear" w:color="auto" w:fill="auto"/>
            <w:noWrap/>
            <w:vAlign w:val="bottom"/>
            <w:hideMark/>
          </w:tcPr>
          <w:p w14:paraId="0E64D2D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4CF95D1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57442A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r>
      <w:tr w:rsidR="004E2B5B" w:rsidRPr="00D6728E" w14:paraId="32D96894" w14:textId="77777777" w:rsidTr="00532745">
        <w:trPr>
          <w:trHeight w:val="255"/>
        </w:trPr>
        <w:tc>
          <w:tcPr>
            <w:tcW w:w="3119" w:type="dxa"/>
            <w:tcBorders>
              <w:top w:val="nil"/>
              <w:left w:val="nil"/>
              <w:bottom w:val="nil"/>
              <w:right w:val="nil"/>
            </w:tcBorders>
            <w:shd w:val="clear" w:color="auto" w:fill="auto"/>
            <w:noWrap/>
            <w:vAlign w:val="bottom"/>
            <w:hideMark/>
          </w:tcPr>
          <w:p w14:paraId="78CFCA5D"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Fuel price inflation (t-1)</w:t>
            </w:r>
          </w:p>
        </w:tc>
        <w:tc>
          <w:tcPr>
            <w:tcW w:w="1134" w:type="dxa"/>
            <w:tcBorders>
              <w:top w:val="nil"/>
              <w:left w:val="nil"/>
              <w:bottom w:val="nil"/>
              <w:right w:val="nil"/>
            </w:tcBorders>
            <w:shd w:val="clear" w:color="auto" w:fill="auto"/>
            <w:noWrap/>
            <w:vAlign w:val="bottom"/>
            <w:hideMark/>
          </w:tcPr>
          <w:p w14:paraId="56935BC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-0.0021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6E35B7C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0.0048 </w:t>
            </w:r>
          </w:p>
        </w:tc>
        <w:tc>
          <w:tcPr>
            <w:tcW w:w="1134" w:type="dxa"/>
            <w:tcBorders>
              <w:top w:val="nil"/>
              <w:left w:val="nil"/>
              <w:bottom w:val="nil"/>
              <w:right w:val="nil"/>
            </w:tcBorders>
            <w:shd w:val="clear" w:color="auto" w:fill="auto"/>
            <w:noWrap/>
            <w:vAlign w:val="bottom"/>
            <w:hideMark/>
          </w:tcPr>
          <w:p w14:paraId="1DD8A4F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0.0021 </w:t>
            </w:r>
          </w:p>
        </w:tc>
        <w:tc>
          <w:tcPr>
            <w:tcW w:w="1134" w:type="dxa"/>
            <w:tcBorders>
              <w:top w:val="nil"/>
              <w:left w:val="nil"/>
              <w:bottom w:val="nil"/>
              <w:right w:val="nil"/>
            </w:tcBorders>
            <w:shd w:val="clear" w:color="auto" w:fill="auto"/>
            <w:noWrap/>
            <w:vAlign w:val="bottom"/>
            <w:hideMark/>
          </w:tcPr>
          <w:p w14:paraId="1B3C5C0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0.0005 </w:t>
            </w:r>
          </w:p>
        </w:tc>
        <w:tc>
          <w:tcPr>
            <w:tcW w:w="1134" w:type="dxa"/>
            <w:tcBorders>
              <w:top w:val="nil"/>
              <w:left w:val="nil"/>
              <w:bottom w:val="nil"/>
              <w:right w:val="nil"/>
            </w:tcBorders>
            <w:shd w:val="clear" w:color="auto" w:fill="auto"/>
            <w:noWrap/>
            <w:vAlign w:val="bottom"/>
            <w:hideMark/>
          </w:tcPr>
          <w:p w14:paraId="75A39EB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-0.0007 </w:t>
            </w:r>
          </w:p>
        </w:tc>
        <w:tc>
          <w:tcPr>
            <w:tcW w:w="1134" w:type="dxa"/>
            <w:tcBorders>
              <w:top w:val="nil"/>
              <w:left w:val="nil"/>
              <w:bottom w:val="nil"/>
              <w:right w:val="nil"/>
            </w:tcBorders>
            <w:shd w:val="clear" w:color="auto" w:fill="auto"/>
            <w:noWrap/>
            <w:vAlign w:val="bottom"/>
            <w:hideMark/>
          </w:tcPr>
          <w:p w14:paraId="210D677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-0.0019 </w:t>
            </w:r>
          </w:p>
        </w:tc>
        <w:tc>
          <w:tcPr>
            <w:tcW w:w="1220" w:type="dxa"/>
            <w:tcBorders>
              <w:top w:val="nil"/>
              <w:left w:val="nil"/>
              <w:bottom w:val="nil"/>
              <w:right w:val="nil"/>
            </w:tcBorders>
            <w:shd w:val="clear" w:color="auto" w:fill="auto"/>
            <w:noWrap/>
            <w:vAlign w:val="bottom"/>
            <w:hideMark/>
          </w:tcPr>
          <w:p w14:paraId="1A48147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-0.0030 </w:t>
            </w:r>
          </w:p>
        </w:tc>
        <w:tc>
          <w:tcPr>
            <w:tcW w:w="1059" w:type="dxa"/>
            <w:tcBorders>
              <w:top w:val="nil"/>
              <w:left w:val="nil"/>
              <w:bottom w:val="nil"/>
              <w:right w:val="nil"/>
            </w:tcBorders>
            <w:shd w:val="clear" w:color="auto" w:fill="auto"/>
            <w:noWrap/>
            <w:vAlign w:val="bottom"/>
            <w:hideMark/>
          </w:tcPr>
          <w:p w14:paraId="5A46860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-0.0043 </w:t>
            </w:r>
          </w:p>
        </w:tc>
        <w:tc>
          <w:tcPr>
            <w:tcW w:w="1134" w:type="dxa"/>
            <w:tcBorders>
              <w:top w:val="nil"/>
              <w:left w:val="nil"/>
              <w:bottom w:val="nil"/>
              <w:right w:val="nil"/>
            </w:tcBorders>
            <w:shd w:val="clear" w:color="auto" w:fill="auto"/>
            <w:noWrap/>
            <w:vAlign w:val="bottom"/>
            <w:hideMark/>
          </w:tcPr>
          <w:p w14:paraId="5E8FAD9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-0.0060 </w:t>
            </w:r>
          </w:p>
        </w:tc>
        <w:tc>
          <w:tcPr>
            <w:tcW w:w="1134" w:type="dxa"/>
            <w:tcBorders>
              <w:top w:val="nil"/>
              <w:left w:val="nil"/>
              <w:bottom w:val="nil"/>
              <w:right w:val="nil"/>
            </w:tcBorders>
            <w:shd w:val="clear" w:color="auto" w:fill="auto"/>
            <w:noWrap/>
            <w:vAlign w:val="bottom"/>
            <w:hideMark/>
          </w:tcPr>
          <w:p w14:paraId="4903D39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-0.0087 </w:t>
            </w:r>
          </w:p>
        </w:tc>
      </w:tr>
      <w:tr w:rsidR="004E2B5B" w:rsidRPr="00D6728E" w14:paraId="7968F508" w14:textId="77777777" w:rsidTr="00532745">
        <w:trPr>
          <w:trHeight w:val="255"/>
        </w:trPr>
        <w:tc>
          <w:tcPr>
            <w:tcW w:w="3119" w:type="dxa"/>
            <w:tcBorders>
              <w:top w:val="nil"/>
              <w:left w:val="nil"/>
              <w:bottom w:val="nil"/>
              <w:right w:val="nil"/>
            </w:tcBorders>
            <w:shd w:val="clear" w:color="auto" w:fill="auto"/>
            <w:noWrap/>
            <w:vAlign w:val="bottom"/>
            <w:hideMark/>
          </w:tcPr>
          <w:p w14:paraId="598DC0FE"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2E31B83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447453E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(0.531)</w:t>
            </w:r>
          </w:p>
        </w:tc>
        <w:tc>
          <w:tcPr>
            <w:tcW w:w="1134" w:type="dxa"/>
            <w:tcBorders>
              <w:top w:val="nil"/>
              <w:left w:val="nil"/>
              <w:bottom w:val="nil"/>
              <w:right w:val="nil"/>
            </w:tcBorders>
            <w:shd w:val="clear" w:color="auto" w:fill="auto"/>
            <w:noWrap/>
            <w:vAlign w:val="bottom"/>
            <w:hideMark/>
          </w:tcPr>
          <w:p w14:paraId="3DC34A1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(0.783)</w:t>
            </w:r>
          </w:p>
        </w:tc>
        <w:tc>
          <w:tcPr>
            <w:tcW w:w="1134" w:type="dxa"/>
            <w:tcBorders>
              <w:top w:val="nil"/>
              <w:left w:val="nil"/>
              <w:bottom w:val="nil"/>
              <w:right w:val="nil"/>
            </w:tcBorders>
            <w:shd w:val="clear" w:color="auto" w:fill="auto"/>
            <w:noWrap/>
            <w:vAlign w:val="bottom"/>
            <w:hideMark/>
          </w:tcPr>
          <w:p w14:paraId="07FE1C4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(0.947)</w:t>
            </w:r>
          </w:p>
        </w:tc>
        <w:tc>
          <w:tcPr>
            <w:tcW w:w="1134" w:type="dxa"/>
            <w:tcBorders>
              <w:top w:val="nil"/>
              <w:left w:val="nil"/>
              <w:bottom w:val="nil"/>
              <w:right w:val="nil"/>
            </w:tcBorders>
            <w:shd w:val="clear" w:color="auto" w:fill="auto"/>
            <w:noWrap/>
            <w:vAlign w:val="bottom"/>
            <w:hideMark/>
          </w:tcPr>
          <w:p w14:paraId="3A9004B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(0.926)</w:t>
            </w:r>
          </w:p>
        </w:tc>
        <w:tc>
          <w:tcPr>
            <w:tcW w:w="1134" w:type="dxa"/>
            <w:tcBorders>
              <w:top w:val="nil"/>
              <w:left w:val="nil"/>
              <w:bottom w:val="nil"/>
              <w:right w:val="nil"/>
            </w:tcBorders>
            <w:shd w:val="clear" w:color="auto" w:fill="auto"/>
            <w:noWrap/>
            <w:vAlign w:val="bottom"/>
            <w:hideMark/>
          </w:tcPr>
          <w:p w14:paraId="4212E04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(0.813)</w:t>
            </w:r>
          </w:p>
        </w:tc>
        <w:tc>
          <w:tcPr>
            <w:tcW w:w="1220" w:type="dxa"/>
            <w:tcBorders>
              <w:top w:val="nil"/>
              <w:left w:val="nil"/>
              <w:bottom w:val="nil"/>
              <w:right w:val="nil"/>
            </w:tcBorders>
            <w:shd w:val="clear" w:color="auto" w:fill="auto"/>
            <w:noWrap/>
            <w:vAlign w:val="bottom"/>
            <w:hideMark/>
          </w:tcPr>
          <w:p w14:paraId="6932521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(0.706)</w:t>
            </w:r>
          </w:p>
        </w:tc>
        <w:tc>
          <w:tcPr>
            <w:tcW w:w="1059" w:type="dxa"/>
            <w:tcBorders>
              <w:top w:val="nil"/>
              <w:left w:val="nil"/>
              <w:bottom w:val="nil"/>
              <w:right w:val="nil"/>
            </w:tcBorders>
            <w:shd w:val="clear" w:color="auto" w:fill="auto"/>
            <w:noWrap/>
            <w:vAlign w:val="bottom"/>
            <w:hideMark/>
          </w:tcPr>
          <w:p w14:paraId="4A85125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(0.595)</w:t>
            </w:r>
          </w:p>
        </w:tc>
        <w:tc>
          <w:tcPr>
            <w:tcW w:w="1134" w:type="dxa"/>
            <w:tcBorders>
              <w:top w:val="nil"/>
              <w:left w:val="nil"/>
              <w:bottom w:val="nil"/>
              <w:right w:val="nil"/>
            </w:tcBorders>
            <w:shd w:val="clear" w:color="auto" w:fill="auto"/>
            <w:noWrap/>
            <w:vAlign w:val="bottom"/>
            <w:hideMark/>
          </w:tcPr>
          <w:p w14:paraId="6E1CFAA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(0.472)</w:t>
            </w:r>
          </w:p>
        </w:tc>
        <w:tc>
          <w:tcPr>
            <w:tcW w:w="1134" w:type="dxa"/>
            <w:tcBorders>
              <w:top w:val="nil"/>
              <w:left w:val="nil"/>
              <w:bottom w:val="nil"/>
              <w:right w:val="nil"/>
            </w:tcBorders>
            <w:shd w:val="clear" w:color="auto" w:fill="auto"/>
            <w:noWrap/>
            <w:vAlign w:val="bottom"/>
            <w:hideMark/>
          </w:tcPr>
          <w:p w14:paraId="68C8C63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(0.312)</w:t>
            </w:r>
          </w:p>
        </w:tc>
      </w:tr>
      <w:tr w:rsidR="004E2B5B" w:rsidRPr="00D6728E" w14:paraId="3964C402" w14:textId="77777777" w:rsidTr="00532745">
        <w:trPr>
          <w:trHeight w:val="255"/>
        </w:trPr>
        <w:tc>
          <w:tcPr>
            <w:tcW w:w="3119" w:type="dxa"/>
            <w:tcBorders>
              <w:top w:val="nil"/>
              <w:left w:val="nil"/>
              <w:bottom w:val="nil"/>
              <w:right w:val="nil"/>
            </w:tcBorders>
            <w:shd w:val="clear" w:color="auto" w:fill="auto"/>
            <w:noWrap/>
            <w:vAlign w:val="bottom"/>
            <w:hideMark/>
          </w:tcPr>
          <w:p w14:paraId="4A8D37EE"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Changes in remittances (t-1)</w:t>
            </w:r>
          </w:p>
        </w:tc>
        <w:tc>
          <w:tcPr>
            <w:tcW w:w="1134" w:type="dxa"/>
            <w:tcBorders>
              <w:top w:val="nil"/>
              <w:left w:val="nil"/>
              <w:bottom w:val="nil"/>
              <w:right w:val="nil"/>
            </w:tcBorders>
            <w:shd w:val="clear" w:color="auto" w:fill="auto"/>
            <w:noWrap/>
            <w:vAlign w:val="bottom"/>
            <w:hideMark/>
          </w:tcPr>
          <w:p w14:paraId="26A7816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31BFB0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 </w:t>
            </w:r>
          </w:p>
        </w:tc>
        <w:tc>
          <w:tcPr>
            <w:tcW w:w="1134" w:type="dxa"/>
            <w:tcBorders>
              <w:top w:val="nil"/>
              <w:left w:val="nil"/>
              <w:bottom w:val="nil"/>
              <w:right w:val="nil"/>
            </w:tcBorders>
            <w:shd w:val="clear" w:color="auto" w:fill="auto"/>
            <w:noWrap/>
            <w:vAlign w:val="bottom"/>
            <w:hideMark/>
          </w:tcPr>
          <w:p w14:paraId="6379EE4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 </w:t>
            </w:r>
          </w:p>
        </w:tc>
        <w:tc>
          <w:tcPr>
            <w:tcW w:w="1134" w:type="dxa"/>
            <w:tcBorders>
              <w:top w:val="nil"/>
              <w:left w:val="nil"/>
              <w:bottom w:val="nil"/>
              <w:right w:val="nil"/>
            </w:tcBorders>
            <w:shd w:val="clear" w:color="auto" w:fill="auto"/>
            <w:noWrap/>
            <w:vAlign w:val="bottom"/>
            <w:hideMark/>
          </w:tcPr>
          <w:p w14:paraId="57B6A5C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xml:space="preserve">0.0000 </w:t>
            </w:r>
          </w:p>
        </w:tc>
        <w:tc>
          <w:tcPr>
            <w:tcW w:w="1134" w:type="dxa"/>
            <w:tcBorders>
              <w:top w:val="nil"/>
              <w:left w:val="nil"/>
              <w:bottom w:val="nil"/>
              <w:right w:val="nil"/>
            </w:tcBorders>
            <w:shd w:val="clear" w:color="auto" w:fill="auto"/>
            <w:noWrap/>
            <w:vAlign w:val="bottom"/>
            <w:hideMark/>
          </w:tcPr>
          <w:p w14:paraId="1502DCE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0.0000</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29E124F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0.0001</w:t>
            </w:r>
            <w:r w:rsidRPr="003A4B12">
              <w:rPr>
                <w:rFonts w:ascii="Times New Roman" w:hAnsi="Times New Roman" w:cs="Times New Roman"/>
                <w:sz w:val="22"/>
                <w:szCs w:val="22"/>
                <w:vertAlign w:val="superscript"/>
              </w:rPr>
              <w:t>**</w:t>
            </w:r>
          </w:p>
        </w:tc>
        <w:tc>
          <w:tcPr>
            <w:tcW w:w="1220" w:type="dxa"/>
            <w:tcBorders>
              <w:top w:val="nil"/>
              <w:left w:val="nil"/>
              <w:bottom w:val="nil"/>
              <w:right w:val="nil"/>
            </w:tcBorders>
            <w:shd w:val="clear" w:color="auto" w:fill="auto"/>
            <w:noWrap/>
            <w:vAlign w:val="bottom"/>
            <w:hideMark/>
          </w:tcPr>
          <w:p w14:paraId="3D54078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0.0001</w:t>
            </w:r>
            <w:r w:rsidRPr="003A4B12">
              <w:rPr>
                <w:rFonts w:ascii="Times New Roman" w:hAnsi="Times New Roman" w:cs="Times New Roman"/>
                <w:sz w:val="22"/>
                <w:szCs w:val="22"/>
                <w:vertAlign w:val="superscript"/>
              </w:rPr>
              <w:t>***</w:t>
            </w:r>
          </w:p>
        </w:tc>
        <w:tc>
          <w:tcPr>
            <w:tcW w:w="1059" w:type="dxa"/>
            <w:tcBorders>
              <w:top w:val="nil"/>
              <w:left w:val="nil"/>
              <w:bottom w:val="nil"/>
              <w:right w:val="nil"/>
            </w:tcBorders>
            <w:shd w:val="clear" w:color="auto" w:fill="auto"/>
            <w:noWrap/>
            <w:vAlign w:val="bottom"/>
            <w:hideMark/>
          </w:tcPr>
          <w:p w14:paraId="5BB179D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429B347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5738CED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0.0001</w:t>
            </w:r>
            <w:r w:rsidRPr="003A4B12">
              <w:rPr>
                <w:rFonts w:ascii="Times New Roman" w:hAnsi="Times New Roman" w:cs="Times New Roman"/>
                <w:sz w:val="22"/>
                <w:szCs w:val="22"/>
                <w:vertAlign w:val="superscript"/>
              </w:rPr>
              <w:t>***</w:t>
            </w:r>
          </w:p>
        </w:tc>
      </w:tr>
      <w:tr w:rsidR="004E2B5B" w:rsidRPr="00D6728E" w14:paraId="1DDED075" w14:textId="77777777" w:rsidTr="00532745">
        <w:trPr>
          <w:trHeight w:val="255"/>
        </w:trPr>
        <w:tc>
          <w:tcPr>
            <w:tcW w:w="3119" w:type="dxa"/>
            <w:tcBorders>
              <w:top w:val="nil"/>
              <w:left w:val="nil"/>
              <w:bottom w:val="nil"/>
              <w:right w:val="nil"/>
            </w:tcBorders>
            <w:shd w:val="clear" w:color="auto" w:fill="auto"/>
            <w:noWrap/>
            <w:vAlign w:val="bottom"/>
            <w:hideMark/>
          </w:tcPr>
          <w:p w14:paraId="69C064C1"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14E62CC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5D4FF6D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(0.866)</w:t>
            </w:r>
          </w:p>
        </w:tc>
        <w:tc>
          <w:tcPr>
            <w:tcW w:w="1134" w:type="dxa"/>
            <w:tcBorders>
              <w:top w:val="nil"/>
              <w:left w:val="nil"/>
              <w:bottom w:val="nil"/>
              <w:right w:val="nil"/>
            </w:tcBorders>
            <w:shd w:val="clear" w:color="auto" w:fill="auto"/>
            <w:noWrap/>
            <w:vAlign w:val="bottom"/>
            <w:hideMark/>
          </w:tcPr>
          <w:p w14:paraId="5FBDE40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(0.480)</w:t>
            </w:r>
          </w:p>
        </w:tc>
        <w:tc>
          <w:tcPr>
            <w:tcW w:w="1134" w:type="dxa"/>
            <w:tcBorders>
              <w:top w:val="nil"/>
              <w:left w:val="nil"/>
              <w:bottom w:val="nil"/>
              <w:right w:val="nil"/>
            </w:tcBorders>
            <w:shd w:val="clear" w:color="auto" w:fill="auto"/>
            <w:noWrap/>
            <w:vAlign w:val="bottom"/>
            <w:hideMark/>
          </w:tcPr>
          <w:p w14:paraId="12E1004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(0.182)</w:t>
            </w:r>
          </w:p>
        </w:tc>
        <w:tc>
          <w:tcPr>
            <w:tcW w:w="1134" w:type="dxa"/>
            <w:tcBorders>
              <w:top w:val="nil"/>
              <w:left w:val="nil"/>
              <w:bottom w:val="nil"/>
              <w:right w:val="nil"/>
            </w:tcBorders>
            <w:shd w:val="clear" w:color="auto" w:fill="auto"/>
            <w:noWrap/>
            <w:vAlign w:val="bottom"/>
            <w:hideMark/>
          </w:tcPr>
          <w:p w14:paraId="5CD3D48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(0.062)</w:t>
            </w:r>
          </w:p>
        </w:tc>
        <w:tc>
          <w:tcPr>
            <w:tcW w:w="1134" w:type="dxa"/>
            <w:tcBorders>
              <w:top w:val="nil"/>
              <w:left w:val="nil"/>
              <w:bottom w:val="nil"/>
              <w:right w:val="nil"/>
            </w:tcBorders>
            <w:shd w:val="clear" w:color="auto" w:fill="auto"/>
            <w:noWrap/>
            <w:vAlign w:val="bottom"/>
            <w:hideMark/>
          </w:tcPr>
          <w:p w14:paraId="458CC56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(0.018)</w:t>
            </w:r>
          </w:p>
        </w:tc>
        <w:tc>
          <w:tcPr>
            <w:tcW w:w="1220" w:type="dxa"/>
            <w:tcBorders>
              <w:top w:val="nil"/>
              <w:left w:val="nil"/>
              <w:bottom w:val="nil"/>
              <w:right w:val="nil"/>
            </w:tcBorders>
            <w:shd w:val="clear" w:color="auto" w:fill="auto"/>
            <w:noWrap/>
            <w:vAlign w:val="bottom"/>
            <w:hideMark/>
          </w:tcPr>
          <w:p w14:paraId="447E37D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(0.004)</w:t>
            </w:r>
          </w:p>
        </w:tc>
        <w:tc>
          <w:tcPr>
            <w:tcW w:w="1059" w:type="dxa"/>
            <w:tcBorders>
              <w:top w:val="nil"/>
              <w:left w:val="nil"/>
              <w:bottom w:val="nil"/>
              <w:right w:val="nil"/>
            </w:tcBorders>
            <w:shd w:val="clear" w:color="auto" w:fill="auto"/>
            <w:noWrap/>
            <w:vAlign w:val="bottom"/>
            <w:hideMark/>
          </w:tcPr>
          <w:p w14:paraId="3931261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(0.001)</w:t>
            </w:r>
          </w:p>
        </w:tc>
        <w:tc>
          <w:tcPr>
            <w:tcW w:w="1134" w:type="dxa"/>
            <w:tcBorders>
              <w:top w:val="nil"/>
              <w:left w:val="nil"/>
              <w:bottom w:val="nil"/>
              <w:right w:val="nil"/>
            </w:tcBorders>
            <w:shd w:val="clear" w:color="auto" w:fill="auto"/>
            <w:noWrap/>
            <w:vAlign w:val="bottom"/>
            <w:hideMark/>
          </w:tcPr>
          <w:p w14:paraId="2D90462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2DF5C2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r>
      <w:tr w:rsidR="004E2B5B" w:rsidRPr="00D6728E" w14:paraId="1F7DFF22" w14:textId="77777777" w:rsidTr="00532745">
        <w:trPr>
          <w:trHeight w:val="255"/>
        </w:trPr>
        <w:tc>
          <w:tcPr>
            <w:tcW w:w="3119" w:type="dxa"/>
            <w:tcBorders>
              <w:top w:val="nil"/>
              <w:left w:val="nil"/>
              <w:bottom w:val="nil"/>
              <w:right w:val="nil"/>
            </w:tcBorders>
            <w:shd w:val="clear" w:color="auto" w:fill="auto"/>
            <w:noWrap/>
            <w:vAlign w:val="bottom"/>
            <w:hideMark/>
          </w:tcPr>
          <w:p w14:paraId="07EFEA41"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Overall inflation (t-1)</w:t>
            </w:r>
          </w:p>
        </w:tc>
        <w:tc>
          <w:tcPr>
            <w:tcW w:w="1134" w:type="dxa"/>
            <w:tcBorders>
              <w:top w:val="nil"/>
              <w:left w:val="nil"/>
              <w:bottom w:val="nil"/>
              <w:right w:val="nil"/>
            </w:tcBorders>
            <w:shd w:val="clear" w:color="auto" w:fill="auto"/>
            <w:noWrap/>
            <w:vAlign w:val="bottom"/>
            <w:hideMark/>
          </w:tcPr>
          <w:p w14:paraId="19FA799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0.9191</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39181FC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0.8509</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6D87E16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0.8772</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10DFB4B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0.8930</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7123B6A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0.9053</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223020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0.9166</w:t>
            </w:r>
            <w:r w:rsidRPr="003A4B12">
              <w:rPr>
                <w:rFonts w:ascii="Times New Roman" w:hAnsi="Times New Roman" w:cs="Times New Roman"/>
                <w:sz w:val="22"/>
                <w:szCs w:val="22"/>
                <w:vertAlign w:val="superscript"/>
              </w:rPr>
              <w:t>***</w:t>
            </w:r>
          </w:p>
        </w:tc>
        <w:tc>
          <w:tcPr>
            <w:tcW w:w="1220" w:type="dxa"/>
            <w:tcBorders>
              <w:top w:val="nil"/>
              <w:left w:val="nil"/>
              <w:bottom w:val="nil"/>
              <w:right w:val="nil"/>
            </w:tcBorders>
            <w:shd w:val="clear" w:color="auto" w:fill="auto"/>
            <w:noWrap/>
            <w:vAlign w:val="bottom"/>
            <w:hideMark/>
          </w:tcPr>
          <w:p w14:paraId="1411ACF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0.9279</w:t>
            </w:r>
            <w:r w:rsidRPr="003A4B12">
              <w:rPr>
                <w:rFonts w:ascii="Times New Roman" w:hAnsi="Times New Roman" w:cs="Times New Roman"/>
                <w:sz w:val="22"/>
                <w:szCs w:val="22"/>
                <w:vertAlign w:val="superscript"/>
              </w:rPr>
              <w:t>***</w:t>
            </w:r>
          </w:p>
        </w:tc>
        <w:tc>
          <w:tcPr>
            <w:tcW w:w="1059" w:type="dxa"/>
            <w:tcBorders>
              <w:top w:val="nil"/>
              <w:left w:val="nil"/>
              <w:bottom w:val="nil"/>
              <w:right w:val="nil"/>
            </w:tcBorders>
            <w:shd w:val="clear" w:color="auto" w:fill="auto"/>
            <w:noWrap/>
            <w:vAlign w:val="bottom"/>
            <w:hideMark/>
          </w:tcPr>
          <w:p w14:paraId="05258B8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0.9407</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0C67687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0.9567</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761F07D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0.9832</w:t>
            </w:r>
            <w:r w:rsidRPr="003A4B12">
              <w:rPr>
                <w:rFonts w:ascii="Times New Roman" w:hAnsi="Times New Roman" w:cs="Times New Roman"/>
                <w:sz w:val="22"/>
                <w:szCs w:val="22"/>
                <w:vertAlign w:val="superscript"/>
              </w:rPr>
              <w:t>***</w:t>
            </w:r>
          </w:p>
        </w:tc>
      </w:tr>
      <w:tr w:rsidR="004E2B5B" w:rsidRPr="00D6728E" w14:paraId="43DA65FC" w14:textId="77777777" w:rsidTr="00532745">
        <w:trPr>
          <w:trHeight w:val="255"/>
        </w:trPr>
        <w:tc>
          <w:tcPr>
            <w:tcW w:w="3119" w:type="dxa"/>
            <w:tcBorders>
              <w:top w:val="nil"/>
              <w:left w:val="nil"/>
              <w:bottom w:val="nil"/>
              <w:right w:val="nil"/>
            </w:tcBorders>
            <w:shd w:val="clear" w:color="auto" w:fill="auto"/>
            <w:noWrap/>
            <w:vAlign w:val="bottom"/>
            <w:hideMark/>
          </w:tcPr>
          <w:p w14:paraId="3FB17E6A"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174B71CA"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44591E9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29F72FEB"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0AF6128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D319BD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3333B1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220" w:type="dxa"/>
            <w:tcBorders>
              <w:top w:val="nil"/>
              <w:left w:val="nil"/>
              <w:bottom w:val="nil"/>
              <w:right w:val="nil"/>
            </w:tcBorders>
            <w:shd w:val="clear" w:color="auto" w:fill="auto"/>
            <w:noWrap/>
            <w:vAlign w:val="bottom"/>
            <w:hideMark/>
          </w:tcPr>
          <w:p w14:paraId="2F6E30C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059" w:type="dxa"/>
            <w:tcBorders>
              <w:top w:val="nil"/>
              <w:left w:val="nil"/>
              <w:bottom w:val="nil"/>
              <w:right w:val="nil"/>
            </w:tcBorders>
            <w:shd w:val="clear" w:color="auto" w:fill="auto"/>
            <w:noWrap/>
            <w:vAlign w:val="bottom"/>
            <w:hideMark/>
          </w:tcPr>
          <w:p w14:paraId="31530DB4"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5A417513"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1C354D12"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r>
      <w:tr w:rsidR="004E2B5B" w:rsidRPr="00D6728E" w14:paraId="114695D0" w14:textId="77777777" w:rsidTr="00532745">
        <w:trPr>
          <w:trHeight w:val="255"/>
        </w:trPr>
        <w:tc>
          <w:tcPr>
            <w:tcW w:w="3119" w:type="dxa"/>
            <w:tcBorders>
              <w:top w:val="nil"/>
              <w:left w:val="nil"/>
              <w:bottom w:val="nil"/>
              <w:right w:val="nil"/>
            </w:tcBorders>
            <w:shd w:val="clear" w:color="auto" w:fill="auto"/>
            <w:noWrap/>
            <w:vAlign w:val="bottom"/>
            <w:hideMark/>
          </w:tcPr>
          <w:p w14:paraId="2C874219"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Constant</w:t>
            </w:r>
          </w:p>
        </w:tc>
        <w:tc>
          <w:tcPr>
            <w:tcW w:w="1134" w:type="dxa"/>
            <w:tcBorders>
              <w:top w:val="nil"/>
              <w:left w:val="nil"/>
              <w:bottom w:val="nil"/>
              <w:right w:val="nil"/>
            </w:tcBorders>
            <w:shd w:val="clear" w:color="auto" w:fill="auto"/>
            <w:noWrap/>
            <w:vAlign w:val="bottom"/>
            <w:hideMark/>
          </w:tcPr>
          <w:p w14:paraId="5BFF92D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0.2292</w:t>
            </w:r>
            <w:r w:rsidRPr="003A4B12">
              <w:rPr>
                <w:rFonts w:ascii="Times New Roman" w:hAnsi="Times New Roman" w:cs="Times New Roman"/>
                <w:sz w:val="22"/>
                <w:szCs w:val="22"/>
                <w:vertAlign w:val="superscript"/>
              </w:rPr>
              <w:t>***</w:t>
            </w:r>
          </w:p>
        </w:tc>
        <w:tc>
          <w:tcPr>
            <w:tcW w:w="1134" w:type="dxa"/>
            <w:tcBorders>
              <w:top w:val="nil"/>
              <w:left w:val="nil"/>
              <w:bottom w:val="nil"/>
              <w:right w:val="nil"/>
            </w:tcBorders>
            <w:shd w:val="clear" w:color="auto" w:fill="auto"/>
            <w:noWrap/>
            <w:vAlign w:val="bottom"/>
            <w:hideMark/>
          </w:tcPr>
          <w:p w14:paraId="76B15988"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0CC4BA49"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22B2A01"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CF75DFF"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38DE06BC" w14:textId="77777777" w:rsidR="004E2B5B" w:rsidRPr="003A4B12" w:rsidRDefault="004E2B5B" w:rsidP="00532745">
            <w:pPr>
              <w:jc w:val="center"/>
              <w:rPr>
                <w:rFonts w:ascii="Times New Roman" w:hAnsi="Times New Roman" w:cs="Times New Roman"/>
                <w:sz w:val="22"/>
                <w:szCs w:val="22"/>
              </w:rPr>
            </w:pPr>
          </w:p>
        </w:tc>
        <w:tc>
          <w:tcPr>
            <w:tcW w:w="1220" w:type="dxa"/>
            <w:tcBorders>
              <w:top w:val="nil"/>
              <w:left w:val="nil"/>
              <w:bottom w:val="nil"/>
              <w:right w:val="nil"/>
            </w:tcBorders>
            <w:shd w:val="clear" w:color="auto" w:fill="auto"/>
            <w:noWrap/>
            <w:vAlign w:val="bottom"/>
            <w:hideMark/>
          </w:tcPr>
          <w:p w14:paraId="38B520F4" w14:textId="77777777" w:rsidR="004E2B5B" w:rsidRPr="003A4B12" w:rsidRDefault="004E2B5B" w:rsidP="00532745">
            <w:pPr>
              <w:jc w:val="center"/>
              <w:rPr>
                <w:rFonts w:ascii="Times New Roman" w:hAnsi="Times New Roman" w:cs="Times New Roman"/>
                <w:sz w:val="22"/>
                <w:szCs w:val="22"/>
              </w:rPr>
            </w:pPr>
          </w:p>
        </w:tc>
        <w:tc>
          <w:tcPr>
            <w:tcW w:w="1059" w:type="dxa"/>
            <w:tcBorders>
              <w:top w:val="nil"/>
              <w:left w:val="nil"/>
              <w:bottom w:val="nil"/>
              <w:right w:val="nil"/>
            </w:tcBorders>
            <w:shd w:val="clear" w:color="auto" w:fill="auto"/>
            <w:noWrap/>
            <w:vAlign w:val="bottom"/>
            <w:hideMark/>
          </w:tcPr>
          <w:p w14:paraId="17BE157F"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24B6F57"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52FB6460" w14:textId="77777777" w:rsidR="004E2B5B" w:rsidRPr="003A4B12" w:rsidRDefault="004E2B5B" w:rsidP="00532745">
            <w:pPr>
              <w:jc w:val="center"/>
              <w:rPr>
                <w:rFonts w:ascii="Times New Roman" w:hAnsi="Times New Roman" w:cs="Times New Roman"/>
                <w:sz w:val="22"/>
                <w:szCs w:val="22"/>
              </w:rPr>
            </w:pPr>
          </w:p>
        </w:tc>
      </w:tr>
      <w:tr w:rsidR="004E2B5B" w:rsidRPr="00D6728E" w14:paraId="4D71C0A1" w14:textId="77777777" w:rsidTr="00532745">
        <w:trPr>
          <w:trHeight w:val="255"/>
        </w:trPr>
        <w:tc>
          <w:tcPr>
            <w:tcW w:w="3119" w:type="dxa"/>
            <w:tcBorders>
              <w:top w:val="nil"/>
              <w:left w:val="nil"/>
              <w:bottom w:val="nil"/>
              <w:right w:val="nil"/>
            </w:tcBorders>
            <w:shd w:val="clear" w:color="auto" w:fill="auto"/>
            <w:noWrap/>
            <w:vAlign w:val="bottom"/>
            <w:hideMark/>
          </w:tcPr>
          <w:p w14:paraId="5BEE055B"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5550681F"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(0.000)</w:t>
            </w:r>
          </w:p>
        </w:tc>
        <w:tc>
          <w:tcPr>
            <w:tcW w:w="1134" w:type="dxa"/>
            <w:tcBorders>
              <w:top w:val="nil"/>
              <w:left w:val="nil"/>
              <w:bottom w:val="nil"/>
              <w:right w:val="nil"/>
            </w:tcBorders>
            <w:shd w:val="clear" w:color="auto" w:fill="auto"/>
            <w:noWrap/>
            <w:vAlign w:val="bottom"/>
            <w:hideMark/>
          </w:tcPr>
          <w:p w14:paraId="08B754F7"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C434A30"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3C821810"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65E1E4C5"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261233EF" w14:textId="77777777" w:rsidR="004E2B5B" w:rsidRPr="003A4B12" w:rsidRDefault="004E2B5B" w:rsidP="00532745">
            <w:pPr>
              <w:jc w:val="center"/>
              <w:rPr>
                <w:rFonts w:ascii="Times New Roman" w:hAnsi="Times New Roman" w:cs="Times New Roman"/>
                <w:sz w:val="22"/>
                <w:szCs w:val="22"/>
              </w:rPr>
            </w:pPr>
          </w:p>
        </w:tc>
        <w:tc>
          <w:tcPr>
            <w:tcW w:w="1220" w:type="dxa"/>
            <w:tcBorders>
              <w:top w:val="nil"/>
              <w:left w:val="nil"/>
              <w:bottom w:val="nil"/>
              <w:right w:val="nil"/>
            </w:tcBorders>
            <w:shd w:val="clear" w:color="auto" w:fill="auto"/>
            <w:noWrap/>
            <w:vAlign w:val="bottom"/>
            <w:hideMark/>
          </w:tcPr>
          <w:p w14:paraId="235F0D8D" w14:textId="77777777" w:rsidR="004E2B5B" w:rsidRPr="003A4B12" w:rsidRDefault="004E2B5B" w:rsidP="00532745">
            <w:pPr>
              <w:jc w:val="center"/>
              <w:rPr>
                <w:rFonts w:ascii="Times New Roman" w:hAnsi="Times New Roman" w:cs="Times New Roman"/>
                <w:sz w:val="22"/>
                <w:szCs w:val="22"/>
              </w:rPr>
            </w:pPr>
          </w:p>
        </w:tc>
        <w:tc>
          <w:tcPr>
            <w:tcW w:w="1059" w:type="dxa"/>
            <w:tcBorders>
              <w:top w:val="nil"/>
              <w:left w:val="nil"/>
              <w:bottom w:val="nil"/>
              <w:right w:val="nil"/>
            </w:tcBorders>
            <w:shd w:val="clear" w:color="auto" w:fill="auto"/>
            <w:noWrap/>
            <w:vAlign w:val="bottom"/>
            <w:hideMark/>
          </w:tcPr>
          <w:p w14:paraId="109796C5"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227FAE0E"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17450231" w14:textId="77777777" w:rsidR="004E2B5B" w:rsidRPr="003A4B12" w:rsidRDefault="004E2B5B" w:rsidP="00532745">
            <w:pPr>
              <w:jc w:val="center"/>
              <w:rPr>
                <w:rFonts w:ascii="Times New Roman" w:hAnsi="Times New Roman" w:cs="Times New Roman"/>
                <w:sz w:val="22"/>
                <w:szCs w:val="22"/>
              </w:rPr>
            </w:pPr>
          </w:p>
        </w:tc>
      </w:tr>
      <w:tr w:rsidR="004E2B5B" w:rsidRPr="00D6728E" w14:paraId="78248939" w14:textId="77777777" w:rsidTr="00532745">
        <w:trPr>
          <w:trHeight w:val="255"/>
        </w:trPr>
        <w:tc>
          <w:tcPr>
            <w:tcW w:w="3119" w:type="dxa"/>
            <w:tcBorders>
              <w:top w:val="nil"/>
              <w:left w:val="nil"/>
              <w:bottom w:val="nil"/>
              <w:right w:val="nil"/>
            </w:tcBorders>
            <w:shd w:val="clear" w:color="auto" w:fill="auto"/>
            <w:noWrap/>
            <w:vAlign w:val="bottom"/>
            <w:hideMark/>
          </w:tcPr>
          <w:p w14:paraId="1FF7CE7C"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00B93767" w14:textId="77777777" w:rsidR="004E2B5B" w:rsidRPr="003A4B12" w:rsidRDefault="004E2B5B" w:rsidP="00532745">
            <w:pP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5C8F216A"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A01C5C8"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310D9300"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0CD3EE3"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0CF28D25" w14:textId="77777777" w:rsidR="004E2B5B" w:rsidRPr="003A4B12" w:rsidRDefault="004E2B5B" w:rsidP="00532745">
            <w:pPr>
              <w:jc w:val="center"/>
              <w:rPr>
                <w:rFonts w:ascii="Times New Roman" w:hAnsi="Times New Roman" w:cs="Times New Roman"/>
                <w:sz w:val="22"/>
                <w:szCs w:val="22"/>
              </w:rPr>
            </w:pPr>
          </w:p>
        </w:tc>
        <w:tc>
          <w:tcPr>
            <w:tcW w:w="1220" w:type="dxa"/>
            <w:tcBorders>
              <w:top w:val="nil"/>
              <w:left w:val="nil"/>
              <w:bottom w:val="nil"/>
              <w:right w:val="nil"/>
            </w:tcBorders>
            <w:shd w:val="clear" w:color="auto" w:fill="auto"/>
            <w:noWrap/>
            <w:vAlign w:val="bottom"/>
            <w:hideMark/>
          </w:tcPr>
          <w:p w14:paraId="501D6F86" w14:textId="77777777" w:rsidR="004E2B5B" w:rsidRPr="003A4B12" w:rsidRDefault="004E2B5B" w:rsidP="00532745">
            <w:pPr>
              <w:jc w:val="center"/>
              <w:rPr>
                <w:rFonts w:ascii="Times New Roman" w:hAnsi="Times New Roman" w:cs="Times New Roman"/>
                <w:sz w:val="22"/>
                <w:szCs w:val="22"/>
              </w:rPr>
            </w:pPr>
          </w:p>
        </w:tc>
        <w:tc>
          <w:tcPr>
            <w:tcW w:w="1059" w:type="dxa"/>
            <w:tcBorders>
              <w:top w:val="nil"/>
              <w:left w:val="nil"/>
              <w:bottom w:val="nil"/>
              <w:right w:val="nil"/>
            </w:tcBorders>
            <w:shd w:val="clear" w:color="auto" w:fill="auto"/>
            <w:noWrap/>
            <w:vAlign w:val="bottom"/>
            <w:hideMark/>
          </w:tcPr>
          <w:p w14:paraId="144C5288"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4F06DFA1" w14:textId="77777777" w:rsidR="004E2B5B" w:rsidRPr="003A4B12" w:rsidRDefault="004E2B5B" w:rsidP="00532745">
            <w:pPr>
              <w:jc w:val="cente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55BE147B" w14:textId="77777777" w:rsidR="004E2B5B" w:rsidRPr="003A4B12" w:rsidRDefault="004E2B5B" w:rsidP="00532745">
            <w:pPr>
              <w:jc w:val="center"/>
              <w:rPr>
                <w:rFonts w:ascii="Times New Roman" w:hAnsi="Times New Roman" w:cs="Times New Roman"/>
                <w:sz w:val="22"/>
                <w:szCs w:val="22"/>
              </w:rPr>
            </w:pPr>
          </w:p>
        </w:tc>
      </w:tr>
      <w:tr w:rsidR="004E2B5B" w:rsidRPr="00D6728E" w14:paraId="269332BB" w14:textId="77777777" w:rsidTr="00532745">
        <w:trPr>
          <w:trHeight w:val="255"/>
        </w:trPr>
        <w:tc>
          <w:tcPr>
            <w:tcW w:w="3119" w:type="dxa"/>
            <w:tcBorders>
              <w:top w:val="nil"/>
              <w:left w:val="nil"/>
              <w:bottom w:val="nil"/>
              <w:right w:val="nil"/>
            </w:tcBorders>
            <w:shd w:val="clear" w:color="auto" w:fill="auto"/>
            <w:noWrap/>
            <w:vAlign w:val="bottom"/>
            <w:hideMark/>
          </w:tcPr>
          <w:p w14:paraId="2CB1480B"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Observations</w:t>
            </w:r>
          </w:p>
        </w:tc>
        <w:tc>
          <w:tcPr>
            <w:tcW w:w="1134" w:type="dxa"/>
            <w:tcBorders>
              <w:top w:val="nil"/>
              <w:left w:val="nil"/>
              <w:bottom w:val="nil"/>
              <w:right w:val="nil"/>
            </w:tcBorders>
            <w:shd w:val="clear" w:color="auto" w:fill="auto"/>
            <w:noWrap/>
            <w:vAlign w:val="bottom"/>
            <w:hideMark/>
          </w:tcPr>
          <w:p w14:paraId="28259D0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4606A10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075CC1A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0C7D959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48E0494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5F67DB9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220" w:type="dxa"/>
            <w:tcBorders>
              <w:top w:val="nil"/>
              <w:left w:val="nil"/>
              <w:bottom w:val="nil"/>
              <w:right w:val="nil"/>
            </w:tcBorders>
            <w:shd w:val="clear" w:color="auto" w:fill="auto"/>
            <w:noWrap/>
            <w:vAlign w:val="bottom"/>
            <w:hideMark/>
          </w:tcPr>
          <w:p w14:paraId="2E6035E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059" w:type="dxa"/>
            <w:tcBorders>
              <w:top w:val="nil"/>
              <w:left w:val="nil"/>
              <w:bottom w:val="nil"/>
              <w:right w:val="nil"/>
            </w:tcBorders>
            <w:shd w:val="clear" w:color="auto" w:fill="auto"/>
            <w:noWrap/>
            <w:vAlign w:val="bottom"/>
            <w:hideMark/>
          </w:tcPr>
          <w:p w14:paraId="3C00B709"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027A9F21"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c>
          <w:tcPr>
            <w:tcW w:w="1134" w:type="dxa"/>
            <w:tcBorders>
              <w:top w:val="nil"/>
              <w:left w:val="nil"/>
              <w:bottom w:val="nil"/>
              <w:right w:val="nil"/>
            </w:tcBorders>
            <w:shd w:val="clear" w:color="auto" w:fill="auto"/>
            <w:noWrap/>
            <w:vAlign w:val="bottom"/>
            <w:hideMark/>
          </w:tcPr>
          <w:p w14:paraId="353753B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24,568</w:t>
            </w:r>
          </w:p>
        </w:tc>
      </w:tr>
      <w:tr w:rsidR="004E2B5B" w:rsidRPr="00D6728E" w14:paraId="18346D65" w14:textId="77777777" w:rsidTr="00532745">
        <w:trPr>
          <w:trHeight w:val="255"/>
        </w:trPr>
        <w:tc>
          <w:tcPr>
            <w:tcW w:w="3119" w:type="dxa"/>
            <w:tcBorders>
              <w:top w:val="nil"/>
              <w:left w:val="nil"/>
              <w:bottom w:val="single" w:sz="4" w:space="0" w:color="auto"/>
              <w:right w:val="nil"/>
            </w:tcBorders>
            <w:shd w:val="clear" w:color="auto" w:fill="auto"/>
            <w:noWrap/>
            <w:vAlign w:val="bottom"/>
            <w:hideMark/>
          </w:tcPr>
          <w:p w14:paraId="780DF098" w14:textId="77777777" w:rsidR="004E2B5B" w:rsidRPr="003A4B12" w:rsidRDefault="004E2B5B" w:rsidP="00532745">
            <w:pPr>
              <w:rPr>
                <w:rFonts w:ascii="Times New Roman" w:hAnsi="Times New Roman" w:cs="Times New Roman"/>
                <w:sz w:val="22"/>
                <w:szCs w:val="22"/>
              </w:rPr>
            </w:pPr>
            <w:r w:rsidRPr="003A4B12">
              <w:rPr>
                <w:rFonts w:ascii="Times New Roman" w:hAnsi="Times New Roman" w:cs="Times New Roman"/>
                <w:sz w:val="22"/>
                <w:szCs w:val="22"/>
              </w:rPr>
              <w:t>R-squared</w:t>
            </w:r>
          </w:p>
        </w:tc>
        <w:tc>
          <w:tcPr>
            <w:tcW w:w="1134" w:type="dxa"/>
            <w:tcBorders>
              <w:top w:val="nil"/>
              <w:left w:val="nil"/>
              <w:bottom w:val="single" w:sz="4" w:space="0" w:color="auto"/>
              <w:right w:val="nil"/>
            </w:tcBorders>
            <w:shd w:val="clear" w:color="auto" w:fill="auto"/>
            <w:noWrap/>
            <w:vAlign w:val="bottom"/>
            <w:hideMark/>
          </w:tcPr>
          <w:p w14:paraId="49D3EE0E"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0.909</w:t>
            </w:r>
          </w:p>
        </w:tc>
        <w:tc>
          <w:tcPr>
            <w:tcW w:w="1134" w:type="dxa"/>
            <w:tcBorders>
              <w:top w:val="nil"/>
              <w:left w:val="nil"/>
              <w:bottom w:val="single" w:sz="4" w:space="0" w:color="auto"/>
              <w:right w:val="nil"/>
            </w:tcBorders>
            <w:shd w:val="clear" w:color="auto" w:fill="auto"/>
            <w:noWrap/>
            <w:vAlign w:val="bottom"/>
            <w:hideMark/>
          </w:tcPr>
          <w:p w14:paraId="62606C38"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hideMark/>
          </w:tcPr>
          <w:p w14:paraId="2824981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hideMark/>
          </w:tcPr>
          <w:p w14:paraId="1EEB1B2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hideMark/>
          </w:tcPr>
          <w:p w14:paraId="3C7D3927"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hideMark/>
          </w:tcPr>
          <w:p w14:paraId="2B06576C"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220" w:type="dxa"/>
            <w:tcBorders>
              <w:top w:val="nil"/>
              <w:left w:val="nil"/>
              <w:bottom w:val="single" w:sz="4" w:space="0" w:color="auto"/>
              <w:right w:val="nil"/>
            </w:tcBorders>
            <w:shd w:val="clear" w:color="auto" w:fill="auto"/>
            <w:noWrap/>
            <w:vAlign w:val="bottom"/>
            <w:hideMark/>
          </w:tcPr>
          <w:p w14:paraId="2D54A44D"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059" w:type="dxa"/>
            <w:tcBorders>
              <w:top w:val="nil"/>
              <w:left w:val="nil"/>
              <w:bottom w:val="single" w:sz="4" w:space="0" w:color="auto"/>
              <w:right w:val="nil"/>
            </w:tcBorders>
            <w:shd w:val="clear" w:color="auto" w:fill="auto"/>
            <w:noWrap/>
            <w:vAlign w:val="bottom"/>
            <w:hideMark/>
          </w:tcPr>
          <w:p w14:paraId="232FDE30"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hideMark/>
          </w:tcPr>
          <w:p w14:paraId="7E6BA476"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hideMark/>
          </w:tcPr>
          <w:p w14:paraId="02913895" w14:textId="77777777" w:rsidR="004E2B5B" w:rsidRPr="003A4B12" w:rsidRDefault="004E2B5B" w:rsidP="00532745">
            <w:pPr>
              <w:jc w:val="center"/>
              <w:rPr>
                <w:rFonts w:ascii="Times New Roman" w:hAnsi="Times New Roman" w:cs="Times New Roman"/>
                <w:sz w:val="22"/>
                <w:szCs w:val="22"/>
              </w:rPr>
            </w:pPr>
            <w:r w:rsidRPr="003A4B12">
              <w:rPr>
                <w:rFonts w:ascii="Times New Roman" w:hAnsi="Times New Roman" w:cs="Times New Roman"/>
                <w:sz w:val="22"/>
                <w:szCs w:val="22"/>
              </w:rPr>
              <w:t> </w:t>
            </w:r>
          </w:p>
        </w:tc>
      </w:tr>
    </w:tbl>
    <w:p w14:paraId="2CF14F3C" w14:textId="1F6706D3" w:rsidR="004E2B5B" w:rsidRPr="003A4B12" w:rsidRDefault="00064832" w:rsidP="004E2B5B">
      <w:pPr>
        <w:ind w:left="-706"/>
        <w:jc w:val="both"/>
        <w:rPr>
          <w:rFonts w:ascii="Times New Roman" w:hAnsi="Times New Roman" w:cs="Times New Roman"/>
          <w:sz w:val="21"/>
          <w:szCs w:val="21"/>
        </w:rPr>
      </w:pPr>
      <w:r>
        <w:rPr>
          <w:rFonts w:ascii="Times New Roman" w:hAnsi="Times New Roman" w:cs="Times New Roman"/>
          <w:sz w:val="21"/>
          <w:szCs w:val="21"/>
        </w:rPr>
        <w:t xml:space="preserve">Notes: </w:t>
      </w:r>
      <w:r w:rsidR="004E2B5B" w:rsidRPr="003A4B12">
        <w:rPr>
          <w:rFonts w:ascii="Times New Roman" w:hAnsi="Times New Roman" w:cs="Times New Roman"/>
          <w:sz w:val="21"/>
          <w:szCs w:val="21"/>
        </w:rPr>
        <w:t>***, **, and * denote significance at the 1</w:t>
      </w:r>
      <w:r w:rsidR="00814464">
        <w:rPr>
          <w:rFonts w:ascii="Times New Roman" w:hAnsi="Times New Roman" w:cs="Times New Roman"/>
          <w:sz w:val="24"/>
          <w:szCs w:val="24"/>
        </w:rPr>
        <w:t>%</w:t>
      </w:r>
      <w:r w:rsidR="004E2B5B" w:rsidRPr="003A4B12">
        <w:rPr>
          <w:rFonts w:ascii="Times New Roman" w:hAnsi="Times New Roman" w:cs="Times New Roman"/>
          <w:sz w:val="21"/>
          <w:szCs w:val="21"/>
        </w:rPr>
        <w:t>, 5</w:t>
      </w:r>
      <w:r w:rsidR="00814464">
        <w:rPr>
          <w:rFonts w:ascii="Times New Roman" w:hAnsi="Times New Roman" w:cs="Times New Roman"/>
          <w:sz w:val="24"/>
          <w:szCs w:val="24"/>
        </w:rPr>
        <w:t>%</w:t>
      </w:r>
      <w:r w:rsidR="004E2B5B" w:rsidRPr="003A4B12">
        <w:rPr>
          <w:rFonts w:ascii="Times New Roman" w:hAnsi="Times New Roman" w:cs="Times New Roman"/>
          <w:sz w:val="21"/>
          <w:szCs w:val="21"/>
        </w:rPr>
        <w:t>, and 10</w:t>
      </w:r>
      <w:r w:rsidR="00814464">
        <w:rPr>
          <w:rFonts w:ascii="Times New Roman" w:hAnsi="Times New Roman" w:cs="Times New Roman"/>
          <w:sz w:val="24"/>
          <w:szCs w:val="24"/>
        </w:rPr>
        <w:t>%</w:t>
      </w:r>
      <w:r w:rsidR="004E2B5B" w:rsidRPr="003A4B12">
        <w:rPr>
          <w:rFonts w:ascii="Times New Roman" w:hAnsi="Times New Roman" w:cs="Times New Roman"/>
          <w:sz w:val="21"/>
          <w:szCs w:val="21"/>
        </w:rPr>
        <w:t xml:space="preserve"> levels. </w:t>
      </w:r>
      <w:r w:rsidRPr="003A4B12">
        <w:rPr>
          <w:rFonts w:ascii="Times New Roman" w:hAnsi="Times New Roman" w:cs="Times New Roman"/>
          <w:sz w:val="21"/>
          <w:szCs w:val="21"/>
        </w:rPr>
        <w:t xml:space="preserve">Figures in parentheses are </w:t>
      </w:r>
      <w:r w:rsidRPr="001503F2">
        <w:rPr>
          <w:rFonts w:ascii="Times New Roman" w:hAnsi="Times New Roman" w:cs="Times New Roman"/>
          <w:i/>
          <w:iCs/>
          <w:sz w:val="21"/>
          <w:szCs w:val="21"/>
        </w:rPr>
        <w:t>p</w:t>
      </w:r>
      <w:r w:rsidRPr="003A4B12">
        <w:rPr>
          <w:rFonts w:ascii="Times New Roman" w:hAnsi="Times New Roman" w:cs="Times New Roman"/>
          <w:sz w:val="21"/>
          <w:szCs w:val="21"/>
        </w:rPr>
        <w:t>-values</w:t>
      </w:r>
      <w:r w:rsidRPr="00D6728E">
        <w:rPr>
          <w:rFonts w:ascii="Montserrat" w:hAnsi="Montserrat"/>
          <w:sz w:val="16"/>
          <w:szCs w:val="16"/>
        </w:rPr>
        <w:t>.</w:t>
      </w:r>
      <w:r>
        <w:rPr>
          <w:rFonts w:ascii="Montserrat" w:hAnsi="Montserrat"/>
          <w:sz w:val="16"/>
          <w:szCs w:val="16"/>
        </w:rPr>
        <w:t xml:space="preserve"> </w:t>
      </w:r>
      <w:r w:rsidR="004E2B5B" w:rsidRPr="003A4B12">
        <w:rPr>
          <w:rFonts w:ascii="Times New Roman" w:hAnsi="Times New Roman" w:cs="Times New Roman"/>
          <w:sz w:val="21"/>
          <w:szCs w:val="21"/>
        </w:rPr>
        <w:t>OLS is Ordinary Least Squares.</w:t>
      </w:r>
    </w:p>
    <w:p w14:paraId="106C908A" w14:textId="77777777" w:rsidR="004E2B5B" w:rsidRPr="00D6728E" w:rsidRDefault="004E2B5B" w:rsidP="004E2B5B">
      <w:pPr>
        <w:ind w:left="-706"/>
        <w:jc w:val="both"/>
        <w:rPr>
          <w:rFonts w:ascii="Montserrat" w:eastAsia="Arial" w:hAnsi="Montserrat" w:cs="Times New Roman"/>
          <w:sz w:val="6"/>
          <w:szCs w:val="6"/>
        </w:rPr>
      </w:pPr>
    </w:p>
    <w:p w14:paraId="2FF1B116" w14:textId="77777777" w:rsidR="004E2B5B" w:rsidRPr="00D6728E" w:rsidRDefault="004E2B5B" w:rsidP="004E2B5B">
      <w:pPr>
        <w:ind w:left="-706"/>
        <w:jc w:val="both"/>
        <w:rPr>
          <w:rFonts w:ascii="Montserrat" w:hAnsi="Montserrat"/>
        </w:rPr>
        <w:sectPr w:rsidR="004E2B5B" w:rsidRPr="00D6728E" w:rsidSect="004E2B5B">
          <w:pgSz w:w="16838" w:h="11906" w:orient="landscape" w:code="9"/>
          <w:pgMar w:top="1440" w:right="1440" w:bottom="1440" w:left="1440" w:header="720" w:footer="720" w:gutter="0"/>
          <w:cols w:space="720"/>
          <w:docGrid w:linePitch="360"/>
        </w:sectPr>
      </w:pPr>
    </w:p>
    <w:p w14:paraId="54981A63" w14:textId="149A2E10" w:rsidR="004E2B5B" w:rsidRPr="00423E4F" w:rsidRDefault="004E2B5B" w:rsidP="004E2B5B">
      <w:pPr>
        <w:ind w:firstLine="360"/>
        <w:jc w:val="both"/>
        <w:rPr>
          <w:rFonts w:ascii="Times New Roman" w:hAnsi="Times New Roman" w:cs="Times New Roman"/>
          <w:sz w:val="24"/>
          <w:szCs w:val="24"/>
        </w:rPr>
      </w:pPr>
      <w:proofErr w:type="spellStart"/>
      <w:r w:rsidRPr="00423E4F">
        <w:rPr>
          <w:rFonts w:ascii="Times New Roman" w:hAnsi="Times New Roman" w:cs="Times New Roman"/>
          <w:sz w:val="24"/>
          <w:szCs w:val="24"/>
        </w:rPr>
        <w:lastRenderedPageBreak/>
        <w:t>Golosov</w:t>
      </w:r>
      <w:proofErr w:type="spellEnd"/>
      <w:r w:rsidRPr="00423E4F">
        <w:rPr>
          <w:rFonts w:ascii="Times New Roman" w:hAnsi="Times New Roman" w:cs="Times New Roman"/>
          <w:sz w:val="24"/>
          <w:szCs w:val="24"/>
        </w:rPr>
        <w:t xml:space="preserve"> and Lucas (2007) offer a state-dependent approach which suggests that firms adjust their prices based on prevailing economic conditions, particularly in response to rising input costs and inflationary pressures. Their menu costs framework suggests that while firms may exhibit price rigidity, the urgency to adjust prices in high inflation contexts often outweighs their reluctance to change prices frequently. Devereux and Siu (2007) add</w:t>
      </w:r>
      <w:r w:rsidR="00094C0F" w:rsidRPr="00423E4F">
        <w:rPr>
          <w:rFonts w:ascii="Times New Roman" w:hAnsi="Times New Roman" w:cs="Times New Roman"/>
          <w:sz w:val="24"/>
          <w:szCs w:val="24"/>
        </w:rPr>
        <w:t>ed</w:t>
      </w:r>
      <w:r w:rsidRPr="00423E4F">
        <w:rPr>
          <w:rFonts w:ascii="Times New Roman" w:hAnsi="Times New Roman" w:cs="Times New Roman"/>
          <w:sz w:val="24"/>
          <w:szCs w:val="24"/>
        </w:rPr>
        <w:t xml:space="preserve"> to this discussion by suggesting that firms are more averse to underpricing than over-pricing goods. In this case, firms strongly pass higher costs to prices when they expect high inflation (Banerjee et al. 2024). By building on the work of </w:t>
      </w:r>
      <w:proofErr w:type="spellStart"/>
      <w:r w:rsidRPr="00423E4F">
        <w:rPr>
          <w:rFonts w:ascii="Times New Roman" w:hAnsi="Times New Roman" w:cs="Times New Roman"/>
          <w:sz w:val="24"/>
          <w:szCs w:val="24"/>
        </w:rPr>
        <w:t>Golosov</w:t>
      </w:r>
      <w:proofErr w:type="spellEnd"/>
      <w:r w:rsidRPr="00423E4F">
        <w:rPr>
          <w:rFonts w:ascii="Times New Roman" w:hAnsi="Times New Roman" w:cs="Times New Roman"/>
          <w:sz w:val="24"/>
          <w:szCs w:val="24"/>
        </w:rPr>
        <w:t xml:space="preserve"> and Lucas (2007), Gagnon (2009) show</w:t>
      </w:r>
      <w:r w:rsidR="00094C0F" w:rsidRPr="00423E4F">
        <w:rPr>
          <w:rFonts w:ascii="Times New Roman" w:hAnsi="Times New Roman" w:cs="Times New Roman"/>
          <w:sz w:val="24"/>
          <w:szCs w:val="24"/>
        </w:rPr>
        <w:t>ed</w:t>
      </w:r>
      <w:r w:rsidRPr="00423E4F">
        <w:rPr>
          <w:rFonts w:ascii="Times New Roman" w:hAnsi="Times New Roman" w:cs="Times New Roman"/>
          <w:sz w:val="24"/>
          <w:szCs w:val="24"/>
        </w:rPr>
        <w:t xml:space="preserve"> that the relationship between aggregate inflation and average price adjustment frequencies becomes more </w:t>
      </w:r>
      <w:proofErr w:type="spellStart"/>
      <w:r w:rsidRPr="00423E4F">
        <w:rPr>
          <w:rFonts w:ascii="Times New Roman" w:hAnsi="Times New Roman" w:cs="Times New Roman"/>
          <w:sz w:val="24"/>
          <w:szCs w:val="24"/>
        </w:rPr>
        <w:t>evide</w:t>
      </w:r>
      <w:r w:rsidR="00094C0F" w:rsidRPr="00423E4F">
        <w:rPr>
          <w:rFonts w:ascii="Times New Roman" w:hAnsi="Times New Roman" w:cs="Times New Roman"/>
          <w:sz w:val="24"/>
          <w:szCs w:val="24"/>
        </w:rPr>
        <w:t>d</w:t>
      </w:r>
      <w:r w:rsidRPr="00423E4F">
        <w:rPr>
          <w:rFonts w:ascii="Times New Roman" w:hAnsi="Times New Roman" w:cs="Times New Roman"/>
          <w:sz w:val="24"/>
          <w:szCs w:val="24"/>
        </w:rPr>
        <w:t>nt</w:t>
      </w:r>
      <w:proofErr w:type="spellEnd"/>
      <w:r w:rsidRPr="00423E4F">
        <w:rPr>
          <w:rFonts w:ascii="Times New Roman" w:hAnsi="Times New Roman" w:cs="Times New Roman"/>
          <w:sz w:val="24"/>
          <w:szCs w:val="24"/>
        </w:rPr>
        <w:t xml:space="preserve"> during periods of elevated inflation (Benedict, </w:t>
      </w:r>
      <w:proofErr w:type="spellStart"/>
      <w:r w:rsidRPr="00423E4F">
        <w:rPr>
          <w:rFonts w:ascii="Times New Roman" w:hAnsi="Times New Roman" w:cs="Times New Roman"/>
          <w:sz w:val="24"/>
          <w:szCs w:val="24"/>
        </w:rPr>
        <w:t>Crucini</w:t>
      </w:r>
      <w:proofErr w:type="spellEnd"/>
      <w:r w:rsidRPr="00423E4F">
        <w:rPr>
          <w:rFonts w:ascii="Times New Roman" w:hAnsi="Times New Roman" w:cs="Times New Roman"/>
          <w:sz w:val="24"/>
          <w:szCs w:val="24"/>
        </w:rPr>
        <w:t xml:space="preserve">, and Landry 2020). </w:t>
      </w:r>
    </w:p>
    <w:p w14:paraId="6A392686" w14:textId="77777777" w:rsidR="004E2B5B" w:rsidRPr="00423E4F" w:rsidRDefault="004E2B5B" w:rsidP="004E2B5B">
      <w:pPr>
        <w:ind w:firstLine="360"/>
        <w:jc w:val="both"/>
        <w:rPr>
          <w:rFonts w:ascii="Times New Roman" w:hAnsi="Times New Roman" w:cs="Times New Roman"/>
          <w:sz w:val="24"/>
          <w:szCs w:val="24"/>
        </w:rPr>
      </w:pPr>
    </w:p>
    <w:p w14:paraId="2D87C55D" w14:textId="4C5A240D" w:rsidR="004E2B5B" w:rsidRPr="00423E4F" w:rsidRDefault="004E2B5B" w:rsidP="004E2B5B">
      <w:pPr>
        <w:ind w:firstLine="360"/>
        <w:jc w:val="both"/>
        <w:rPr>
          <w:rFonts w:ascii="Times New Roman" w:hAnsi="Times New Roman" w:cs="Times New Roman"/>
          <w:sz w:val="24"/>
          <w:szCs w:val="24"/>
        </w:rPr>
      </w:pPr>
      <w:r w:rsidRPr="00423E4F">
        <w:rPr>
          <w:rFonts w:ascii="Times New Roman" w:hAnsi="Times New Roman" w:cs="Times New Roman"/>
          <w:sz w:val="24"/>
          <w:szCs w:val="24"/>
        </w:rPr>
        <w:t xml:space="preserve">Costain and </w:t>
      </w:r>
      <w:proofErr w:type="spellStart"/>
      <w:r w:rsidRPr="00423E4F">
        <w:rPr>
          <w:rFonts w:ascii="Times New Roman" w:hAnsi="Times New Roman" w:cs="Times New Roman"/>
          <w:sz w:val="24"/>
          <w:szCs w:val="24"/>
        </w:rPr>
        <w:t>Nakov</w:t>
      </w:r>
      <w:proofErr w:type="spellEnd"/>
      <w:r w:rsidRPr="00423E4F">
        <w:rPr>
          <w:rFonts w:ascii="Times New Roman" w:hAnsi="Times New Roman" w:cs="Times New Roman"/>
          <w:sz w:val="24"/>
          <w:szCs w:val="24"/>
        </w:rPr>
        <w:t xml:space="preserve"> (2011) refine</w:t>
      </w:r>
      <w:r w:rsidR="00094C0F" w:rsidRPr="00423E4F">
        <w:rPr>
          <w:rFonts w:ascii="Times New Roman" w:hAnsi="Times New Roman" w:cs="Times New Roman"/>
          <w:sz w:val="24"/>
          <w:szCs w:val="24"/>
        </w:rPr>
        <w:t>d</w:t>
      </w:r>
      <w:r w:rsidRPr="00423E4F">
        <w:rPr>
          <w:rFonts w:ascii="Times New Roman" w:hAnsi="Times New Roman" w:cs="Times New Roman"/>
          <w:sz w:val="24"/>
          <w:szCs w:val="24"/>
        </w:rPr>
        <w:t xml:space="preserve"> this discussion through the analysis of different pricing mechanisms within a New Keynesian framework. Contrasting the Calvo model with more flexible pricing strategies and emphasizing the role of cost control, Costain and </w:t>
      </w:r>
      <w:proofErr w:type="spellStart"/>
      <w:r w:rsidRPr="00423E4F">
        <w:rPr>
          <w:rFonts w:ascii="Times New Roman" w:hAnsi="Times New Roman" w:cs="Times New Roman"/>
          <w:sz w:val="24"/>
          <w:szCs w:val="24"/>
        </w:rPr>
        <w:t>Nakov</w:t>
      </w:r>
      <w:proofErr w:type="spellEnd"/>
      <w:r w:rsidRPr="00423E4F">
        <w:rPr>
          <w:rFonts w:ascii="Times New Roman" w:hAnsi="Times New Roman" w:cs="Times New Roman"/>
          <w:sz w:val="24"/>
          <w:szCs w:val="24"/>
        </w:rPr>
        <w:t xml:space="preserve"> (2011) note</w:t>
      </w:r>
      <w:r w:rsidR="00094C0F" w:rsidRPr="00423E4F">
        <w:rPr>
          <w:rFonts w:ascii="Times New Roman" w:hAnsi="Times New Roman" w:cs="Times New Roman"/>
          <w:sz w:val="24"/>
          <w:szCs w:val="24"/>
        </w:rPr>
        <w:t>d</w:t>
      </w:r>
      <w:r w:rsidRPr="00423E4F">
        <w:rPr>
          <w:rFonts w:ascii="Times New Roman" w:hAnsi="Times New Roman" w:cs="Times New Roman"/>
          <w:sz w:val="24"/>
          <w:szCs w:val="24"/>
        </w:rPr>
        <w:t xml:space="preserve"> that firms with lower control costs are better positioned to adjust their prices in response to inflationary pressures. They explain that effectively managing the costs allows firms to be more agile in pricing decisions and facilitate</w:t>
      </w:r>
      <w:r w:rsidR="00927E1B" w:rsidRPr="00423E4F">
        <w:rPr>
          <w:rFonts w:ascii="Times New Roman" w:hAnsi="Times New Roman" w:cs="Times New Roman"/>
          <w:sz w:val="24"/>
          <w:szCs w:val="24"/>
        </w:rPr>
        <w:t>s</w:t>
      </w:r>
      <w:r w:rsidRPr="00423E4F">
        <w:rPr>
          <w:rFonts w:ascii="Times New Roman" w:hAnsi="Times New Roman" w:cs="Times New Roman"/>
          <w:sz w:val="24"/>
          <w:szCs w:val="24"/>
        </w:rPr>
        <w:t xml:space="preserve"> quicker adjustments to rising input costs and inflation.</w:t>
      </w:r>
    </w:p>
    <w:p w14:paraId="4CAB3CBA" w14:textId="77777777" w:rsidR="004E2B5B" w:rsidRPr="00423E4F" w:rsidRDefault="004E2B5B" w:rsidP="004E2B5B">
      <w:pPr>
        <w:ind w:firstLine="360"/>
        <w:jc w:val="both"/>
        <w:rPr>
          <w:rFonts w:ascii="Times New Roman" w:hAnsi="Times New Roman" w:cs="Times New Roman"/>
          <w:sz w:val="24"/>
          <w:szCs w:val="24"/>
        </w:rPr>
      </w:pPr>
    </w:p>
    <w:p w14:paraId="60459165" w14:textId="631FB82C" w:rsidR="004E2B5B" w:rsidRPr="00423E4F" w:rsidRDefault="004E2B5B" w:rsidP="004E2B5B">
      <w:pPr>
        <w:ind w:firstLine="360"/>
        <w:jc w:val="both"/>
        <w:rPr>
          <w:rFonts w:ascii="Times New Roman" w:hAnsi="Times New Roman" w:cs="Times New Roman"/>
          <w:sz w:val="24"/>
          <w:szCs w:val="24"/>
        </w:rPr>
      </w:pPr>
      <w:r w:rsidRPr="00423E4F">
        <w:rPr>
          <w:rFonts w:ascii="Times New Roman" w:hAnsi="Times New Roman" w:cs="Times New Roman"/>
          <w:sz w:val="24"/>
          <w:szCs w:val="24"/>
        </w:rPr>
        <w:t xml:space="preserve">Given these economic rationales, our empirical results may suggest that when inflation is higher, firms adjust their prices more quickly, increasing the tendency for them to pass on rice and gasoline price increases. In other words, higher inflation prompts larger price responses from firms that </w:t>
      </w:r>
      <w:proofErr w:type="gramStart"/>
      <w:r w:rsidRPr="00423E4F">
        <w:rPr>
          <w:rFonts w:ascii="Times New Roman" w:hAnsi="Times New Roman" w:cs="Times New Roman"/>
          <w:sz w:val="24"/>
          <w:szCs w:val="24"/>
        </w:rPr>
        <w:t>are able to</w:t>
      </w:r>
      <w:proofErr w:type="gramEnd"/>
      <w:r w:rsidRPr="00423E4F">
        <w:rPr>
          <w:rFonts w:ascii="Times New Roman" w:hAnsi="Times New Roman" w:cs="Times New Roman"/>
          <w:sz w:val="24"/>
          <w:szCs w:val="24"/>
        </w:rPr>
        <w:t xml:space="preserve"> adjust their prices within each period.</w:t>
      </w:r>
    </w:p>
    <w:p w14:paraId="67E7CA1F" w14:textId="77777777" w:rsidR="004E2B5B" w:rsidRPr="00423E4F" w:rsidRDefault="004E2B5B" w:rsidP="004E2B5B">
      <w:pPr>
        <w:rPr>
          <w:rFonts w:ascii="Times New Roman" w:hAnsi="Times New Roman" w:cs="Times New Roman"/>
          <w:sz w:val="24"/>
          <w:szCs w:val="24"/>
        </w:rPr>
      </w:pPr>
    </w:p>
    <w:p w14:paraId="4241FFD2" w14:textId="79E5D880" w:rsidR="004E2B5B" w:rsidRPr="00423E4F" w:rsidRDefault="004E2B5B" w:rsidP="004E2B5B">
      <w:pPr>
        <w:ind w:firstLine="360"/>
        <w:jc w:val="both"/>
        <w:rPr>
          <w:rFonts w:ascii="Times New Roman" w:hAnsi="Times New Roman" w:cs="Times New Roman"/>
          <w:spacing w:val="-4"/>
          <w:sz w:val="24"/>
          <w:szCs w:val="24"/>
        </w:rPr>
      </w:pPr>
      <w:r w:rsidRPr="00423E4F">
        <w:rPr>
          <w:rFonts w:ascii="Times New Roman" w:hAnsi="Times New Roman" w:cs="Times New Roman"/>
          <w:spacing w:val="-4"/>
          <w:sz w:val="24"/>
          <w:szCs w:val="24"/>
        </w:rPr>
        <w:t xml:space="preserve">Meanwhile, we also analyzed the effect of remittances. </w:t>
      </w:r>
      <w:r w:rsidRPr="00091AA6">
        <w:rPr>
          <w:rFonts w:ascii="Times New Roman" w:hAnsi="Times New Roman" w:cs="Times New Roman"/>
          <w:spacing w:val="-4"/>
          <w:sz w:val="24"/>
          <w:szCs w:val="24"/>
        </w:rPr>
        <w:t>Figure 3-a</w:t>
      </w:r>
      <w:r w:rsidRPr="00423E4F">
        <w:rPr>
          <w:rFonts w:ascii="Times New Roman" w:hAnsi="Times New Roman" w:cs="Times New Roman"/>
          <w:i/>
          <w:iCs/>
          <w:spacing w:val="-4"/>
          <w:sz w:val="24"/>
          <w:szCs w:val="24"/>
        </w:rPr>
        <w:t xml:space="preserve"> </w:t>
      </w:r>
      <w:r w:rsidRPr="00423E4F">
        <w:rPr>
          <w:rFonts w:ascii="Times New Roman" w:hAnsi="Times New Roman" w:cs="Times New Roman"/>
          <w:spacing w:val="-4"/>
          <w:sz w:val="24"/>
          <w:szCs w:val="24"/>
        </w:rPr>
        <w:t>shows that remittances</w:t>
      </w:r>
      <w:r w:rsidRPr="00423E4F">
        <w:rPr>
          <w:rFonts w:ascii="Times New Roman" w:hAnsi="Times New Roman" w:cs="Times New Roman"/>
          <w:i/>
          <w:iCs/>
          <w:spacing w:val="-4"/>
          <w:sz w:val="24"/>
          <w:szCs w:val="24"/>
        </w:rPr>
        <w:t xml:space="preserve"> </w:t>
      </w:r>
      <w:r w:rsidRPr="00423E4F">
        <w:rPr>
          <w:rFonts w:ascii="Times New Roman" w:hAnsi="Times New Roman" w:cs="Times New Roman"/>
          <w:spacing w:val="-4"/>
          <w:sz w:val="24"/>
          <w:szCs w:val="24"/>
        </w:rPr>
        <w:t>generate an increase in overall inflation between the 20</w:t>
      </w:r>
      <w:r w:rsidRPr="00423E4F">
        <w:rPr>
          <w:rFonts w:ascii="Times New Roman" w:hAnsi="Times New Roman" w:cs="Times New Roman"/>
          <w:spacing w:val="-4"/>
          <w:sz w:val="24"/>
          <w:szCs w:val="24"/>
          <w:vertAlign w:val="superscript"/>
        </w:rPr>
        <w:t>th</w:t>
      </w:r>
      <w:r w:rsidRPr="00423E4F">
        <w:rPr>
          <w:rFonts w:ascii="Times New Roman" w:hAnsi="Times New Roman" w:cs="Times New Roman"/>
          <w:spacing w:val="-4"/>
          <w:sz w:val="24"/>
          <w:szCs w:val="24"/>
        </w:rPr>
        <w:t xml:space="preserve"> and 60</w:t>
      </w:r>
      <w:r w:rsidRPr="00423E4F">
        <w:rPr>
          <w:rFonts w:ascii="Times New Roman" w:hAnsi="Times New Roman" w:cs="Times New Roman"/>
          <w:spacing w:val="-4"/>
          <w:sz w:val="24"/>
          <w:szCs w:val="24"/>
          <w:vertAlign w:val="superscript"/>
        </w:rPr>
        <w:t>th</w:t>
      </w:r>
      <w:r w:rsidRPr="00423E4F">
        <w:rPr>
          <w:rFonts w:ascii="Times New Roman" w:hAnsi="Times New Roman" w:cs="Times New Roman"/>
          <w:spacing w:val="-4"/>
          <w:sz w:val="24"/>
          <w:szCs w:val="24"/>
        </w:rPr>
        <w:t xml:space="preserve"> quantiles. This finding is consistent with economic theory. When expatriates remit large inflows of foreign exchange to their home country, its conversion into domestic currency raises the money supply. If these funds are not channeled into productive sectors or capital investments, they contribute to consumption expenditure, increasing inflation (Narayan, Narayan, &amp; Mishra, 2011). Remittances also boost real wealth, which further stimulates consumption expenditure. This creates short-run excess demand, increasing the price level. </w:t>
      </w:r>
    </w:p>
    <w:p w14:paraId="78FFFF17" w14:textId="77777777" w:rsidR="004E2B5B" w:rsidRPr="00423E4F" w:rsidRDefault="004E2B5B" w:rsidP="004E2B5B">
      <w:pPr>
        <w:ind w:firstLine="360"/>
        <w:jc w:val="both"/>
        <w:rPr>
          <w:rFonts w:ascii="Times New Roman" w:hAnsi="Times New Roman" w:cs="Times New Roman"/>
          <w:sz w:val="24"/>
          <w:szCs w:val="24"/>
        </w:rPr>
      </w:pPr>
    </w:p>
    <w:p w14:paraId="0FEA1377" w14:textId="01AFABA7" w:rsidR="004E2B5B" w:rsidRPr="00423E4F" w:rsidRDefault="004E2B5B" w:rsidP="004E2B5B">
      <w:pPr>
        <w:ind w:firstLine="360"/>
        <w:jc w:val="both"/>
        <w:rPr>
          <w:rFonts w:ascii="Times New Roman" w:hAnsi="Times New Roman" w:cs="Times New Roman"/>
          <w:sz w:val="24"/>
          <w:szCs w:val="24"/>
        </w:rPr>
      </w:pPr>
      <w:r w:rsidRPr="00423E4F">
        <w:rPr>
          <w:rFonts w:ascii="Times New Roman" w:hAnsi="Times New Roman" w:cs="Times New Roman"/>
          <w:sz w:val="24"/>
          <w:szCs w:val="24"/>
        </w:rPr>
        <w:t xml:space="preserve">However, the relationship between remittances and inflation is not uniform. Rivera and </w:t>
      </w:r>
      <w:proofErr w:type="spellStart"/>
      <w:r w:rsidRPr="00423E4F">
        <w:rPr>
          <w:rFonts w:ascii="Times New Roman" w:hAnsi="Times New Roman" w:cs="Times New Roman"/>
          <w:sz w:val="24"/>
          <w:szCs w:val="24"/>
        </w:rPr>
        <w:t>Tullao</w:t>
      </w:r>
      <w:proofErr w:type="spellEnd"/>
      <w:r w:rsidRPr="00423E4F">
        <w:rPr>
          <w:rFonts w:ascii="Times New Roman" w:hAnsi="Times New Roman" w:cs="Times New Roman"/>
          <w:sz w:val="24"/>
          <w:szCs w:val="24"/>
        </w:rPr>
        <w:t xml:space="preserve"> (2020) suggest</w:t>
      </w:r>
      <w:r w:rsidR="00094C0F" w:rsidRPr="00423E4F">
        <w:rPr>
          <w:rFonts w:ascii="Times New Roman" w:hAnsi="Times New Roman" w:cs="Times New Roman"/>
          <w:sz w:val="24"/>
          <w:szCs w:val="24"/>
        </w:rPr>
        <w:t>ed</w:t>
      </w:r>
      <w:r w:rsidRPr="00423E4F">
        <w:rPr>
          <w:rFonts w:ascii="Times New Roman" w:hAnsi="Times New Roman" w:cs="Times New Roman"/>
          <w:sz w:val="24"/>
          <w:szCs w:val="24"/>
        </w:rPr>
        <w:t xml:space="preserve"> that remittance inflows are not necessarily inflationary. If these inflows are directed toward savings, investment</w:t>
      </w:r>
      <w:r w:rsidR="00927E1B" w:rsidRPr="00423E4F">
        <w:rPr>
          <w:rFonts w:ascii="Times New Roman" w:hAnsi="Times New Roman" w:cs="Times New Roman"/>
          <w:sz w:val="24"/>
          <w:szCs w:val="24"/>
        </w:rPr>
        <w:t>,</w:t>
      </w:r>
      <w:r w:rsidRPr="00423E4F">
        <w:rPr>
          <w:rFonts w:ascii="Times New Roman" w:hAnsi="Times New Roman" w:cs="Times New Roman"/>
          <w:sz w:val="24"/>
          <w:szCs w:val="24"/>
        </w:rPr>
        <w:t xml:space="preserve"> or sectors with sufficient supply-side capacity, the inflationary effects may be dampened or even negligible. This highlights the importance of how remittances are absorbed in the economy.  Furthermore, Lartey (2016) provide</w:t>
      </w:r>
      <w:r w:rsidR="00094C0F" w:rsidRPr="00423E4F">
        <w:rPr>
          <w:rFonts w:ascii="Times New Roman" w:hAnsi="Times New Roman" w:cs="Times New Roman"/>
          <w:sz w:val="24"/>
          <w:szCs w:val="24"/>
        </w:rPr>
        <w:t>d</w:t>
      </w:r>
      <w:r w:rsidRPr="00423E4F">
        <w:rPr>
          <w:rFonts w:ascii="Times New Roman" w:hAnsi="Times New Roman" w:cs="Times New Roman"/>
          <w:sz w:val="24"/>
          <w:szCs w:val="24"/>
        </w:rPr>
        <w:t xml:space="preserve"> a contrasting finding</w:t>
      </w:r>
      <w:r w:rsidR="00927E1B" w:rsidRPr="00423E4F">
        <w:rPr>
          <w:rFonts w:ascii="Times New Roman" w:hAnsi="Times New Roman" w:cs="Times New Roman"/>
          <w:sz w:val="24"/>
          <w:szCs w:val="24"/>
        </w:rPr>
        <w:t>,</w:t>
      </w:r>
      <w:r w:rsidRPr="00423E4F">
        <w:rPr>
          <w:rFonts w:ascii="Times New Roman" w:hAnsi="Times New Roman" w:cs="Times New Roman"/>
          <w:sz w:val="24"/>
          <w:szCs w:val="24"/>
        </w:rPr>
        <w:t xml:space="preserve"> which shows that remittances </w:t>
      </w:r>
      <w:r w:rsidR="00927E1B" w:rsidRPr="00423E4F">
        <w:rPr>
          <w:rFonts w:ascii="Times New Roman" w:hAnsi="Times New Roman" w:cs="Times New Roman"/>
          <w:sz w:val="24"/>
          <w:szCs w:val="24"/>
        </w:rPr>
        <w:t xml:space="preserve">have </w:t>
      </w:r>
      <w:r w:rsidRPr="00423E4F">
        <w:rPr>
          <w:rFonts w:ascii="Times New Roman" w:hAnsi="Times New Roman" w:cs="Times New Roman"/>
          <w:sz w:val="24"/>
          <w:szCs w:val="24"/>
        </w:rPr>
        <w:t>minimal impact on the Philippine CPI under an inflation-targeting regime, with little to no variation in non</w:t>
      </w:r>
      <w:r w:rsidR="00094C0F" w:rsidRPr="00423E4F">
        <w:rPr>
          <w:rFonts w:ascii="Times New Roman" w:hAnsi="Times New Roman" w:cs="Times New Roman"/>
          <w:sz w:val="24"/>
          <w:szCs w:val="24"/>
        </w:rPr>
        <w:t>-</w:t>
      </w:r>
      <w:r w:rsidRPr="00423E4F">
        <w:rPr>
          <w:rFonts w:ascii="Times New Roman" w:hAnsi="Times New Roman" w:cs="Times New Roman"/>
          <w:sz w:val="24"/>
          <w:szCs w:val="24"/>
        </w:rPr>
        <w:t>trad</w:t>
      </w:r>
      <w:r w:rsidR="006C1327" w:rsidRPr="00423E4F">
        <w:rPr>
          <w:rFonts w:ascii="Times New Roman" w:hAnsi="Times New Roman" w:cs="Times New Roman"/>
          <w:sz w:val="24"/>
          <w:szCs w:val="24"/>
        </w:rPr>
        <w:t>e</w:t>
      </w:r>
      <w:r w:rsidRPr="00423E4F">
        <w:rPr>
          <w:rFonts w:ascii="Times New Roman" w:hAnsi="Times New Roman" w:cs="Times New Roman"/>
          <w:sz w:val="24"/>
          <w:szCs w:val="24"/>
        </w:rPr>
        <w:t>able inflation observed in non-tradeable inflation</w:t>
      </w:r>
      <w:r w:rsidR="00927E1B" w:rsidRPr="00423E4F">
        <w:rPr>
          <w:rFonts w:ascii="Times New Roman" w:hAnsi="Times New Roman" w:cs="Times New Roman"/>
          <w:sz w:val="24"/>
          <w:szCs w:val="24"/>
        </w:rPr>
        <w:t>.</w:t>
      </w:r>
      <w:r w:rsidRPr="00423E4F">
        <w:rPr>
          <w:rFonts w:ascii="Times New Roman" w:hAnsi="Times New Roman" w:cs="Times New Roman"/>
          <w:sz w:val="24"/>
          <w:szCs w:val="24"/>
        </w:rPr>
        <w:t xml:space="preserve"> </w:t>
      </w:r>
    </w:p>
    <w:p w14:paraId="21F96452" w14:textId="77777777" w:rsidR="004E2B5B" w:rsidRPr="00D6728E" w:rsidRDefault="004E2B5B" w:rsidP="004E2B5B">
      <w:pPr>
        <w:ind w:firstLine="360"/>
        <w:jc w:val="both"/>
        <w:rPr>
          <w:rFonts w:ascii="Montserrat" w:hAnsi="Montserrat"/>
          <w:sz w:val="22"/>
          <w:szCs w:val="22"/>
        </w:rPr>
      </w:pPr>
    </w:p>
    <w:p w14:paraId="778A5815" w14:textId="6F5E8FEE" w:rsidR="004E2B5B" w:rsidRPr="000F681F" w:rsidRDefault="000F681F" w:rsidP="000F681F">
      <w:pPr>
        <w:rPr>
          <w:rFonts w:ascii="Times New Roman" w:hAnsi="Times New Roman" w:cs="Times New Roman"/>
          <w:b/>
          <w:bCs/>
          <w:sz w:val="24"/>
          <w:szCs w:val="24"/>
        </w:rPr>
      </w:pPr>
      <w:bookmarkStart w:id="11" w:name="_Toc197460318"/>
      <w:r w:rsidRPr="000F681F">
        <w:rPr>
          <w:rFonts w:ascii="Times New Roman" w:hAnsi="Times New Roman" w:cs="Times New Roman"/>
          <w:b/>
          <w:bCs/>
          <w:sz w:val="24"/>
          <w:szCs w:val="24"/>
        </w:rPr>
        <w:t>4.2</w:t>
      </w:r>
      <w:r w:rsidR="004E2B5B" w:rsidRPr="000F681F">
        <w:rPr>
          <w:rFonts w:ascii="Times New Roman" w:hAnsi="Times New Roman" w:cs="Times New Roman"/>
          <w:b/>
          <w:bCs/>
          <w:sz w:val="24"/>
          <w:szCs w:val="24"/>
        </w:rPr>
        <w:t xml:space="preserve"> Importance of </w:t>
      </w:r>
      <w:r>
        <w:rPr>
          <w:rFonts w:ascii="Times New Roman" w:hAnsi="Times New Roman" w:cs="Times New Roman"/>
          <w:b/>
          <w:bCs/>
          <w:sz w:val="24"/>
          <w:szCs w:val="24"/>
        </w:rPr>
        <w:t>i</w:t>
      </w:r>
      <w:r w:rsidR="004E2B5B" w:rsidRPr="000F681F">
        <w:rPr>
          <w:rFonts w:ascii="Times New Roman" w:hAnsi="Times New Roman" w:cs="Times New Roman"/>
          <w:b/>
          <w:bCs/>
          <w:sz w:val="24"/>
          <w:szCs w:val="24"/>
        </w:rPr>
        <w:t xml:space="preserve">nflation </w:t>
      </w:r>
      <w:r>
        <w:rPr>
          <w:rFonts w:ascii="Times New Roman" w:hAnsi="Times New Roman" w:cs="Times New Roman"/>
          <w:b/>
          <w:bCs/>
          <w:sz w:val="24"/>
          <w:szCs w:val="24"/>
        </w:rPr>
        <w:t>t</w:t>
      </w:r>
      <w:r w:rsidR="004E2B5B" w:rsidRPr="000F681F">
        <w:rPr>
          <w:rFonts w:ascii="Times New Roman" w:hAnsi="Times New Roman" w:cs="Times New Roman"/>
          <w:b/>
          <w:bCs/>
          <w:sz w:val="24"/>
          <w:szCs w:val="24"/>
        </w:rPr>
        <w:t xml:space="preserve">argeting and the </w:t>
      </w:r>
      <w:r>
        <w:rPr>
          <w:rFonts w:ascii="Times New Roman" w:hAnsi="Times New Roman" w:cs="Times New Roman"/>
          <w:b/>
          <w:bCs/>
          <w:sz w:val="24"/>
          <w:szCs w:val="24"/>
        </w:rPr>
        <w:t>r</w:t>
      </w:r>
      <w:r w:rsidR="004E2B5B" w:rsidRPr="000F681F">
        <w:rPr>
          <w:rFonts w:ascii="Times New Roman" w:hAnsi="Times New Roman" w:cs="Times New Roman"/>
          <w:b/>
          <w:bCs/>
          <w:sz w:val="24"/>
          <w:szCs w:val="24"/>
        </w:rPr>
        <w:t xml:space="preserve">ice </w:t>
      </w:r>
      <w:r>
        <w:rPr>
          <w:rFonts w:ascii="Times New Roman" w:hAnsi="Times New Roman" w:cs="Times New Roman"/>
          <w:b/>
          <w:bCs/>
          <w:sz w:val="24"/>
          <w:szCs w:val="24"/>
        </w:rPr>
        <w:t>t</w:t>
      </w:r>
      <w:r w:rsidR="004E2B5B" w:rsidRPr="000F681F">
        <w:rPr>
          <w:rFonts w:ascii="Times New Roman" w:hAnsi="Times New Roman" w:cs="Times New Roman"/>
          <w:b/>
          <w:bCs/>
          <w:sz w:val="24"/>
          <w:szCs w:val="24"/>
        </w:rPr>
        <w:t xml:space="preserve">ariffication </w:t>
      </w:r>
      <w:r>
        <w:rPr>
          <w:rFonts w:ascii="Times New Roman" w:hAnsi="Times New Roman" w:cs="Times New Roman"/>
          <w:b/>
          <w:bCs/>
          <w:sz w:val="24"/>
          <w:szCs w:val="24"/>
        </w:rPr>
        <w:t>p</w:t>
      </w:r>
      <w:r w:rsidR="004E2B5B" w:rsidRPr="000F681F">
        <w:rPr>
          <w:rFonts w:ascii="Times New Roman" w:hAnsi="Times New Roman" w:cs="Times New Roman"/>
          <w:b/>
          <w:bCs/>
          <w:sz w:val="24"/>
          <w:szCs w:val="24"/>
        </w:rPr>
        <w:t>olicy</w:t>
      </w:r>
      <w:bookmarkEnd w:id="11"/>
      <w:r w:rsidR="004E2B5B" w:rsidRPr="000F681F">
        <w:rPr>
          <w:rFonts w:ascii="Times New Roman" w:hAnsi="Times New Roman" w:cs="Times New Roman"/>
          <w:b/>
          <w:bCs/>
          <w:sz w:val="24"/>
          <w:szCs w:val="24"/>
        </w:rPr>
        <w:t xml:space="preserve"> </w:t>
      </w:r>
    </w:p>
    <w:p w14:paraId="1162039C" w14:textId="77777777" w:rsidR="004E2B5B" w:rsidRPr="00D6728E" w:rsidRDefault="004E2B5B" w:rsidP="004E2B5B">
      <w:pPr>
        <w:ind w:firstLine="360"/>
        <w:jc w:val="both"/>
        <w:rPr>
          <w:rFonts w:ascii="Montserrat" w:hAnsi="Montserrat"/>
          <w:sz w:val="22"/>
          <w:szCs w:val="22"/>
        </w:rPr>
      </w:pPr>
    </w:p>
    <w:p w14:paraId="78313363" w14:textId="25D869F2" w:rsidR="004E2B5B" w:rsidRPr="00423E4F" w:rsidRDefault="004E2B5B" w:rsidP="00423E4F">
      <w:pPr>
        <w:jc w:val="both"/>
        <w:rPr>
          <w:rFonts w:ascii="Times New Roman" w:hAnsi="Times New Roman" w:cs="Times New Roman"/>
          <w:sz w:val="24"/>
          <w:szCs w:val="24"/>
        </w:rPr>
      </w:pPr>
      <w:r w:rsidRPr="00423E4F">
        <w:rPr>
          <w:rFonts w:ascii="Times New Roman" w:hAnsi="Times New Roman" w:cs="Times New Roman"/>
          <w:sz w:val="24"/>
          <w:szCs w:val="24"/>
        </w:rPr>
        <w:t xml:space="preserve">We now analyze the fixed effects quantile regression model of inflation, moving from broader to policy-specific perspectives. In this section, we focus on the impact of rice and </w:t>
      </w:r>
      <w:r w:rsidR="00B1331F" w:rsidRPr="00423E4F">
        <w:rPr>
          <w:rFonts w:ascii="Times New Roman" w:hAnsi="Times New Roman" w:cs="Times New Roman"/>
          <w:sz w:val="24"/>
          <w:szCs w:val="24"/>
        </w:rPr>
        <w:t>fuel</w:t>
      </w:r>
      <w:r w:rsidRPr="00423E4F">
        <w:rPr>
          <w:rFonts w:ascii="Times New Roman" w:hAnsi="Times New Roman" w:cs="Times New Roman"/>
          <w:sz w:val="24"/>
          <w:szCs w:val="24"/>
        </w:rPr>
        <w:t xml:space="preserve"> prices on overall inflation under inflation targeting and the rice tariffication policy. These policies may have influenced the dynamics of inflation in distinct ways. For example, inflation targeting plays a crucial role in shaping the inflation process by anchoring inflation expectations, which is the most important aim of central banks. McKnight, Mihailov, and Rangel (2020) pointed </w:t>
      </w:r>
      <w:r w:rsidRPr="00423E4F">
        <w:rPr>
          <w:rFonts w:ascii="Times New Roman" w:hAnsi="Times New Roman" w:cs="Times New Roman"/>
          <w:sz w:val="24"/>
          <w:szCs w:val="24"/>
        </w:rPr>
        <w:lastRenderedPageBreak/>
        <w:t xml:space="preserve">out its significance, noting that the difference between inflation expectations and the inflation target may be viewed as a measure of the central bank’s overall credibility. On the other hand, the importance of the rice tariffication policy for the Philippine inflation process works through its strength in raising domestic rice supply through international trade. By enhancing private-sector participation and reducing government intervention, rice tariffication facilitates rice imports, which can lower domestic prices to align with world levels, ultimately benefiting consumers. </w:t>
      </w:r>
    </w:p>
    <w:p w14:paraId="128D5441" w14:textId="77777777" w:rsidR="004E2B5B" w:rsidRPr="00423E4F" w:rsidRDefault="004E2B5B" w:rsidP="004E2B5B">
      <w:pPr>
        <w:ind w:firstLine="360"/>
        <w:jc w:val="both"/>
        <w:rPr>
          <w:rFonts w:ascii="Times New Roman" w:hAnsi="Times New Roman" w:cs="Times New Roman"/>
          <w:sz w:val="24"/>
          <w:szCs w:val="24"/>
        </w:rPr>
      </w:pPr>
    </w:p>
    <w:p w14:paraId="52E5FBAF" w14:textId="11B575B7" w:rsidR="004E2B5B" w:rsidRPr="00423E4F" w:rsidRDefault="004E2B5B" w:rsidP="004E2B5B">
      <w:pPr>
        <w:ind w:firstLine="360"/>
        <w:jc w:val="both"/>
        <w:rPr>
          <w:rFonts w:ascii="Times New Roman" w:hAnsi="Times New Roman" w:cs="Times New Roman"/>
          <w:spacing w:val="-2"/>
          <w:sz w:val="24"/>
          <w:szCs w:val="24"/>
        </w:rPr>
      </w:pPr>
      <w:r w:rsidRPr="00423E4F">
        <w:rPr>
          <w:rFonts w:ascii="Times New Roman" w:hAnsi="Times New Roman" w:cs="Times New Roman"/>
          <w:spacing w:val="-2"/>
          <w:sz w:val="24"/>
          <w:szCs w:val="24"/>
        </w:rPr>
        <w:t xml:space="preserve">We considered subsample periods corresponding to inflation targeting and the rice tariffication policy. </w:t>
      </w:r>
      <w:proofErr w:type="gramStart"/>
      <w:r w:rsidRPr="00423E4F">
        <w:rPr>
          <w:rFonts w:ascii="Times New Roman" w:hAnsi="Times New Roman" w:cs="Times New Roman"/>
          <w:spacing w:val="-2"/>
          <w:sz w:val="24"/>
          <w:szCs w:val="24"/>
        </w:rPr>
        <w:t>In particular, we</w:t>
      </w:r>
      <w:proofErr w:type="gramEnd"/>
      <w:r w:rsidRPr="00423E4F">
        <w:rPr>
          <w:rFonts w:ascii="Times New Roman" w:hAnsi="Times New Roman" w:cs="Times New Roman"/>
          <w:spacing w:val="-2"/>
          <w:sz w:val="24"/>
          <w:szCs w:val="24"/>
        </w:rPr>
        <w:t xml:space="preserve"> analyzed subsample periods before and after the implementation of inflation targeting, covering August 1995 to December 20</w:t>
      </w:r>
      <w:r w:rsidR="00FF358B" w:rsidRPr="00423E4F">
        <w:rPr>
          <w:rFonts w:ascii="Times New Roman" w:hAnsi="Times New Roman" w:cs="Times New Roman"/>
          <w:spacing w:val="-2"/>
          <w:sz w:val="24"/>
          <w:szCs w:val="24"/>
        </w:rPr>
        <w:t>0</w:t>
      </w:r>
      <w:r w:rsidRPr="00423E4F">
        <w:rPr>
          <w:rFonts w:ascii="Times New Roman" w:hAnsi="Times New Roman" w:cs="Times New Roman"/>
          <w:spacing w:val="-2"/>
          <w:sz w:val="24"/>
          <w:szCs w:val="24"/>
        </w:rPr>
        <w:t>1 and January 2002 to April 2024, respectively. For the rice tariffication policy, we analyzed two subsample periods</w:t>
      </w:r>
      <w:r w:rsidR="008C580F" w:rsidRPr="00423E4F">
        <w:rPr>
          <w:rFonts w:ascii="Times New Roman" w:hAnsi="Times New Roman" w:cs="Times New Roman"/>
          <w:spacing w:val="-2"/>
          <w:sz w:val="24"/>
          <w:szCs w:val="24"/>
        </w:rPr>
        <w:t>:</w:t>
      </w:r>
      <w:r w:rsidRPr="00423E4F">
        <w:rPr>
          <w:rFonts w:ascii="Times New Roman" w:hAnsi="Times New Roman" w:cs="Times New Roman"/>
          <w:spacing w:val="-2"/>
          <w:sz w:val="24"/>
          <w:szCs w:val="24"/>
        </w:rPr>
        <w:t xml:space="preserve"> August 1995 to February 2019 and March 2019 to February 2024.</w:t>
      </w:r>
    </w:p>
    <w:p w14:paraId="5BF539A5" w14:textId="77777777" w:rsidR="004E2B5B" w:rsidRPr="00423E4F" w:rsidRDefault="004E2B5B" w:rsidP="004E2B5B">
      <w:pPr>
        <w:ind w:firstLine="360"/>
        <w:jc w:val="both"/>
        <w:rPr>
          <w:rFonts w:ascii="Times New Roman" w:hAnsi="Times New Roman" w:cs="Times New Roman"/>
          <w:sz w:val="24"/>
          <w:szCs w:val="24"/>
        </w:rPr>
      </w:pPr>
    </w:p>
    <w:p w14:paraId="69B15D4F" w14:textId="73911807" w:rsidR="004E2B5B" w:rsidRPr="00423E4F" w:rsidRDefault="004E2B5B" w:rsidP="004E2B5B">
      <w:pPr>
        <w:ind w:firstLine="360"/>
        <w:jc w:val="both"/>
        <w:rPr>
          <w:rFonts w:ascii="Times New Roman" w:hAnsi="Times New Roman" w:cs="Times New Roman"/>
          <w:sz w:val="24"/>
          <w:szCs w:val="24"/>
        </w:rPr>
      </w:pPr>
      <w:r w:rsidRPr="00423E4F">
        <w:rPr>
          <w:rFonts w:ascii="Times New Roman" w:hAnsi="Times New Roman" w:cs="Times New Roman"/>
          <w:sz w:val="24"/>
          <w:szCs w:val="24"/>
        </w:rPr>
        <w:t xml:space="preserve">Comparing the results from the three panels in </w:t>
      </w:r>
      <w:r w:rsidRPr="000F681F">
        <w:rPr>
          <w:rFonts w:ascii="Times New Roman" w:hAnsi="Times New Roman" w:cs="Times New Roman"/>
          <w:sz w:val="24"/>
          <w:szCs w:val="24"/>
        </w:rPr>
        <w:t>Figure 3</w:t>
      </w:r>
      <w:r w:rsidRPr="00423E4F">
        <w:rPr>
          <w:rFonts w:ascii="Times New Roman" w:hAnsi="Times New Roman" w:cs="Times New Roman"/>
          <w:sz w:val="24"/>
          <w:szCs w:val="24"/>
        </w:rPr>
        <w:t xml:space="preserve"> shows the following observations: First, the fixed effects quantile</w:t>
      </w:r>
      <w:r w:rsidR="00927E1B" w:rsidRPr="00423E4F">
        <w:rPr>
          <w:rFonts w:ascii="Times New Roman" w:hAnsi="Times New Roman" w:cs="Times New Roman"/>
          <w:sz w:val="24"/>
          <w:szCs w:val="24"/>
        </w:rPr>
        <w:t xml:space="preserve"> </w:t>
      </w:r>
      <w:r w:rsidRPr="00423E4F">
        <w:rPr>
          <w:rFonts w:ascii="Times New Roman" w:hAnsi="Times New Roman" w:cs="Times New Roman"/>
          <w:sz w:val="24"/>
          <w:szCs w:val="24"/>
        </w:rPr>
        <w:t xml:space="preserve">regression continues to indicate that the impact of rice prices is positive and significant across all quantiles, both before and after the inflation targeting and rice tariffication periods. Notably, the impact of rice price inflation is smaller in periods following the implementation of these policies. In the case of fuel price inflation, </w:t>
      </w:r>
      <w:r w:rsidRPr="00C859FF">
        <w:rPr>
          <w:rFonts w:ascii="Times New Roman" w:hAnsi="Times New Roman" w:cs="Times New Roman"/>
          <w:sz w:val="24"/>
          <w:szCs w:val="24"/>
        </w:rPr>
        <w:t>Figures 3-b</w:t>
      </w:r>
      <w:r w:rsidRPr="00423E4F">
        <w:rPr>
          <w:rFonts w:ascii="Times New Roman" w:hAnsi="Times New Roman" w:cs="Times New Roman"/>
          <w:sz w:val="24"/>
          <w:szCs w:val="24"/>
        </w:rPr>
        <w:t xml:space="preserve"> and </w:t>
      </w:r>
      <w:r w:rsidRPr="00C859FF">
        <w:rPr>
          <w:rFonts w:ascii="Times New Roman" w:hAnsi="Times New Roman" w:cs="Times New Roman"/>
          <w:sz w:val="24"/>
          <w:szCs w:val="24"/>
        </w:rPr>
        <w:t>3-c</w:t>
      </w:r>
      <w:r w:rsidRPr="00423E4F">
        <w:rPr>
          <w:rFonts w:ascii="Times New Roman" w:hAnsi="Times New Roman" w:cs="Times New Roman"/>
          <w:i/>
          <w:iCs/>
          <w:sz w:val="24"/>
          <w:szCs w:val="24"/>
        </w:rPr>
        <w:t xml:space="preserve"> </w:t>
      </w:r>
      <w:r w:rsidRPr="00423E4F">
        <w:rPr>
          <w:rFonts w:ascii="Times New Roman" w:hAnsi="Times New Roman" w:cs="Times New Roman"/>
          <w:sz w:val="24"/>
          <w:szCs w:val="24"/>
        </w:rPr>
        <w:t xml:space="preserve">indicate that the estimated coefficients are positive and significant at the lower quantiles before the inflation targeting regime and across all quantiles after the rice tariffication policy. Second, the stronger effect of rice and fuel price inflation on overall inflation at higher quantiles remains in the post-inflation targeting and post-rice tariffication policy periods. </w:t>
      </w:r>
    </w:p>
    <w:p w14:paraId="54558EE4" w14:textId="77777777" w:rsidR="004E2B5B" w:rsidRPr="00D6728E" w:rsidRDefault="004E2B5B" w:rsidP="004E2B5B">
      <w:pPr>
        <w:ind w:firstLine="360"/>
        <w:jc w:val="both"/>
        <w:rPr>
          <w:rFonts w:ascii="Montserrat" w:hAnsi="Montserrat"/>
        </w:rPr>
      </w:pPr>
    </w:p>
    <w:p w14:paraId="7157AFF2" w14:textId="1C235B75" w:rsidR="004E2B5B" w:rsidRPr="000F681F" w:rsidRDefault="000F681F" w:rsidP="000F681F">
      <w:pPr>
        <w:rPr>
          <w:rFonts w:ascii="Times New Roman" w:hAnsi="Times New Roman" w:cs="Times New Roman"/>
          <w:b/>
          <w:bCs/>
          <w:sz w:val="24"/>
          <w:szCs w:val="24"/>
        </w:rPr>
      </w:pPr>
      <w:bookmarkStart w:id="12" w:name="_Toc197460319"/>
      <w:r w:rsidRPr="000F681F">
        <w:rPr>
          <w:rFonts w:ascii="Times New Roman" w:hAnsi="Times New Roman" w:cs="Times New Roman"/>
          <w:b/>
          <w:bCs/>
          <w:sz w:val="24"/>
          <w:szCs w:val="24"/>
        </w:rPr>
        <w:t xml:space="preserve">4.3 </w:t>
      </w:r>
      <w:r w:rsidR="004E2B5B" w:rsidRPr="000F681F">
        <w:rPr>
          <w:rFonts w:ascii="Times New Roman" w:hAnsi="Times New Roman" w:cs="Times New Roman"/>
          <w:b/>
          <w:bCs/>
          <w:sz w:val="24"/>
          <w:szCs w:val="24"/>
        </w:rPr>
        <w:t xml:space="preserve">Analysis of </w:t>
      </w:r>
      <w:r w:rsidRPr="000F681F">
        <w:rPr>
          <w:rFonts w:ascii="Times New Roman" w:hAnsi="Times New Roman" w:cs="Times New Roman"/>
          <w:b/>
          <w:bCs/>
          <w:sz w:val="24"/>
          <w:szCs w:val="24"/>
        </w:rPr>
        <w:t>v</w:t>
      </w:r>
      <w:r w:rsidR="004E2B5B" w:rsidRPr="000F681F">
        <w:rPr>
          <w:rFonts w:ascii="Times New Roman" w:hAnsi="Times New Roman" w:cs="Times New Roman"/>
          <w:b/>
          <w:bCs/>
          <w:sz w:val="24"/>
          <w:szCs w:val="24"/>
        </w:rPr>
        <w:t xml:space="preserve">ariation across </w:t>
      </w:r>
      <w:r w:rsidRPr="000F681F">
        <w:rPr>
          <w:rFonts w:ascii="Times New Roman" w:hAnsi="Times New Roman" w:cs="Times New Roman"/>
          <w:b/>
          <w:bCs/>
          <w:sz w:val="24"/>
          <w:szCs w:val="24"/>
        </w:rPr>
        <w:t>p</w:t>
      </w:r>
      <w:r w:rsidR="004E2B5B" w:rsidRPr="000F681F">
        <w:rPr>
          <w:rFonts w:ascii="Times New Roman" w:hAnsi="Times New Roman" w:cs="Times New Roman"/>
          <w:b/>
          <w:bCs/>
          <w:sz w:val="24"/>
          <w:szCs w:val="24"/>
        </w:rPr>
        <w:t>rovinces</w:t>
      </w:r>
      <w:bookmarkEnd w:id="12"/>
      <w:r w:rsidR="004E2B5B" w:rsidRPr="000F681F">
        <w:rPr>
          <w:rFonts w:ascii="Times New Roman" w:hAnsi="Times New Roman" w:cs="Times New Roman"/>
          <w:b/>
          <w:bCs/>
          <w:sz w:val="24"/>
          <w:szCs w:val="24"/>
        </w:rPr>
        <w:t xml:space="preserve"> </w:t>
      </w:r>
    </w:p>
    <w:p w14:paraId="4C05BF10" w14:textId="77777777" w:rsidR="004E2B5B" w:rsidRPr="00D6728E" w:rsidRDefault="004E2B5B" w:rsidP="004E2B5B">
      <w:pPr>
        <w:ind w:firstLine="360"/>
        <w:jc w:val="both"/>
        <w:rPr>
          <w:rFonts w:ascii="Montserrat" w:hAnsi="Montserrat"/>
        </w:rPr>
      </w:pPr>
    </w:p>
    <w:p w14:paraId="137FB53D" w14:textId="6AC7452B" w:rsidR="004E2B5B" w:rsidRPr="00937A5C" w:rsidRDefault="004E2B5B" w:rsidP="00937A5C">
      <w:pPr>
        <w:jc w:val="both"/>
        <w:rPr>
          <w:rFonts w:ascii="Times New Roman" w:hAnsi="Times New Roman" w:cs="Times New Roman"/>
          <w:sz w:val="24"/>
          <w:szCs w:val="24"/>
        </w:rPr>
      </w:pPr>
      <w:r w:rsidRPr="00937A5C">
        <w:rPr>
          <w:rFonts w:ascii="Times New Roman" w:hAnsi="Times New Roman" w:cs="Times New Roman"/>
          <w:spacing w:val="-2"/>
          <w:sz w:val="24"/>
          <w:szCs w:val="24"/>
        </w:rPr>
        <w:t>We extended the analysis to a subsample of provinces to uncover variations in the impact of the rice tariffication policy for different poverty and rice self-sufficiency</w:t>
      </w:r>
      <w:r w:rsidRPr="00937A5C">
        <w:rPr>
          <w:rFonts w:ascii="Times New Roman" w:hAnsi="Times New Roman" w:cs="Times New Roman"/>
          <w:sz w:val="24"/>
          <w:szCs w:val="24"/>
        </w:rPr>
        <w:t xml:space="preserve"> levels. Specifically, we estimated </w:t>
      </w:r>
      <w:r w:rsidR="00DE53A0">
        <w:rPr>
          <w:rFonts w:ascii="Times New Roman" w:hAnsi="Times New Roman" w:cs="Times New Roman"/>
          <w:sz w:val="24"/>
          <w:szCs w:val="24"/>
        </w:rPr>
        <w:t>e</w:t>
      </w:r>
      <w:r w:rsidRPr="00DE53A0">
        <w:rPr>
          <w:rFonts w:ascii="Times New Roman" w:hAnsi="Times New Roman" w:cs="Times New Roman"/>
          <w:sz w:val="24"/>
          <w:szCs w:val="24"/>
        </w:rPr>
        <w:t xml:space="preserve">quation </w:t>
      </w:r>
      <w:r w:rsidR="00DE53A0">
        <w:rPr>
          <w:rFonts w:ascii="Times New Roman" w:hAnsi="Times New Roman" w:cs="Times New Roman"/>
          <w:sz w:val="24"/>
          <w:szCs w:val="24"/>
        </w:rPr>
        <w:t>(</w:t>
      </w:r>
      <w:r w:rsidRPr="00DE53A0">
        <w:rPr>
          <w:rFonts w:ascii="Times New Roman" w:hAnsi="Times New Roman" w:cs="Times New Roman"/>
          <w:sz w:val="24"/>
          <w:szCs w:val="24"/>
        </w:rPr>
        <w:t>3</w:t>
      </w:r>
      <w:r w:rsidR="00DE53A0">
        <w:rPr>
          <w:rFonts w:ascii="Times New Roman" w:hAnsi="Times New Roman" w:cs="Times New Roman"/>
          <w:sz w:val="24"/>
          <w:szCs w:val="24"/>
        </w:rPr>
        <w:t>)</w:t>
      </w:r>
      <w:r w:rsidR="00E16A90" w:rsidRPr="00937A5C">
        <w:rPr>
          <w:rFonts w:ascii="Times New Roman" w:hAnsi="Times New Roman" w:cs="Times New Roman"/>
          <w:i/>
          <w:iCs/>
          <w:sz w:val="24"/>
          <w:szCs w:val="24"/>
        </w:rPr>
        <w:t xml:space="preserve"> </w:t>
      </w:r>
      <w:r w:rsidRPr="00937A5C">
        <w:rPr>
          <w:rFonts w:ascii="Times New Roman" w:hAnsi="Times New Roman" w:cs="Times New Roman"/>
          <w:sz w:val="24"/>
          <w:szCs w:val="24"/>
        </w:rPr>
        <w:t xml:space="preserve">for (a) low- and high-poverty provinces and (b) rice-surplus and -deficit provinces. This analysis could </w:t>
      </w:r>
      <w:r w:rsidRPr="00937A5C">
        <w:rPr>
          <w:rFonts w:ascii="Times New Roman" w:hAnsi="Times New Roman" w:cs="Times New Roman"/>
          <w:spacing w:val="-4"/>
          <w:sz w:val="24"/>
          <w:szCs w:val="24"/>
        </w:rPr>
        <w:t>provide insights that may help shape policies addressing poverty and food insecurity.</w:t>
      </w:r>
      <w:r w:rsidRPr="00937A5C">
        <w:rPr>
          <w:rFonts w:ascii="Times New Roman" w:hAnsi="Times New Roman" w:cs="Times New Roman"/>
          <w:sz w:val="24"/>
          <w:szCs w:val="24"/>
        </w:rPr>
        <w:t xml:space="preserve"> </w:t>
      </w:r>
    </w:p>
    <w:p w14:paraId="25589245" w14:textId="77777777" w:rsidR="004E2B5B" w:rsidRPr="00937A5C" w:rsidRDefault="004E2B5B" w:rsidP="004E2B5B">
      <w:pPr>
        <w:ind w:firstLine="360"/>
        <w:jc w:val="both"/>
        <w:rPr>
          <w:rFonts w:ascii="Times New Roman" w:hAnsi="Times New Roman" w:cs="Times New Roman"/>
          <w:sz w:val="24"/>
          <w:szCs w:val="24"/>
        </w:rPr>
      </w:pPr>
    </w:p>
    <w:p w14:paraId="51F021E1" w14:textId="7EF1745E" w:rsidR="004E2B5B" w:rsidRPr="00937A5C" w:rsidRDefault="004E2B5B" w:rsidP="004E2B5B">
      <w:pPr>
        <w:ind w:firstLine="360"/>
        <w:jc w:val="both"/>
        <w:rPr>
          <w:rFonts w:ascii="Times New Roman" w:hAnsi="Times New Roman" w:cs="Times New Roman"/>
          <w:spacing w:val="-4"/>
          <w:sz w:val="24"/>
          <w:szCs w:val="24"/>
        </w:rPr>
      </w:pPr>
      <w:r w:rsidRPr="00937A5C">
        <w:rPr>
          <w:rFonts w:ascii="Times New Roman" w:hAnsi="Times New Roman" w:cs="Times New Roman"/>
          <w:spacing w:val="-4"/>
          <w:sz w:val="24"/>
          <w:szCs w:val="24"/>
        </w:rPr>
        <w:t xml:space="preserve">To classify provinces by poverty level, we calculated the average national incidence of poverty from the Family Income and Expenditure Survey (FIES) for 2015, 2018, and 2021. The FIES is a nationally representative survey conducted by the PSA, covering approximately 41,000 households. Complete details of provincial poverty incidence are presented in </w:t>
      </w:r>
      <w:r w:rsidR="00DE53A0">
        <w:rPr>
          <w:rFonts w:ascii="Times New Roman" w:hAnsi="Times New Roman" w:cs="Times New Roman"/>
          <w:spacing w:val="-4"/>
          <w:sz w:val="24"/>
          <w:szCs w:val="24"/>
        </w:rPr>
        <w:t xml:space="preserve">Appendix </w:t>
      </w:r>
      <w:r w:rsidRPr="00DE53A0">
        <w:rPr>
          <w:rFonts w:ascii="Times New Roman" w:hAnsi="Times New Roman" w:cs="Times New Roman"/>
          <w:spacing w:val="-4"/>
          <w:sz w:val="24"/>
          <w:szCs w:val="24"/>
        </w:rPr>
        <w:t>Table 1-A</w:t>
      </w:r>
      <w:r w:rsidRPr="00937A5C">
        <w:rPr>
          <w:rFonts w:ascii="Times New Roman" w:hAnsi="Times New Roman" w:cs="Times New Roman"/>
          <w:i/>
          <w:iCs/>
          <w:spacing w:val="-4"/>
          <w:sz w:val="24"/>
          <w:szCs w:val="24"/>
        </w:rPr>
        <w:t>.</w:t>
      </w:r>
      <w:r w:rsidR="00C859FF">
        <w:rPr>
          <w:rFonts w:ascii="Times New Roman" w:hAnsi="Times New Roman" w:cs="Times New Roman"/>
          <w:i/>
          <w:iCs/>
          <w:spacing w:val="-4"/>
          <w:sz w:val="24"/>
          <w:szCs w:val="24"/>
        </w:rPr>
        <w:t xml:space="preserve"> </w:t>
      </w:r>
      <w:r w:rsidRPr="00DE53A0">
        <w:rPr>
          <w:rFonts w:ascii="Times New Roman" w:hAnsi="Times New Roman" w:cs="Times New Roman"/>
          <w:spacing w:val="-4"/>
          <w:sz w:val="24"/>
          <w:szCs w:val="24"/>
        </w:rPr>
        <w:t>Figure 4</w:t>
      </w:r>
      <w:r w:rsidRPr="00937A5C">
        <w:rPr>
          <w:rFonts w:ascii="Times New Roman" w:hAnsi="Times New Roman" w:cs="Times New Roman"/>
          <w:spacing w:val="-4"/>
          <w:sz w:val="24"/>
          <w:szCs w:val="24"/>
        </w:rPr>
        <w:t xml:space="preserve"> displays the average provincial poverty incidence over the 2015</w:t>
      </w:r>
      <w:r w:rsidR="00094C0F" w:rsidRPr="00937A5C">
        <w:rPr>
          <w:rFonts w:ascii="Times New Roman" w:hAnsi="Times New Roman" w:cs="Times New Roman"/>
          <w:spacing w:val="-2"/>
          <w:sz w:val="24"/>
          <w:szCs w:val="24"/>
        </w:rPr>
        <w:t>–</w:t>
      </w:r>
      <w:r w:rsidRPr="00937A5C">
        <w:rPr>
          <w:rFonts w:ascii="Times New Roman" w:hAnsi="Times New Roman" w:cs="Times New Roman"/>
          <w:spacing w:val="-4"/>
          <w:sz w:val="24"/>
          <w:szCs w:val="24"/>
        </w:rPr>
        <w:t>2021 period. Provinces with poverty incidence of below 10</w:t>
      </w:r>
      <w:r w:rsidR="00871EED">
        <w:rPr>
          <w:rFonts w:ascii="Times New Roman" w:hAnsi="Times New Roman" w:cs="Times New Roman"/>
          <w:spacing w:val="-4"/>
          <w:sz w:val="24"/>
          <w:szCs w:val="24"/>
        </w:rPr>
        <w:t>%</w:t>
      </w:r>
      <w:r w:rsidR="00094C0F" w:rsidRPr="00937A5C">
        <w:rPr>
          <w:rFonts w:ascii="Times New Roman" w:hAnsi="Times New Roman" w:cs="Times New Roman"/>
          <w:spacing w:val="-4"/>
          <w:sz w:val="24"/>
          <w:szCs w:val="24"/>
        </w:rPr>
        <w:t xml:space="preserve">, </w:t>
      </w:r>
      <w:r w:rsidRPr="00937A5C">
        <w:rPr>
          <w:rFonts w:ascii="Times New Roman" w:hAnsi="Times New Roman" w:cs="Times New Roman"/>
          <w:spacing w:val="-4"/>
          <w:sz w:val="24"/>
          <w:szCs w:val="24"/>
        </w:rPr>
        <w:t>10-20</w:t>
      </w:r>
      <w:r w:rsidR="00871EED">
        <w:rPr>
          <w:rFonts w:ascii="Times New Roman" w:hAnsi="Times New Roman" w:cs="Times New Roman"/>
          <w:spacing w:val="-4"/>
          <w:sz w:val="24"/>
          <w:szCs w:val="24"/>
        </w:rPr>
        <w:t>%</w:t>
      </w:r>
      <w:r w:rsidRPr="00937A5C">
        <w:rPr>
          <w:rFonts w:ascii="Times New Roman" w:hAnsi="Times New Roman" w:cs="Times New Roman"/>
          <w:spacing w:val="-4"/>
          <w:sz w:val="24"/>
          <w:szCs w:val="24"/>
        </w:rPr>
        <w:t xml:space="preserve"> and above 20</w:t>
      </w:r>
      <w:r w:rsidR="00871EED">
        <w:rPr>
          <w:rFonts w:ascii="Times New Roman" w:hAnsi="Times New Roman" w:cs="Times New Roman"/>
          <w:spacing w:val="-4"/>
          <w:sz w:val="24"/>
          <w:szCs w:val="24"/>
        </w:rPr>
        <w:t>%</w:t>
      </w:r>
      <w:r w:rsidRPr="00937A5C">
        <w:rPr>
          <w:rFonts w:ascii="Times New Roman" w:hAnsi="Times New Roman" w:cs="Times New Roman"/>
          <w:spacing w:val="-4"/>
          <w:sz w:val="24"/>
          <w:szCs w:val="24"/>
        </w:rPr>
        <w:t xml:space="preserve"> were categorized as low, medium and high poverty, respectively.</w:t>
      </w:r>
    </w:p>
    <w:p w14:paraId="2E6E1BDA" w14:textId="77777777" w:rsidR="00F3684E" w:rsidRPr="00937A5C" w:rsidRDefault="00F3684E" w:rsidP="004E2B5B">
      <w:pPr>
        <w:ind w:firstLine="360"/>
        <w:jc w:val="both"/>
        <w:rPr>
          <w:rFonts w:ascii="Times New Roman" w:hAnsi="Times New Roman" w:cs="Times New Roman"/>
          <w:spacing w:val="-4"/>
          <w:sz w:val="24"/>
          <w:szCs w:val="24"/>
        </w:rPr>
      </w:pPr>
    </w:p>
    <w:p w14:paraId="5FD0ACBB" w14:textId="1C6EFDEF" w:rsidR="00F3684E" w:rsidRPr="00D6728E" w:rsidRDefault="00F3684E" w:rsidP="00F3684E">
      <w:pPr>
        <w:ind w:firstLine="360"/>
        <w:jc w:val="both"/>
        <w:rPr>
          <w:rFonts w:ascii="Montserrat" w:hAnsi="Montserrat"/>
          <w:sz w:val="22"/>
          <w:szCs w:val="22"/>
        </w:rPr>
      </w:pPr>
      <w:r w:rsidRPr="00937A5C">
        <w:rPr>
          <w:rFonts w:ascii="Times New Roman" w:hAnsi="Times New Roman" w:cs="Times New Roman"/>
          <w:sz w:val="24"/>
          <w:szCs w:val="24"/>
        </w:rPr>
        <w:t xml:space="preserve">In grouping rice-surplus and -deficit provinces, we followed </w:t>
      </w:r>
      <w:proofErr w:type="spellStart"/>
      <w:r w:rsidRPr="00937A5C">
        <w:rPr>
          <w:rFonts w:ascii="Times New Roman" w:hAnsi="Times New Roman" w:cs="Times New Roman"/>
          <w:sz w:val="24"/>
          <w:szCs w:val="24"/>
        </w:rPr>
        <w:t>Balié</w:t>
      </w:r>
      <w:proofErr w:type="spellEnd"/>
      <w:r w:rsidRPr="00937A5C">
        <w:rPr>
          <w:rFonts w:ascii="Times New Roman" w:hAnsi="Times New Roman" w:cs="Times New Roman"/>
          <w:sz w:val="24"/>
          <w:szCs w:val="24"/>
        </w:rPr>
        <w:t xml:space="preserve">, Minot, and Valera (2021), who applied Deaton's (1989)’s </w:t>
      </w:r>
      <w:r w:rsidR="007A36B6" w:rsidRPr="00937A5C">
        <w:rPr>
          <w:rFonts w:ascii="Times New Roman" w:hAnsi="Times New Roman" w:cs="Times New Roman"/>
          <w:sz w:val="24"/>
          <w:szCs w:val="24"/>
        </w:rPr>
        <w:t>net benefit ratio (</w:t>
      </w:r>
      <w:r w:rsidRPr="00937A5C">
        <w:rPr>
          <w:rFonts w:ascii="Times New Roman" w:hAnsi="Times New Roman" w:cs="Times New Roman"/>
          <w:sz w:val="24"/>
          <w:szCs w:val="24"/>
        </w:rPr>
        <w:t>NBR</w:t>
      </w:r>
      <w:r w:rsidR="007A36B6" w:rsidRPr="00937A5C">
        <w:rPr>
          <w:rFonts w:ascii="Times New Roman" w:hAnsi="Times New Roman" w:cs="Times New Roman"/>
          <w:sz w:val="24"/>
          <w:szCs w:val="24"/>
        </w:rPr>
        <w:t>)</w:t>
      </w:r>
      <w:r w:rsidRPr="00937A5C">
        <w:rPr>
          <w:rFonts w:ascii="Times New Roman" w:hAnsi="Times New Roman" w:cs="Times New Roman"/>
          <w:sz w:val="24"/>
          <w:szCs w:val="24"/>
        </w:rPr>
        <w:t xml:space="preserve"> analysis using the 2015 FIES data to classify regions into net sellers or net buyers. We extended their analysis by calculating rice self-sufficiency levels across provinces based on average rice production share, rice consumption share, and the NBR. These indicators are calculated using Deaton's (1989)’s formulation of the NBR: </w:t>
      </w:r>
    </w:p>
    <w:p w14:paraId="637F758C" w14:textId="77777777" w:rsidR="00F3684E" w:rsidRPr="00D6728E" w:rsidRDefault="00F3684E" w:rsidP="00F3684E">
      <w:pPr>
        <w:ind w:firstLine="360"/>
        <w:jc w:val="both"/>
        <w:rPr>
          <w:rFonts w:ascii="Montserrat" w:hAnsi="Montserrat"/>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521"/>
      </w:tblGrid>
      <w:tr w:rsidR="00F3684E" w:rsidRPr="00D6728E" w14:paraId="221A7C39" w14:textId="77777777" w:rsidTr="003B708E">
        <w:trPr>
          <w:trHeight w:val="69"/>
          <w:jc w:val="center"/>
        </w:trPr>
        <w:tc>
          <w:tcPr>
            <w:tcW w:w="0" w:type="auto"/>
            <w:vAlign w:val="center"/>
          </w:tcPr>
          <w:p w14:paraId="2BCD601D" w14:textId="77777777" w:rsidR="00F3684E" w:rsidRPr="00D6728E" w:rsidRDefault="00000000" w:rsidP="003B708E">
            <w:pPr>
              <w:rPr>
                <w:rFonts w:ascii="Montserrat" w:hAnsi="Montserrat"/>
                <w:sz w:val="22"/>
                <w:szCs w:val="22"/>
              </w:rPr>
            </w:pPr>
            <m:oMathPara>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CV</m:t>
                    </m:r>
                  </m:num>
                  <m:den>
                    <m:r>
                      <w:rPr>
                        <w:rFonts w:ascii="Cambria Math" w:eastAsia="Cambria Math" w:hAnsi="Cambria Math" w:cs="Cambria Math"/>
                        <w:color w:val="000000"/>
                        <w:sz w:val="22"/>
                        <w:szCs w:val="22"/>
                      </w:rPr>
                      <m:t>Y</m:t>
                    </m:r>
                  </m:den>
                </m:f>
                <m:r>
                  <w:rPr>
                    <w:rFonts w:ascii="Cambria Math" w:eastAsia="Cambria Math" w:hAnsi="Cambria Math" w:cs="Cambria Math"/>
                    <w:color w:val="000000"/>
                    <w:sz w:val="22"/>
                    <w:szCs w:val="22"/>
                  </w:rPr>
                  <m:t>=</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q-s</m:t>
                    </m:r>
                  </m:e>
                </m:d>
                <m:acc>
                  <m:accPr>
                    <m:ctrlPr>
                      <w:rPr>
                        <w:rFonts w:ascii="Cambria Math" w:eastAsia="Cambria Math" w:hAnsi="Cambria Math" w:cs="Cambria Math"/>
                        <w:color w:val="000000"/>
                        <w:sz w:val="22"/>
                        <w:szCs w:val="22"/>
                      </w:rPr>
                    </m:ctrlPr>
                  </m:accPr>
                  <m:e>
                    <m:r>
                      <w:rPr>
                        <w:rFonts w:ascii="Cambria Math" w:eastAsia="Cambria Math" w:hAnsi="Cambria Math" w:cs="Cambria Math"/>
                        <w:color w:val="000000"/>
                        <w:sz w:val="22"/>
                        <w:szCs w:val="22"/>
                      </w:rPr>
                      <m:t>p</m:t>
                    </m:r>
                  </m:e>
                </m:acc>
              </m:oMath>
            </m:oMathPara>
          </w:p>
        </w:tc>
        <w:tc>
          <w:tcPr>
            <w:tcW w:w="1521" w:type="dxa"/>
            <w:vAlign w:val="center"/>
          </w:tcPr>
          <w:p w14:paraId="00ED13BA" w14:textId="77777777" w:rsidR="00F3684E" w:rsidRPr="00D6728E" w:rsidRDefault="00F3684E" w:rsidP="00F3684E">
            <w:pPr>
              <w:pStyle w:val="ListParagraph"/>
              <w:numPr>
                <w:ilvl w:val="0"/>
                <w:numId w:val="11"/>
              </w:numPr>
              <w:spacing w:after="0" w:line="240" w:lineRule="auto"/>
              <w:jc w:val="center"/>
              <w:rPr>
                <w:rFonts w:ascii="Montserrat" w:hAnsi="Montserrat" w:cs="Segoe UI"/>
              </w:rPr>
            </w:pPr>
          </w:p>
        </w:tc>
      </w:tr>
    </w:tbl>
    <w:p w14:paraId="6D1C4C48" w14:textId="77777777" w:rsidR="00F3684E" w:rsidRPr="00D6728E" w:rsidRDefault="00F3684E" w:rsidP="00F3684E">
      <w:pPr>
        <w:jc w:val="both"/>
        <w:rPr>
          <w:rFonts w:ascii="Montserrat" w:hAnsi="Montserrat"/>
          <w:sz w:val="22"/>
          <w:szCs w:val="22"/>
        </w:rPr>
      </w:pPr>
    </w:p>
    <w:p w14:paraId="71A746A0" w14:textId="77777777" w:rsidR="00F3684E" w:rsidRPr="00937A5C" w:rsidRDefault="00F3684E" w:rsidP="00F3684E">
      <w:pPr>
        <w:spacing w:after="240"/>
        <w:jc w:val="both"/>
        <w:rPr>
          <w:rFonts w:ascii="Times New Roman" w:hAnsi="Times New Roman" w:cs="Times New Roman"/>
          <w:color w:val="000000"/>
          <w:sz w:val="24"/>
          <w:szCs w:val="24"/>
        </w:rPr>
      </w:pPr>
      <w:r w:rsidRPr="00937A5C">
        <w:rPr>
          <w:rFonts w:ascii="Times New Roman" w:hAnsi="Times New Roman" w:cs="Times New Roman"/>
          <w:color w:val="000000"/>
          <w:spacing w:val="-4"/>
          <w:sz w:val="24"/>
          <w:szCs w:val="24"/>
        </w:rPr>
        <w:t xml:space="preserve">where </w:t>
      </w:r>
      <m:oMath>
        <m:r>
          <w:rPr>
            <w:rFonts w:ascii="Cambria Math" w:hAnsi="Cambria Math" w:cs="Times New Roman"/>
            <w:color w:val="000000"/>
            <w:spacing w:val="-4"/>
            <w:sz w:val="24"/>
            <w:szCs w:val="24"/>
          </w:rPr>
          <m:t>CV</m:t>
        </m:r>
      </m:oMath>
      <w:r w:rsidRPr="00937A5C">
        <w:rPr>
          <w:rFonts w:ascii="Times New Roman" w:hAnsi="Times New Roman" w:cs="Times New Roman"/>
          <w:color w:val="000000"/>
          <w:spacing w:val="-4"/>
          <w:sz w:val="24"/>
          <w:szCs w:val="24"/>
        </w:rPr>
        <w:t xml:space="preserve"> is the compensating variation measure of welfare, </w:t>
      </w:r>
      <m:oMath>
        <m:r>
          <w:rPr>
            <w:rFonts w:ascii="Cambria Math" w:hAnsi="Cambria Math" w:cs="Times New Roman"/>
            <w:color w:val="000000"/>
            <w:spacing w:val="-4"/>
            <w:sz w:val="24"/>
            <w:szCs w:val="24"/>
          </w:rPr>
          <m:t>Y</m:t>
        </m:r>
      </m:oMath>
      <w:r w:rsidRPr="00937A5C">
        <w:rPr>
          <w:rFonts w:ascii="Times New Roman" w:hAnsi="Times New Roman" w:cs="Times New Roman"/>
          <w:color w:val="000000"/>
          <w:spacing w:val="-4"/>
          <w:sz w:val="24"/>
          <w:szCs w:val="24"/>
        </w:rPr>
        <w:t xml:space="preserve"> denotes household income or expenditure, </w:t>
      </w:r>
      <m:oMath>
        <m:r>
          <w:rPr>
            <w:rFonts w:ascii="Cambria Math" w:hAnsi="Cambria Math" w:cs="Times New Roman"/>
            <w:color w:val="000000"/>
            <w:spacing w:val="-4"/>
            <w:sz w:val="24"/>
            <w:szCs w:val="24"/>
          </w:rPr>
          <m:t>q</m:t>
        </m:r>
      </m:oMath>
      <w:r w:rsidRPr="00937A5C">
        <w:rPr>
          <w:rFonts w:ascii="Times New Roman" w:hAnsi="Times New Roman" w:cs="Times New Roman"/>
          <w:color w:val="000000"/>
          <w:spacing w:val="-4"/>
          <w:sz w:val="24"/>
          <w:szCs w:val="24"/>
        </w:rPr>
        <w:t xml:space="preserve"> is the value of rice production as a share of expenditure, </w:t>
      </w:r>
      <m:oMath>
        <m:r>
          <w:rPr>
            <w:rFonts w:ascii="Cambria Math" w:hAnsi="Cambria Math" w:cs="Times New Roman"/>
            <w:color w:val="000000"/>
            <w:spacing w:val="-4"/>
            <w:sz w:val="24"/>
            <w:szCs w:val="24"/>
          </w:rPr>
          <m:t>s</m:t>
        </m:r>
      </m:oMath>
      <w:r w:rsidRPr="00937A5C">
        <w:rPr>
          <w:rFonts w:ascii="Times New Roman" w:hAnsi="Times New Roman" w:cs="Times New Roman"/>
          <w:color w:val="000000"/>
          <w:spacing w:val="-4"/>
          <w:sz w:val="24"/>
          <w:szCs w:val="24"/>
        </w:rPr>
        <w:t xml:space="preserve"> is the share of total </w:t>
      </w:r>
      <w:r w:rsidRPr="00937A5C">
        <w:rPr>
          <w:rFonts w:ascii="Times New Roman" w:hAnsi="Times New Roman" w:cs="Times New Roman"/>
          <w:color w:val="000000"/>
          <w:spacing w:val="-4"/>
          <w:sz w:val="24"/>
          <w:szCs w:val="24"/>
        </w:rPr>
        <w:lastRenderedPageBreak/>
        <w:t xml:space="preserve">expenditure spent on rice, </w:t>
      </w:r>
      <m:oMath>
        <m:acc>
          <m:accPr>
            <m:ctrlPr>
              <w:rPr>
                <w:rFonts w:ascii="Cambria Math" w:eastAsia="Cambria Math" w:hAnsi="Cambria Math" w:cs="Times New Roman"/>
                <w:color w:val="000000"/>
                <w:spacing w:val="-4"/>
                <w:sz w:val="24"/>
                <w:szCs w:val="24"/>
              </w:rPr>
            </m:ctrlPr>
          </m:accPr>
          <m:e>
            <m:r>
              <w:rPr>
                <w:rFonts w:ascii="Cambria Math" w:eastAsia="Cambria Math" w:hAnsi="Cambria Math" w:cs="Times New Roman"/>
                <w:color w:val="000000"/>
                <w:spacing w:val="-4"/>
                <w:sz w:val="24"/>
                <w:szCs w:val="24"/>
              </w:rPr>
              <m:t>p</m:t>
            </m:r>
          </m:e>
        </m:acc>
      </m:oMath>
      <w:r w:rsidRPr="00937A5C">
        <w:rPr>
          <w:rFonts w:ascii="Times New Roman" w:hAnsi="Times New Roman" w:cs="Times New Roman"/>
          <w:color w:val="000000"/>
          <w:spacing w:val="-4"/>
          <w:sz w:val="24"/>
          <w:szCs w:val="24"/>
        </w:rPr>
        <w:t xml:space="preserve"> is the proportional change in rice prices, and the term </w:t>
      </w:r>
      <m:oMath>
        <m:r>
          <w:rPr>
            <w:rFonts w:ascii="Cambria Math" w:hAnsi="Cambria Math" w:cs="Times New Roman"/>
            <w:color w:val="000000"/>
            <w:spacing w:val="-4"/>
            <w:sz w:val="24"/>
            <w:szCs w:val="24"/>
          </w:rPr>
          <m:t>(q-s)</m:t>
        </m:r>
      </m:oMath>
      <w:r w:rsidRPr="00937A5C">
        <w:rPr>
          <w:rFonts w:ascii="Times New Roman" w:hAnsi="Times New Roman" w:cs="Times New Roman"/>
          <w:color w:val="000000"/>
          <w:spacing w:val="-4"/>
          <w:sz w:val="24"/>
          <w:szCs w:val="24"/>
        </w:rPr>
        <w:t xml:space="preserve"> is the NBR. The NBR measures the short-term elasticity of household welfare in terms of the price of rice. A positive NBR indicates that a household is a net seller of rice, whereas a negative NBR suggests it is a net buyer.</w:t>
      </w:r>
    </w:p>
    <w:p w14:paraId="13D4A590" w14:textId="16FEF099" w:rsidR="004932B0" w:rsidRDefault="00F3684E" w:rsidP="00C859FF">
      <w:pPr>
        <w:spacing w:after="240"/>
        <w:ind w:firstLine="357"/>
        <w:jc w:val="both"/>
        <w:rPr>
          <w:rFonts w:ascii="Times New Roman" w:eastAsia="Arial" w:hAnsi="Times New Roman" w:cs="Times New Roman"/>
          <w:b/>
          <w:bCs/>
          <w:sz w:val="24"/>
          <w:szCs w:val="24"/>
        </w:rPr>
      </w:pPr>
      <w:r w:rsidRPr="00CB0421">
        <w:rPr>
          <w:rFonts w:ascii="Times New Roman" w:hAnsi="Times New Roman" w:cs="Times New Roman"/>
          <w:color w:val="000000"/>
          <w:sz w:val="24"/>
          <w:szCs w:val="24"/>
        </w:rPr>
        <w:t xml:space="preserve">Figure 4 and </w:t>
      </w:r>
      <w:r w:rsidR="00CB0421">
        <w:rPr>
          <w:rFonts w:ascii="Times New Roman" w:hAnsi="Times New Roman" w:cs="Times New Roman"/>
          <w:color w:val="000000"/>
          <w:sz w:val="24"/>
          <w:szCs w:val="24"/>
        </w:rPr>
        <w:t xml:space="preserve">Appendix </w:t>
      </w:r>
      <w:r w:rsidRPr="00CB0421">
        <w:rPr>
          <w:rFonts w:ascii="Times New Roman" w:hAnsi="Times New Roman" w:cs="Times New Roman"/>
          <w:color w:val="000000"/>
          <w:sz w:val="24"/>
          <w:szCs w:val="24"/>
        </w:rPr>
        <w:t>Table 1-A</w:t>
      </w:r>
      <w:r w:rsidRPr="00937A5C">
        <w:rPr>
          <w:rFonts w:ascii="Times New Roman" w:hAnsi="Times New Roman" w:cs="Times New Roman"/>
          <w:color w:val="000000"/>
          <w:sz w:val="24"/>
          <w:szCs w:val="24"/>
        </w:rPr>
        <w:t xml:space="preserve"> present the NBR by province. Only 11 out of 74 provinces had a positive NBR, indicating they were surplus rice producers or net </w:t>
      </w:r>
      <w:r w:rsidRPr="00937A5C">
        <w:rPr>
          <w:rFonts w:ascii="Times New Roman" w:hAnsi="Times New Roman" w:cs="Times New Roman"/>
          <w:color w:val="000000"/>
          <w:spacing w:val="4"/>
          <w:sz w:val="24"/>
          <w:szCs w:val="24"/>
        </w:rPr>
        <w:t>sellers. The top three NBRs were obtained by the provinces of Kalinga (KAL) with 0.168, Cagayan (CAG) with 0.144, and Isabela (ISA) with 0.099. These findings align with expectations, as these provinces are considered the rice granaries of the Philippines.</w:t>
      </w:r>
    </w:p>
    <w:p w14:paraId="2229ED8D" w14:textId="2F879C42" w:rsidR="004E2B5B" w:rsidRPr="003A4B12" w:rsidRDefault="004E2B5B" w:rsidP="004E2B5B">
      <w:pPr>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t>Figure 4</w:t>
      </w:r>
      <w:r w:rsidR="000F681F">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Incidence of </w:t>
      </w:r>
      <w:r w:rsidR="000F681F">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 xml:space="preserve">overty and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ice </w:t>
      </w:r>
      <w:r w:rsidR="000F681F">
        <w:rPr>
          <w:rFonts w:ascii="Times New Roman" w:eastAsia="Arial" w:hAnsi="Times New Roman" w:cs="Times New Roman"/>
          <w:b/>
          <w:bCs/>
          <w:sz w:val="24"/>
          <w:szCs w:val="24"/>
        </w:rPr>
        <w:t>n</w:t>
      </w:r>
      <w:r w:rsidRPr="003A4B12">
        <w:rPr>
          <w:rFonts w:ascii="Times New Roman" w:eastAsia="Arial" w:hAnsi="Times New Roman" w:cs="Times New Roman"/>
          <w:b/>
          <w:bCs/>
          <w:sz w:val="24"/>
          <w:szCs w:val="24"/>
        </w:rPr>
        <w:t xml:space="preserve">et </w:t>
      </w:r>
      <w:r w:rsidR="000F681F">
        <w:rPr>
          <w:rFonts w:ascii="Times New Roman" w:eastAsia="Arial" w:hAnsi="Times New Roman" w:cs="Times New Roman"/>
          <w:b/>
          <w:bCs/>
          <w:sz w:val="24"/>
          <w:szCs w:val="24"/>
        </w:rPr>
        <w:t>b</w:t>
      </w:r>
      <w:r w:rsidRPr="003A4B12">
        <w:rPr>
          <w:rFonts w:ascii="Times New Roman" w:eastAsia="Arial" w:hAnsi="Times New Roman" w:cs="Times New Roman"/>
          <w:b/>
          <w:bCs/>
          <w:sz w:val="24"/>
          <w:szCs w:val="24"/>
        </w:rPr>
        <w:t xml:space="preserve">enefit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atio by </w:t>
      </w:r>
      <w:r w:rsidR="000F681F">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rovince</w:t>
      </w:r>
    </w:p>
    <w:p w14:paraId="3D8AFE68" w14:textId="77777777" w:rsidR="004E2B5B" w:rsidRPr="00D6728E" w:rsidRDefault="004E2B5B" w:rsidP="004E2B5B">
      <w:pPr>
        <w:jc w:val="center"/>
        <w:rPr>
          <w:rFonts w:ascii="Montserrat" w:eastAsia="Arial" w:hAnsi="Montserrat" w:cs="Times New Roman"/>
          <w:b/>
          <w:bCs/>
          <w:sz w:val="16"/>
          <w:szCs w:val="16"/>
        </w:rPr>
      </w:pPr>
    </w:p>
    <w:p w14:paraId="184EC0DD" w14:textId="008265C6" w:rsidR="004E2B5B" w:rsidRPr="003A4B12" w:rsidRDefault="004E2B5B" w:rsidP="004E2B5B">
      <w:pPr>
        <w:jc w:val="center"/>
        <w:rPr>
          <w:rFonts w:ascii="Times New Roman" w:eastAsia="Arial" w:hAnsi="Times New Roman" w:cs="Times New Roman"/>
          <w:sz w:val="22"/>
          <w:szCs w:val="22"/>
        </w:rPr>
      </w:pPr>
      <w:r w:rsidRPr="003A4B12">
        <w:rPr>
          <w:rFonts w:ascii="Times New Roman" w:eastAsia="Arial" w:hAnsi="Times New Roman" w:cs="Times New Roman"/>
          <w:sz w:val="22"/>
          <w:szCs w:val="22"/>
        </w:rPr>
        <w:t xml:space="preserve">(a) Poverty </w:t>
      </w:r>
      <w:r w:rsidR="000F681F">
        <w:rPr>
          <w:rFonts w:ascii="Times New Roman" w:eastAsia="Arial" w:hAnsi="Times New Roman" w:cs="Times New Roman"/>
          <w:sz w:val="22"/>
          <w:szCs w:val="22"/>
        </w:rPr>
        <w:t>i</w:t>
      </w:r>
      <w:r w:rsidRPr="003A4B12">
        <w:rPr>
          <w:rFonts w:ascii="Times New Roman" w:eastAsia="Arial" w:hAnsi="Times New Roman" w:cs="Times New Roman"/>
          <w:sz w:val="22"/>
          <w:szCs w:val="22"/>
        </w:rPr>
        <w:t>ncidence</w:t>
      </w:r>
    </w:p>
    <w:p w14:paraId="20499309" w14:textId="77777777" w:rsidR="004E2B5B" w:rsidRPr="00D6728E" w:rsidRDefault="004E2B5B" w:rsidP="004E2B5B">
      <w:pPr>
        <w:jc w:val="center"/>
        <w:rPr>
          <w:rFonts w:ascii="Montserrat" w:eastAsia="Arial" w:hAnsi="Montserrat" w:cs="Times New Roman"/>
          <w:b/>
          <w:bCs/>
          <w:sz w:val="6"/>
          <w:szCs w:val="6"/>
        </w:rPr>
      </w:pPr>
    </w:p>
    <w:p w14:paraId="419A9550" w14:textId="77777777" w:rsidR="004E2B5B" w:rsidRPr="00D6728E" w:rsidRDefault="004E2B5B" w:rsidP="004E2B5B">
      <w:pPr>
        <w:tabs>
          <w:tab w:val="center" w:pos="4513"/>
          <w:tab w:val="left" w:pos="6874"/>
        </w:tabs>
        <w:jc w:val="center"/>
        <w:rPr>
          <w:rFonts w:ascii="Montserrat" w:eastAsia="Arial" w:hAnsi="Montserrat" w:cs="Times New Roman"/>
        </w:rPr>
      </w:pPr>
      <w:r w:rsidRPr="00D6728E">
        <w:rPr>
          <w:b/>
          <w:bCs/>
          <w:noProof/>
        </w:rPr>
        <w:drawing>
          <wp:inline distT="0" distB="0" distL="0" distR="0" wp14:anchorId="199E035F" wp14:editId="5DF4087C">
            <wp:extent cx="4640635" cy="2781902"/>
            <wp:effectExtent l="19050" t="19050" r="26670" b="19050"/>
            <wp:docPr id="1616850293" name="Picture 2" descr="A group of smal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50293" name="Picture 2" descr="A group of small dot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647568" cy="2786058"/>
                    </a:xfrm>
                    <a:prstGeom prst="rect">
                      <a:avLst/>
                    </a:prstGeom>
                    <a:ln>
                      <a:solidFill>
                        <a:schemeClr val="bg1">
                          <a:lumMod val="50000"/>
                        </a:schemeClr>
                      </a:solidFill>
                    </a:ln>
                  </pic:spPr>
                </pic:pic>
              </a:graphicData>
            </a:graphic>
          </wp:inline>
        </w:drawing>
      </w:r>
    </w:p>
    <w:p w14:paraId="625EFE1E" w14:textId="77777777" w:rsidR="004E2B5B" w:rsidRPr="00D6728E" w:rsidRDefault="004E2B5B" w:rsidP="004E2B5B">
      <w:pPr>
        <w:tabs>
          <w:tab w:val="center" w:pos="4513"/>
          <w:tab w:val="left" w:pos="6874"/>
        </w:tabs>
        <w:jc w:val="center"/>
        <w:rPr>
          <w:rFonts w:ascii="Montserrat" w:eastAsia="Arial" w:hAnsi="Montserrat" w:cs="Times New Roman"/>
          <w:sz w:val="22"/>
          <w:szCs w:val="22"/>
        </w:rPr>
      </w:pPr>
    </w:p>
    <w:p w14:paraId="7147BFDA" w14:textId="496D98E0" w:rsidR="004E2B5B" w:rsidRPr="003A4B12" w:rsidRDefault="004E2B5B" w:rsidP="004E2B5B">
      <w:pPr>
        <w:tabs>
          <w:tab w:val="center" w:pos="4513"/>
          <w:tab w:val="left" w:pos="6874"/>
        </w:tabs>
        <w:jc w:val="center"/>
        <w:rPr>
          <w:rFonts w:ascii="Times New Roman" w:eastAsia="Arial" w:hAnsi="Times New Roman" w:cs="Times New Roman"/>
          <w:sz w:val="22"/>
          <w:szCs w:val="22"/>
        </w:rPr>
      </w:pPr>
      <w:r w:rsidRPr="003A4B12">
        <w:rPr>
          <w:rFonts w:ascii="Times New Roman" w:eastAsia="Arial" w:hAnsi="Times New Roman" w:cs="Times New Roman"/>
          <w:sz w:val="22"/>
          <w:szCs w:val="22"/>
        </w:rPr>
        <w:t xml:space="preserve">(b) Net </w:t>
      </w:r>
      <w:r w:rsidR="000F681F">
        <w:rPr>
          <w:rFonts w:ascii="Times New Roman" w:eastAsia="Arial" w:hAnsi="Times New Roman" w:cs="Times New Roman"/>
          <w:sz w:val="22"/>
          <w:szCs w:val="22"/>
        </w:rPr>
        <w:t>b</w:t>
      </w:r>
      <w:r w:rsidRPr="003A4B12">
        <w:rPr>
          <w:rFonts w:ascii="Times New Roman" w:eastAsia="Arial" w:hAnsi="Times New Roman" w:cs="Times New Roman"/>
          <w:sz w:val="22"/>
          <w:szCs w:val="22"/>
        </w:rPr>
        <w:t xml:space="preserve">enefit </w:t>
      </w:r>
      <w:r w:rsidR="000F681F">
        <w:rPr>
          <w:rFonts w:ascii="Times New Roman" w:eastAsia="Arial" w:hAnsi="Times New Roman" w:cs="Times New Roman"/>
          <w:sz w:val="22"/>
          <w:szCs w:val="22"/>
        </w:rPr>
        <w:t>r</w:t>
      </w:r>
      <w:r w:rsidRPr="003A4B12">
        <w:rPr>
          <w:rFonts w:ascii="Times New Roman" w:eastAsia="Arial" w:hAnsi="Times New Roman" w:cs="Times New Roman"/>
          <w:sz w:val="22"/>
          <w:szCs w:val="22"/>
        </w:rPr>
        <w:t>atio</w:t>
      </w:r>
    </w:p>
    <w:p w14:paraId="6898112B" w14:textId="77777777" w:rsidR="004E2B5B" w:rsidRPr="00D6728E" w:rsidRDefault="004E2B5B" w:rsidP="004E2B5B">
      <w:pPr>
        <w:tabs>
          <w:tab w:val="center" w:pos="4513"/>
          <w:tab w:val="left" w:pos="6874"/>
        </w:tabs>
        <w:jc w:val="center"/>
        <w:rPr>
          <w:rFonts w:ascii="Montserrat" w:eastAsia="Arial" w:hAnsi="Montserrat" w:cs="Times New Roman"/>
          <w:sz w:val="6"/>
          <w:szCs w:val="6"/>
        </w:rPr>
      </w:pPr>
    </w:p>
    <w:p w14:paraId="2CD78BF1" w14:textId="77777777" w:rsidR="004E2B5B" w:rsidRPr="00D6728E" w:rsidRDefault="004E2B5B" w:rsidP="004E2B5B">
      <w:pPr>
        <w:tabs>
          <w:tab w:val="center" w:pos="4513"/>
          <w:tab w:val="left" w:pos="6874"/>
        </w:tabs>
        <w:jc w:val="center"/>
        <w:rPr>
          <w:rFonts w:ascii="Montserrat" w:eastAsia="Arial" w:hAnsi="Montserrat" w:cs="Times New Roman"/>
        </w:rPr>
      </w:pPr>
      <w:r w:rsidRPr="00D6728E">
        <w:rPr>
          <w:b/>
          <w:bCs/>
          <w:noProof/>
        </w:rPr>
        <w:drawing>
          <wp:inline distT="0" distB="0" distL="0" distR="0" wp14:anchorId="75F666FE" wp14:editId="08DA1856">
            <wp:extent cx="4658828" cy="2792809"/>
            <wp:effectExtent l="19050" t="19050" r="27940" b="26670"/>
            <wp:docPr id="342464273" name="Picture 3" descr="A group of small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64273" name="Picture 3" descr="A group of small black dot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679524" cy="2805216"/>
                    </a:xfrm>
                    <a:prstGeom prst="rect">
                      <a:avLst/>
                    </a:prstGeom>
                    <a:ln>
                      <a:solidFill>
                        <a:schemeClr val="bg1">
                          <a:lumMod val="50000"/>
                        </a:schemeClr>
                      </a:solidFill>
                    </a:ln>
                  </pic:spPr>
                </pic:pic>
              </a:graphicData>
            </a:graphic>
          </wp:inline>
        </w:drawing>
      </w:r>
    </w:p>
    <w:p w14:paraId="4C7ECB18" w14:textId="35B3D2B3" w:rsidR="004E2B5B" w:rsidRPr="003A4B12" w:rsidRDefault="004E2B5B" w:rsidP="004E2B5B">
      <w:pPr>
        <w:tabs>
          <w:tab w:val="center" w:pos="4513"/>
          <w:tab w:val="left" w:pos="6874"/>
        </w:tabs>
        <w:ind w:left="993" w:right="521"/>
        <w:rPr>
          <w:rFonts w:ascii="Times New Roman" w:eastAsia="Arial" w:hAnsi="Times New Roman" w:cs="Times New Roman"/>
          <w:spacing w:val="-2"/>
          <w:sz w:val="21"/>
          <w:szCs w:val="21"/>
        </w:rPr>
      </w:pPr>
      <w:r w:rsidRPr="003A4B12">
        <w:rPr>
          <w:rFonts w:ascii="Times New Roman" w:eastAsia="Arial" w:hAnsi="Times New Roman" w:cs="Times New Roman"/>
          <w:spacing w:val="-2"/>
          <w:sz w:val="21"/>
          <w:szCs w:val="21"/>
        </w:rPr>
        <w:t xml:space="preserve">Source: </w:t>
      </w:r>
      <w:r w:rsidR="00927E1B" w:rsidRPr="003A4B12">
        <w:rPr>
          <w:rFonts w:ascii="Times New Roman" w:eastAsia="Arial" w:hAnsi="Times New Roman" w:cs="Times New Roman"/>
          <w:spacing w:val="-2"/>
          <w:sz w:val="21"/>
          <w:szCs w:val="21"/>
        </w:rPr>
        <w:t>Authors'</w:t>
      </w:r>
      <w:r w:rsidRPr="003A4B12">
        <w:rPr>
          <w:rFonts w:ascii="Times New Roman" w:eastAsia="Arial" w:hAnsi="Times New Roman" w:cs="Times New Roman"/>
          <w:spacing w:val="-2"/>
          <w:sz w:val="21"/>
          <w:szCs w:val="21"/>
        </w:rPr>
        <w:t xml:space="preserve"> work based on the analysis of data from the 2015 </w:t>
      </w:r>
      <w:r w:rsidR="000F681F">
        <w:rPr>
          <w:rFonts w:ascii="Times New Roman" w:eastAsia="Arial" w:hAnsi="Times New Roman" w:cs="Times New Roman"/>
          <w:spacing w:val="-2"/>
          <w:sz w:val="21"/>
          <w:szCs w:val="21"/>
        </w:rPr>
        <w:t>FIES.</w:t>
      </w:r>
    </w:p>
    <w:p w14:paraId="37423AA0" w14:textId="77777777" w:rsidR="004E2B5B" w:rsidRPr="003A4B12" w:rsidRDefault="004E2B5B" w:rsidP="004E2B5B">
      <w:pPr>
        <w:tabs>
          <w:tab w:val="center" w:pos="4513"/>
          <w:tab w:val="left" w:pos="6874"/>
        </w:tabs>
        <w:ind w:firstLine="357"/>
        <w:rPr>
          <w:rFonts w:ascii="Montserrat" w:hAnsi="Montserrat"/>
          <w:sz w:val="21"/>
          <w:szCs w:val="21"/>
        </w:rPr>
      </w:pPr>
    </w:p>
    <w:p w14:paraId="29DC931A" w14:textId="77777777" w:rsidR="00C859FF" w:rsidRPr="005D5B09" w:rsidRDefault="004E2B5B" w:rsidP="00C859FF">
      <w:pPr>
        <w:jc w:val="both"/>
        <w:rPr>
          <w:rFonts w:ascii="Times New Roman" w:hAnsi="Times New Roman" w:cs="Times New Roman"/>
          <w:color w:val="000000"/>
          <w:sz w:val="24"/>
          <w:szCs w:val="24"/>
        </w:rPr>
      </w:pPr>
      <w:r w:rsidRPr="005D5B09">
        <w:rPr>
          <w:rFonts w:ascii="Times New Roman" w:hAnsi="Times New Roman" w:cs="Times New Roman"/>
          <w:color w:val="000000"/>
          <w:sz w:val="24"/>
          <w:szCs w:val="24"/>
        </w:rPr>
        <w:lastRenderedPageBreak/>
        <w:t xml:space="preserve">In </w:t>
      </w:r>
      <w:r w:rsidRPr="000F681F">
        <w:rPr>
          <w:rFonts w:ascii="Times New Roman" w:hAnsi="Times New Roman" w:cs="Times New Roman"/>
          <w:color w:val="000000"/>
          <w:sz w:val="24"/>
          <w:szCs w:val="24"/>
        </w:rPr>
        <w:t>Figure 5,</w:t>
      </w:r>
      <w:r w:rsidRPr="005D5B09">
        <w:rPr>
          <w:rFonts w:ascii="Times New Roman" w:hAnsi="Times New Roman" w:cs="Times New Roman"/>
          <w:color w:val="000000"/>
          <w:sz w:val="24"/>
          <w:szCs w:val="24"/>
        </w:rPr>
        <w:t xml:space="preserve"> we present the quantile plots of the rice price inflation variable across the different categories of provinces. The plots present the coefficients at various quantiles, along with their respective confidence intervals. We observed that the rice price inflation variable still shows many instances of significance after </w:t>
      </w:r>
      <w:r w:rsidRPr="005D5B09">
        <w:rPr>
          <w:rFonts w:ascii="Times New Roman" w:hAnsi="Times New Roman" w:cs="Times New Roman"/>
          <w:color w:val="000000"/>
          <w:spacing w:val="-2"/>
          <w:sz w:val="24"/>
          <w:szCs w:val="24"/>
        </w:rPr>
        <w:t xml:space="preserve">the adoption of inflation targeting for the low- and high-poverty provinces. However, </w:t>
      </w:r>
      <w:r w:rsidR="00C859FF" w:rsidRPr="005D5B09">
        <w:rPr>
          <w:rFonts w:ascii="Times New Roman" w:hAnsi="Times New Roman" w:cs="Times New Roman"/>
          <w:color w:val="000000"/>
          <w:spacing w:val="-2"/>
          <w:sz w:val="24"/>
          <w:szCs w:val="24"/>
        </w:rPr>
        <w:t xml:space="preserve">the impact of rice price inflation is much higher for high-poverty provinces than in the low-poverty group. This aligns with the findings of Valera, </w:t>
      </w:r>
      <w:proofErr w:type="spellStart"/>
      <w:r w:rsidR="00C859FF" w:rsidRPr="005D5B09">
        <w:rPr>
          <w:rFonts w:ascii="Times New Roman" w:hAnsi="Times New Roman" w:cs="Times New Roman"/>
          <w:color w:val="000000"/>
          <w:spacing w:val="-2"/>
          <w:sz w:val="24"/>
          <w:szCs w:val="24"/>
        </w:rPr>
        <w:t>Balié</w:t>
      </w:r>
      <w:proofErr w:type="spellEnd"/>
      <w:r w:rsidR="00C859FF" w:rsidRPr="005D5B09">
        <w:rPr>
          <w:rFonts w:ascii="Times New Roman" w:hAnsi="Times New Roman" w:cs="Times New Roman"/>
          <w:color w:val="000000"/>
          <w:spacing w:val="-2"/>
          <w:sz w:val="24"/>
          <w:szCs w:val="24"/>
        </w:rPr>
        <w:t xml:space="preserve">, and Magrini (2022) </w:t>
      </w:r>
      <w:r w:rsidR="00C859FF" w:rsidRPr="005D5B09">
        <w:rPr>
          <w:rFonts w:ascii="Times New Roman" w:hAnsi="Times New Roman" w:cs="Times New Roman"/>
          <w:color w:val="000000"/>
          <w:sz w:val="24"/>
          <w:szCs w:val="24"/>
        </w:rPr>
        <w:t>on regional inflation in the Philippines. Meanwhile, the impact of rice price inflation is lower in rice-deficit provinces than in rice-surplus areas.</w:t>
      </w:r>
    </w:p>
    <w:p w14:paraId="0E0420E5" w14:textId="77777777" w:rsidR="00C859FF" w:rsidRPr="005D5B09" w:rsidRDefault="00C859FF" w:rsidP="00C859FF">
      <w:pPr>
        <w:ind w:firstLine="720"/>
        <w:jc w:val="both"/>
        <w:rPr>
          <w:rFonts w:ascii="Times New Roman" w:hAnsi="Times New Roman" w:cs="Times New Roman"/>
          <w:color w:val="000000"/>
          <w:sz w:val="24"/>
          <w:szCs w:val="24"/>
        </w:rPr>
      </w:pPr>
    </w:p>
    <w:p w14:paraId="4F6E9981" w14:textId="77777777" w:rsidR="00C859FF" w:rsidRPr="00D6728E" w:rsidRDefault="00C859FF" w:rsidP="00C859FF">
      <w:pPr>
        <w:ind w:firstLine="720"/>
        <w:jc w:val="both"/>
        <w:rPr>
          <w:rFonts w:ascii="Montserrat" w:hAnsi="Montserrat"/>
          <w:color w:val="000000"/>
          <w:sz w:val="22"/>
          <w:szCs w:val="22"/>
        </w:rPr>
      </w:pPr>
      <w:r w:rsidRPr="005D5B09">
        <w:rPr>
          <w:rFonts w:ascii="Times New Roman" w:hAnsi="Times New Roman" w:cs="Times New Roman"/>
          <w:color w:val="000000"/>
          <w:sz w:val="24"/>
          <w:szCs w:val="24"/>
        </w:rPr>
        <w:t xml:space="preserve">Building on these findings, we provide additional insights into the idea that the prices of some goods are more salient than others when it comes to forming inflation expectations. For this purpose, we organized consumer inflation expectations across provinces using data from the Consumer Expectations Survey (CES) conducted by the BSP's Department of Economic Statistics. The BSP conducts the CES on a quarterly basis with about 5,000 respondents from 52 provinces being asked about their demographic characteristics and expectations on inflation and other macroeconomic variables. </w:t>
      </w:r>
      <w:proofErr w:type="gramStart"/>
      <w:r w:rsidRPr="005D5B09">
        <w:rPr>
          <w:rFonts w:ascii="Times New Roman" w:hAnsi="Times New Roman" w:cs="Times New Roman"/>
          <w:color w:val="000000"/>
          <w:sz w:val="24"/>
          <w:szCs w:val="24"/>
        </w:rPr>
        <w:t>In particular, we</w:t>
      </w:r>
      <w:proofErr w:type="gramEnd"/>
      <w:r w:rsidRPr="005D5B09">
        <w:rPr>
          <w:rFonts w:ascii="Times New Roman" w:hAnsi="Times New Roman" w:cs="Times New Roman"/>
          <w:color w:val="000000"/>
          <w:sz w:val="24"/>
          <w:szCs w:val="24"/>
        </w:rPr>
        <w:t xml:space="preserve"> constructed the following quarterly data on one-year ahead inflation expectations across households from Q2 2014 to Q2 2024 and took the average for each province as follows:</w:t>
      </w:r>
      <w:r w:rsidRPr="00D6728E">
        <w:rPr>
          <w:rFonts w:ascii="Montserrat" w:hAnsi="Montserrat"/>
          <w:color w:val="000000"/>
          <w:sz w:val="22"/>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1521"/>
      </w:tblGrid>
      <w:tr w:rsidR="00C859FF" w:rsidRPr="00D6728E" w14:paraId="25825CBB" w14:textId="77777777" w:rsidTr="00263BE2">
        <w:trPr>
          <w:trHeight w:val="69"/>
          <w:jc w:val="center"/>
        </w:trPr>
        <w:tc>
          <w:tcPr>
            <w:tcW w:w="0" w:type="auto"/>
            <w:vAlign w:val="center"/>
          </w:tcPr>
          <w:p w14:paraId="6103B910" w14:textId="77777777" w:rsidR="00C859FF" w:rsidRPr="00D6728E" w:rsidRDefault="00000000" w:rsidP="00263BE2">
            <w:pPr>
              <w:rPr>
                <w:rFonts w:ascii="Montserrat" w:hAnsi="Montserrat"/>
                <w:sz w:val="22"/>
                <w:szCs w:val="22"/>
              </w:rPr>
            </w:pPr>
            <m:oMathPara>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i</m:t>
                    </m:r>
                  </m:sub>
                </m:sSub>
                <m:sSubSup>
                  <m:sSubSupPr>
                    <m:ctrlPr>
                      <w:rPr>
                        <w:rFonts w:ascii="Cambria Math" w:hAnsi="Cambria Math"/>
                        <w:i/>
                        <w:sz w:val="22"/>
                        <w:szCs w:val="22"/>
                      </w:rPr>
                    </m:ctrlPr>
                  </m:sSubSupPr>
                  <m:e>
                    <m:r>
                      <w:rPr>
                        <w:rFonts w:ascii="Cambria Math" w:hAnsi="Cambria Math"/>
                        <w:sz w:val="22"/>
                        <w:szCs w:val="22"/>
                      </w:rPr>
                      <m:t>π</m:t>
                    </m:r>
                  </m:e>
                  <m:sub>
                    <m:r>
                      <w:rPr>
                        <w:rFonts w:ascii="Cambria Math" w:hAnsi="Cambria Math"/>
                        <w:sz w:val="22"/>
                        <w:szCs w:val="22"/>
                      </w:rPr>
                      <m:t>it</m:t>
                    </m:r>
                  </m:sub>
                  <m:sup>
                    <m:r>
                      <w:rPr>
                        <w:rFonts w:ascii="Cambria Math" w:hAnsi="Cambria Math"/>
                        <w:sz w:val="22"/>
                        <w:szCs w:val="22"/>
                      </w:rPr>
                      <m:t>e</m:t>
                    </m:r>
                  </m:sup>
                </m:sSub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den>
                </m:f>
                <m:nary>
                  <m:naryPr>
                    <m:chr m:val="∑"/>
                    <m:limLoc m:val="undOvr"/>
                    <m:ctrlPr>
                      <w:rPr>
                        <w:rFonts w:ascii="Cambria Math" w:hAnsi="Cambria Math"/>
                        <w:i/>
                        <w:sz w:val="22"/>
                        <w:szCs w:val="22"/>
                      </w:rPr>
                    </m:ctrlPr>
                  </m:naryPr>
                  <m:sub>
                    <m:r>
                      <w:rPr>
                        <w:rFonts w:ascii="Cambria Math" w:hAnsi="Cambria Math"/>
                        <w:sz w:val="22"/>
                        <w:szCs w:val="22"/>
                      </w:rPr>
                      <m:t>i=1</m:t>
                    </m:r>
                  </m:sub>
                  <m:sup>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t</m:t>
                        </m:r>
                      </m:sub>
                      <m:sup>
                        <m:r>
                          <w:rPr>
                            <w:rFonts w:ascii="Cambria Math" w:hAnsi="Cambria Math"/>
                            <w:sz w:val="22"/>
                            <w:szCs w:val="22"/>
                          </w:rPr>
                          <m:t>*</m:t>
                        </m:r>
                      </m:sup>
                    </m:sSubSup>
                  </m:sup>
                  <m:e>
                    <m:sSubSup>
                      <m:sSubSupPr>
                        <m:ctrlPr>
                          <w:rPr>
                            <w:rFonts w:ascii="Cambria Math" w:hAnsi="Cambria Math"/>
                            <w:i/>
                            <w:sz w:val="22"/>
                            <w:szCs w:val="22"/>
                          </w:rPr>
                        </m:ctrlPr>
                      </m:sSubSupPr>
                      <m:e>
                        <m:r>
                          <w:rPr>
                            <w:rFonts w:ascii="Cambria Math" w:hAnsi="Cambria Math"/>
                            <w:sz w:val="22"/>
                            <w:szCs w:val="22"/>
                          </w:rPr>
                          <m:t>π</m:t>
                        </m:r>
                      </m:e>
                      <m:sub>
                        <m:r>
                          <w:rPr>
                            <w:rFonts w:ascii="Cambria Math" w:hAnsi="Cambria Math"/>
                            <w:sz w:val="22"/>
                            <w:szCs w:val="22"/>
                          </w:rPr>
                          <m:t>t</m:t>
                        </m:r>
                      </m:sub>
                      <m:sup>
                        <m:r>
                          <w:rPr>
                            <w:rFonts w:ascii="Cambria Math" w:hAnsi="Cambria Math"/>
                            <w:sz w:val="22"/>
                            <w:szCs w:val="22"/>
                          </w:rPr>
                          <m:t>e</m:t>
                        </m:r>
                      </m:sup>
                    </m:sSubSup>
                    <m:d>
                      <m:dPr>
                        <m:ctrlPr>
                          <w:rPr>
                            <w:rFonts w:ascii="Cambria Math" w:hAnsi="Cambria Math"/>
                            <w:i/>
                            <w:sz w:val="22"/>
                            <w:szCs w:val="22"/>
                          </w:rPr>
                        </m:ctrlPr>
                      </m:dPr>
                      <m:e>
                        <m:r>
                          <w:rPr>
                            <w:rFonts w:ascii="Cambria Math" w:hAnsi="Cambria Math"/>
                            <w:sz w:val="22"/>
                            <w:szCs w:val="22"/>
                          </w:rPr>
                          <m:t>i</m:t>
                        </m:r>
                      </m:e>
                    </m:d>
                    <m:r>
                      <w:rPr>
                        <w:rFonts w:ascii="Cambria Math" w:hAnsi="Cambria Math"/>
                        <w:sz w:val="22"/>
                        <w:szCs w:val="22"/>
                      </w:rPr>
                      <m:t>,</m:t>
                    </m:r>
                  </m:e>
                </m:nary>
              </m:oMath>
            </m:oMathPara>
          </w:p>
        </w:tc>
        <w:tc>
          <w:tcPr>
            <w:tcW w:w="1521" w:type="dxa"/>
            <w:vAlign w:val="center"/>
          </w:tcPr>
          <w:p w14:paraId="66DF746D" w14:textId="77777777" w:rsidR="00C859FF" w:rsidRPr="00D6728E" w:rsidRDefault="00C859FF" w:rsidP="00C859FF">
            <w:pPr>
              <w:pStyle w:val="ListParagraph"/>
              <w:numPr>
                <w:ilvl w:val="0"/>
                <w:numId w:val="34"/>
              </w:numPr>
              <w:spacing w:after="0" w:line="240" w:lineRule="auto"/>
              <w:jc w:val="center"/>
              <w:rPr>
                <w:rFonts w:ascii="Montserrat" w:hAnsi="Montserrat" w:cs="Segoe UI"/>
              </w:rPr>
            </w:pPr>
          </w:p>
        </w:tc>
      </w:tr>
    </w:tbl>
    <w:p w14:paraId="152C3153" w14:textId="77777777" w:rsidR="00C859FF" w:rsidRPr="00D6728E" w:rsidRDefault="00C859FF" w:rsidP="00C859FF">
      <w:pPr>
        <w:jc w:val="both"/>
        <w:rPr>
          <w:rFonts w:ascii="Montserrat" w:hAnsi="Montserrat"/>
          <w:color w:val="000000"/>
          <w:sz w:val="22"/>
          <w:szCs w:val="22"/>
        </w:rPr>
      </w:pPr>
    </w:p>
    <w:p w14:paraId="5B6D0A41" w14:textId="77777777" w:rsidR="00C859FF" w:rsidRPr="005D5B09" w:rsidRDefault="00C859FF" w:rsidP="00C859FF">
      <w:pPr>
        <w:jc w:val="both"/>
        <w:rPr>
          <w:rFonts w:ascii="Times New Roman" w:hAnsi="Times New Roman" w:cs="Times New Roman"/>
          <w:color w:val="000000"/>
          <w:sz w:val="24"/>
          <w:szCs w:val="24"/>
        </w:rPr>
      </w:pPr>
      <w:r w:rsidRPr="005D5B09">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π</m:t>
            </m:r>
          </m:e>
          <m:sub>
            <m:r>
              <w:rPr>
                <w:rFonts w:ascii="Cambria Math" w:hAnsi="Cambria Math" w:cs="Times New Roman"/>
                <w:sz w:val="24"/>
                <w:szCs w:val="24"/>
              </w:rPr>
              <m:t>it</m:t>
            </m:r>
          </m:sub>
          <m:sup>
            <m:r>
              <w:rPr>
                <w:rFonts w:ascii="Cambria Math" w:hAnsi="Cambria Math" w:cs="Times New Roman"/>
                <w:sz w:val="24"/>
                <w:szCs w:val="24"/>
              </w:rPr>
              <m:t>e</m:t>
            </m:r>
          </m:sup>
        </m:sSubSup>
      </m:oMath>
      <w:r w:rsidRPr="005D5B09">
        <w:rPr>
          <w:rFonts w:ascii="Times New Roman" w:hAnsi="Times New Roman" w:cs="Times New Roman"/>
          <w:sz w:val="24"/>
          <w:szCs w:val="24"/>
        </w:rPr>
        <w:t xml:space="preserve"> refers to the empirical cross-sectional means of individual inflation expectations in period </w:t>
      </w:r>
      <w:r w:rsidRPr="005D5B09">
        <w:rPr>
          <w:rFonts w:ascii="Times New Roman" w:hAnsi="Times New Roman" w:cs="Times New Roman"/>
          <w:i/>
          <w:iCs/>
          <w:sz w:val="24"/>
          <w:szCs w:val="24"/>
        </w:rPr>
        <w:t>t</w:t>
      </w:r>
      <w:r w:rsidRPr="005D5B0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π</m:t>
            </m:r>
          </m:e>
          <m:sub>
            <m:r>
              <w:rPr>
                <w:rFonts w:ascii="Cambria Math" w:hAnsi="Cambria Math" w:cs="Times New Roman"/>
                <w:sz w:val="24"/>
                <w:szCs w:val="24"/>
              </w:rPr>
              <m:t>t</m:t>
            </m:r>
          </m:sub>
          <m:sup>
            <m:r>
              <w:rPr>
                <w:rFonts w:ascii="Cambria Math" w:hAnsi="Cambria Math" w:cs="Times New Roman"/>
                <w:sz w:val="24"/>
                <w:szCs w:val="24"/>
              </w:rPr>
              <m:t>e</m:t>
            </m:r>
          </m:sup>
        </m:sSubSup>
        <m:d>
          <m:dPr>
            <m:ctrlPr>
              <w:rPr>
                <w:rFonts w:ascii="Cambria Math" w:hAnsi="Cambria Math" w:cs="Times New Roman"/>
                <w:i/>
                <w:sz w:val="24"/>
                <w:szCs w:val="24"/>
              </w:rPr>
            </m:ctrlPr>
          </m:dPr>
          <m:e>
            <m:r>
              <w:rPr>
                <w:rFonts w:ascii="Cambria Math" w:hAnsi="Cambria Math" w:cs="Times New Roman"/>
                <w:sz w:val="24"/>
                <w:szCs w:val="24"/>
              </w:rPr>
              <m:t>i</m:t>
            </m:r>
          </m:e>
        </m:d>
      </m:oMath>
      <w:r w:rsidRPr="005D5B09">
        <w:rPr>
          <w:rFonts w:ascii="Times New Roman" w:hAnsi="Times New Roman" w:cs="Times New Roman"/>
          <w:sz w:val="24"/>
          <w:szCs w:val="24"/>
        </w:rPr>
        <w:t xml:space="preserve"> is the 12-month ahead inflation expectation of individual </w:t>
      </w:r>
      <w:proofErr w:type="spellStart"/>
      <w:r w:rsidRPr="005D5B09">
        <w:rPr>
          <w:rFonts w:ascii="Times New Roman" w:hAnsi="Times New Roman" w:cs="Times New Roman"/>
          <w:i/>
          <w:iCs/>
          <w:sz w:val="24"/>
          <w:szCs w:val="24"/>
        </w:rPr>
        <w:t>i</w:t>
      </w:r>
      <w:proofErr w:type="spellEnd"/>
      <w:r w:rsidRPr="005D5B09">
        <w:rPr>
          <w:rFonts w:ascii="Times New Roman" w:hAnsi="Times New Roman" w:cs="Times New Roman"/>
          <w:sz w:val="24"/>
          <w:szCs w:val="24"/>
        </w:rPr>
        <w:t xml:space="preserve"> who was surveyed in period </w:t>
      </w:r>
      <w:r w:rsidRPr="005D5B09">
        <w:rPr>
          <w:rFonts w:ascii="Times New Roman" w:hAnsi="Times New Roman" w:cs="Times New Roman"/>
          <w:i/>
          <w:iCs/>
          <w:sz w:val="24"/>
          <w:szCs w:val="24"/>
        </w:rPr>
        <w:t>t</w:t>
      </w:r>
      <w:r w:rsidRPr="005D5B09">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5D5B09">
        <w:rPr>
          <w:rFonts w:ascii="Times New Roman" w:hAnsi="Times New Roman" w:cs="Times New Roman"/>
          <w:sz w:val="24"/>
          <w:szCs w:val="24"/>
        </w:rPr>
        <w:t xml:space="preserve"> is the total number of respondents in the relevant period. We constructed the cross-sectional means of inflation expectations for each of the 48 provinces included in the CES. </w:t>
      </w:r>
      <w:r w:rsidRPr="005D5B09">
        <w:rPr>
          <w:rFonts w:ascii="Times New Roman" w:hAnsi="Times New Roman" w:cs="Times New Roman"/>
          <w:color w:val="000000"/>
          <w:sz w:val="24"/>
          <w:szCs w:val="24"/>
        </w:rPr>
        <w:t>We then matched the average for each province with secondary provincial data on rice and gasoline or diesel prices.</w:t>
      </w:r>
    </w:p>
    <w:p w14:paraId="012F35EF" w14:textId="77777777" w:rsidR="00C859FF" w:rsidRPr="005D5B09" w:rsidRDefault="00C859FF" w:rsidP="00C859FF">
      <w:pPr>
        <w:jc w:val="both"/>
        <w:rPr>
          <w:rFonts w:ascii="Times New Roman" w:hAnsi="Times New Roman" w:cs="Times New Roman"/>
          <w:color w:val="000000"/>
          <w:sz w:val="24"/>
          <w:szCs w:val="24"/>
        </w:rPr>
      </w:pPr>
    </w:p>
    <w:p w14:paraId="798295BE" w14:textId="77777777" w:rsidR="00C859FF" w:rsidRDefault="00C859FF" w:rsidP="00C859FF">
      <w:pPr>
        <w:ind w:firstLine="720"/>
        <w:jc w:val="both"/>
        <w:rPr>
          <w:rFonts w:ascii="Montserrat" w:hAnsi="Montserrat"/>
          <w:color w:val="000000"/>
          <w:sz w:val="22"/>
          <w:szCs w:val="22"/>
        </w:rPr>
      </w:pPr>
      <w:r w:rsidRPr="00A965F7">
        <w:rPr>
          <w:rFonts w:ascii="Times New Roman" w:hAnsi="Times New Roman" w:cs="Times New Roman"/>
          <w:color w:val="000000"/>
          <w:sz w:val="24"/>
          <w:szCs w:val="24"/>
        </w:rPr>
        <w:t xml:space="preserve">Figure 6 </w:t>
      </w:r>
      <w:r w:rsidRPr="005D5B09">
        <w:rPr>
          <w:rFonts w:ascii="Times New Roman" w:hAnsi="Times New Roman" w:cs="Times New Roman"/>
          <w:color w:val="000000"/>
          <w:sz w:val="24"/>
          <w:szCs w:val="24"/>
        </w:rPr>
        <w:t xml:space="preserve">displays the correlation between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π</m:t>
            </m:r>
          </m:e>
          <m:sub>
            <m:r>
              <w:rPr>
                <w:rFonts w:ascii="Cambria Math" w:hAnsi="Cambria Math" w:cs="Times New Roman"/>
                <w:sz w:val="24"/>
                <w:szCs w:val="24"/>
              </w:rPr>
              <m:t>it</m:t>
            </m:r>
          </m:sub>
          <m:sup>
            <m:r>
              <w:rPr>
                <w:rFonts w:ascii="Cambria Math" w:hAnsi="Cambria Math" w:cs="Times New Roman"/>
                <w:sz w:val="24"/>
                <w:szCs w:val="24"/>
              </w:rPr>
              <m:t>e</m:t>
            </m:r>
          </m:sup>
        </m:sSubSup>
      </m:oMath>
      <w:r w:rsidRPr="005D5B09">
        <w:rPr>
          <w:rFonts w:ascii="Times New Roman" w:hAnsi="Times New Roman" w:cs="Times New Roman"/>
          <w:sz w:val="24"/>
          <w:szCs w:val="24"/>
        </w:rPr>
        <w:t xml:space="preserve"> and the prices of those three commodities for each province. The results show that </w:t>
      </w:r>
      <w:r w:rsidRPr="005D5B09">
        <w:rPr>
          <w:rFonts w:ascii="Times New Roman" w:hAnsi="Times New Roman" w:cs="Times New Roman"/>
          <w:color w:val="000000"/>
          <w:sz w:val="24"/>
          <w:szCs w:val="24"/>
        </w:rPr>
        <w:t xml:space="preserve">inflation expectations are positively and significantly correlated with rice and fuel prices in most provinces. This finding supports existing studies that highlight the role of food and gasoline prices in determining household inflation expectations due to their salience (Berge, 2018; Binder, 2018; </w:t>
      </w:r>
      <w:proofErr w:type="spellStart"/>
      <w:r w:rsidRPr="005D5B09">
        <w:rPr>
          <w:rFonts w:ascii="Times New Roman" w:hAnsi="Times New Roman" w:cs="Times New Roman"/>
          <w:color w:val="000000"/>
          <w:sz w:val="24"/>
          <w:szCs w:val="24"/>
        </w:rPr>
        <w:t>Coibion</w:t>
      </w:r>
      <w:proofErr w:type="spellEnd"/>
      <w:r w:rsidRPr="005D5B09">
        <w:rPr>
          <w:rFonts w:ascii="Times New Roman" w:hAnsi="Times New Roman" w:cs="Times New Roman"/>
          <w:color w:val="000000"/>
          <w:sz w:val="24"/>
          <w:szCs w:val="24"/>
        </w:rPr>
        <w:t xml:space="preserve"> &amp; </w:t>
      </w:r>
      <w:proofErr w:type="spellStart"/>
      <w:r w:rsidRPr="005D5B09">
        <w:rPr>
          <w:rFonts w:ascii="Times New Roman" w:hAnsi="Times New Roman" w:cs="Times New Roman"/>
          <w:color w:val="000000"/>
          <w:sz w:val="24"/>
          <w:szCs w:val="24"/>
        </w:rPr>
        <w:t>Gorodnichenko</w:t>
      </w:r>
      <w:proofErr w:type="spellEnd"/>
      <w:r w:rsidRPr="005D5B09">
        <w:rPr>
          <w:rFonts w:ascii="Times New Roman" w:hAnsi="Times New Roman" w:cs="Times New Roman"/>
          <w:color w:val="000000"/>
          <w:sz w:val="24"/>
          <w:szCs w:val="24"/>
        </w:rPr>
        <w:t xml:space="preserve">, 2015; Geiger &amp; Scharler, 2019; Kikuchi &amp; </w:t>
      </w:r>
      <w:proofErr w:type="spellStart"/>
      <w:r w:rsidRPr="005D5B09">
        <w:rPr>
          <w:rFonts w:ascii="Times New Roman" w:hAnsi="Times New Roman" w:cs="Times New Roman"/>
          <w:color w:val="000000"/>
          <w:sz w:val="24"/>
          <w:szCs w:val="24"/>
        </w:rPr>
        <w:t>Nakazono</w:t>
      </w:r>
      <w:proofErr w:type="spellEnd"/>
      <w:r w:rsidRPr="005D5B09">
        <w:rPr>
          <w:rFonts w:ascii="Times New Roman" w:hAnsi="Times New Roman" w:cs="Times New Roman"/>
          <w:color w:val="000000"/>
          <w:sz w:val="24"/>
          <w:szCs w:val="24"/>
        </w:rPr>
        <w:t>, 2023).</w:t>
      </w:r>
      <w:r w:rsidRPr="00D6728E">
        <w:rPr>
          <w:rFonts w:ascii="Montserrat" w:hAnsi="Montserrat"/>
          <w:color w:val="000000"/>
          <w:sz w:val="22"/>
          <w:szCs w:val="22"/>
        </w:rPr>
        <w:t xml:space="preserve"> </w:t>
      </w:r>
    </w:p>
    <w:p w14:paraId="10CBD059" w14:textId="77777777" w:rsidR="00C859FF" w:rsidRDefault="00C859FF" w:rsidP="00C859FF">
      <w:pPr>
        <w:ind w:firstLine="720"/>
        <w:jc w:val="both"/>
        <w:rPr>
          <w:rFonts w:ascii="Montserrat" w:hAnsi="Montserrat"/>
          <w:color w:val="000000"/>
          <w:sz w:val="22"/>
          <w:szCs w:val="22"/>
        </w:rPr>
      </w:pPr>
    </w:p>
    <w:p w14:paraId="4534F620" w14:textId="728058D3" w:rsidR="00C859FF" w:rsidRPr="000F681F" w:rsidRDefault="00C859FF" w:rsidP="00C859FF">
      <w:pPr>
        <w:rPr>
          <w:rFonts w:ascii="Times New Roman" w:hAnsi="Times New Roman" w:cs="Times New Roman"/>
          <w:b/>
          <w:bCs/>
          <w:sz w:val="24"/>
          <w:szCs w:val="24"/>
        </w:rPr>
      </w:pPr>
      <w:bookmarkStart w:id="13" w:name="_Toc197460320"/>
      <w:r>
        <w:rPr>
          <w:rFonts w:ascii="Times New Roman" w:hAnsi="Times New Roman" w:cs="Times New Roman"/>
          <w:b/>
          <w:bCs/>
          <w:sz w:val="24"/>
          <w:szCs w:val="24"/>
        </w:rPr>
        <w:t>4</w:t>
      </w:r>
      <w:r w:rsidRPr="000F681F">
        <w:rPr>
          <w:rFonts w:ascii="Times New Roman" w:hAnsi="Times New Roman" w:cs="Times New Roman"/>
          <w:b/>
          <w:bCs/>
          <w:sz w:val="24"/>
          <w:szCs w:val="24"/>
        </w:rPr>
        <w:t>.</w:t>
      </w:r>
      <w:r>
        <w:rPr>
          <w:rFonts w:ascii="Times New Roman" w:hAnsi="Times New Roman" w:cs="Times New Roman"/>
          <w:b/>
          <w:bCs/>
          <w:sz w:val="24"/>
          <w:szCs w:val="24"/>
        </w:rPr>
        <w:t>4</w:t>
      </w:r>
      <w:r w:rsidRPr="000F681F">
        <w:rPr>
          <w:rFonts w:ascii="Times New Roman" w:hAnsi="Times New Roman" w:cs="Times New Roman"/>
          <w:b/>
          <w:bCs/>
          <w:sz w:val="24"/>
          <w:szCs w:val="24"/>
        </w:rPr>
        <w:t xml:space="preserve"> Do </w:t>
      </w:r>
      <w:r>
        <w:rPr>
          <w:rFonts w:ascii="Times New Roman" w:hAnsi="Times New Roman" w:cs="Times New Roman"/>
          <w:b/>
          <w:bCs/>
          <w:sz w:val="24"/>
          <w:szCs w:val="24"/>
        </w:rPr>
        <w:t>p</w:t>
      </w:r>
      <w:r w:rsidRPr="000F681F">
        <w:rPr>
          <w:rFonts w:ascii="Times New Roman" w:hAnsi="Times New Roman" w:cs="Times New Roman"/>
          <w:b/>
          <w:bCs/>
          <w:sz w:val="24"/>
          <w:szCs w:val="24"/>
        </w:rPr>
        <w:t xml:space="preserve">rices </w:t>
      </w:r>
      <w:r>
        <w:rPr>
          <w:rFonts w:ascii="Times New Roman" w:hAnsi="Times New Roman" w:cs="Times New Roman"/>
          <w:b/>
          <w:bCs/>
          <w:sz w:val="24"/>
          <w:szCs w:val="24"/>
        </w:rPr>
        <w:t>d</w:t>
      </w:r>
      <w:r w:rsidRPr="000F681F">
        <w:rPr>
          <w:rFonts w:ascii="Times New Roman" w:hAnsi="Times New Roman" w:cs="Times New Roman"/>
          <w:b/>
          <w:bCs/>
          <w:sz w:val="24"/>
          <w:szCs w:val="24"/>
        </w:rPr>
        <w:t xml:space="preserve">iverge across </w:t>
      </w:r>
      <w:r>
        <w:rPr>
          <w:rFonts w:ascii="Times New Roman" w:hAnsi="Times New Roman" w:cs="Times New Roman"/>
          <w:b/>
          <w:bCs/>
          <w:sz w:val="24"/>
          <w:szCs w:val="24"/>
        </w:rPr>
        <w:t>p</w:t>
      </w:r>
      <w:r w:rsidRPr="000F681F">
        <w:rPr>
          <w:rFonts w:ascii="Times New Roman" w:hAnsi="Times New Roman" w:cs="Times New Roman"/>
          <w:b/>
          <w:bCs/>
          <w:sz w:val="24"/>
          <w:szCs w:val="24"/>
        </w:rPr>
        <w:t>rovinces?</w:t>
      </w:r>
      <w:bookmarkEnd w:id="13"/>
      <w:r w:rsidRPr="000F681F">
        <w:rPr>
          <w:rFonts w:ascii="Times New Roman" w:hAnsi="Times New Roman" w:cs="Times New Roman"/>
          <w:b/>
          <w:bCs/>
          <w:sz w:val="24"/>
          <w:szCs w:val="24"/>
        </w:rPr>
        <w:t xml:space="preserve"> </w:t>
      </w:r>
    </w:p>
    <w:p w14:paraId="1BD3075D" w14:textId="77777777" w:rsidR="00C859FF" w:rsidRPr="00D6728E" w:rsidRDefault="00C859FF" w:rsidP="00C859FF">
      <w:pPr>
        <w:ind w:firstLine="360"/>
        <w:jc w:val="both"/>
        <w:rPr>
          <w:rFonts w:ascii="Montserrat" w:hAnsi="Montserrat"/>
          <w:sz w:val="22"/>
          <w:szCs w:val="22"/>
        </w:rPr>
      </w:pPr>
    </w:p>
    <w:p w14:paraId="09CE372E" w14:textId="77777777" w:rsidR="00C859FF" w:rsidRPr="005D5B09" w:rsidRDefault="00C859FF" w:rsidP="00C859FF">
      <w:pPr>
        <w:jc w:val="both"/>
        <w:rPr>
          <w:rFonts w:ascii="Times New Roman" w:hAnsi="Times New Roman" w:cs="Times New Roman"/>
          <w:spacing w:val="-2"/>
          <w:sz w:val="24"/>
          <w:szCs w:val="24"/>
        </w:rPr>
      </w:pPr>
      <w:r w:rsidRPr="005D5B09">
        <w:rPr>
          <w:rFonts w:ascii="Times New Roman" w:hAnsi="Times New Roman" w:cs="Times New Roman"/>
          <w:spacing w:val="-2"/>
          <w:sz w:val="24"/>
          <w:szCs w:val="24"/>
        </w:rPr>
        <w:t xml:space="preserve">We uncovered an important finding: When inflation is higher or lower, increases in rice and fuel prices are a bigger or smaller contributor to inflation, respectively. However, the heterogeneous prices observed across our sample provinces do not necessarily imply that prices cannot diverge without limits across geographical areas. There could still be divergences in volatility in the short run, even if long-run convergence is confirmed. </w:t>
      </w:r>
    </w:p>
    <w:p w14:paraId="4727A29F" w14:textId="77777777" w:rsidR="00C859FF" w:rsidRPr="005D5B09" w:rsidRDefault="00C859FF" w:rsidP="00C859FF">
      <w:pPr>
        <w:ind w:firstLine="360"/>
        <w:jc w:val="both"/>
        <w:rPr>
          <w:rFonts w:ascii="Times New Roman" w:hAnsi="Times New Roman" w:cs="Times New Roman"/>
          <w:spacing w:val="-2"/>
          <w:sz w:val="24"/>
          <w:szCs w:val="24"/>
        </w:rPr>
      </w:pPr>
    </w:p>
    <w:p w14:paraId="04A6F1E7" w14:textId="56968F78" w:rsidR="004E2B5B" w:rsidRPr="005D5B09" w:rsidRDefault="00C859FF" w:rsidP="00C859FF">
      <w:pPr>
        <w:ind w:firstLine="720"/>
        <w:jc w:val="both"/>
        <w:rPr>
          <w:rFonts w:ascii="Times New Roman" w:eastAsia="Arial" w:hAnsi="Times New Roman" w:cs="Times New Roman"/>
          <w:b/>
          <w:bCs/>
          <w:sz w:val="24"/>
          <w:szCs w:val="24"/>
        </w:rPr>
      </w:pPr>
      <w:r w:rsidRPr="005D5B09">
        <w:rPr>
          <w:rFonts w:ascii="Times New Roman" w:hAnsi="Times New Roman" w:cs="Times New Roman"/>
          <w:spacing w:val="-2"/>
          <w:sz w:val="24"/>
          <w:szCs w:val="24"/>
        </w:rPr>
        <w:t>Whether prices diverge across provinces remains an empirical question.</w:t>
      </w:r>
      <w:r>
        <w:rPr>
          <w:rFonts w:ascii="Times New Roman" w:hAnsi="Times New Roman" w:cs="Times New Roman"/>
          <w:spacing w:val="-2"/>
          <w:sz w:val="24"/>
          <w:szCs w:val="24"/>
        </w:rPr>
        <w:t xml:space="preserve"> </w:t>
      </w:r>
      <w:r w:rsidRPr="005D5B09">
        <w:rPr>
          <w:rFonts w:ascii="Times New Roman" w:hAnsi="Times New Roman" w:cs="Times New Roman"/>
          <w:spacing w:val="-2"/>
          <w:sz w:val="24"/>
          <w:szCs w:val="24"/>
        </w:rPr>
        <w:t>We address this in the ensuing discussion using a suitable test for panel convergence comprising provincial-national inflation differential. To examine this, we implemented the cross-sectionally</w:t>
      </w:r>
      <w:r>
        <w:rPr>
          <w:rFonts w:ascii="Times New Roman" w:hAnsi="Times New Roman" w:cs="Times New Roman"/>
          <w:spacing w:val="-2"/>
          <w:sz w:val="24"/>
          <w:szCs w:val="24"/>
        </w:rPr>
        <w:t xml:space="preserve"> </w:t>
      </w:r>
      <w:r w:rsidRPr="005D5B09">
        <w:rPr>
          <w:rFonts w:ascii="Times New Roman" w:hAnsi="Times New Roman" w:cs="Times New Roman"/>
          <w:spacing w:val="-2"/>
          <w:sz w:val="24"/>
          <w:szCs w:val="24"/>
        </w:rPr>
        <w:t xml:space="preserve">augmented </w:t>
      </w:r>
      <w:proofErr w:type="spellStart"/>
      <w:r w:rsidRPr="005D5B09">
        <w:rPr>
          <w:rFonts w:ascii="Times New Roman" w:hAnsi="Times New Roman" w:cs="Times New Roman"/>
          <w:spacing w:val="-2"/>
          <w:sz w:val="24"/>
          <w:szCs w:val="24"/>
        </w:rPr>
        <w:t>Im</w:t>
      </w:r>
      <w:proofErr w:type="spellEnd"/>
      <w:r w:rsidRPr="005D5B09">
        <w:rPr>
          <w:rFonts w:ascii="Times New Roman" w:hAnsi="Times New Roman" w:cs="Times New Roman"/>
          <w:spacing w:val="-2"/>
          <w:sz w:val="24"/>
          <w:szCs w:val="24"/>
        </w:rPr>
        <w:t>–</w:t>
      </w:r>
      <w:proofErr w:type="spellStart"/>
      <w:r w:rsidRPr="005D5B09">
        <w:rPr>
          <w:rFonts w:ascii="Times New Roman" w:hAnsi="Times New Roman" w:cs="Times New Roman"/>
          <w:spacing w:val="-2"/>
          <w:sz w:val="24"/>
          <w:szCs w:val="24"/>
        </w:rPr>
        <w:t>Pesaran</w:t>
      </w:r>
      <w:proofErr w:type="spellEnd"/>
      <w:r w:rsidRPr="005D5B09">
        <w:rPr>
          <w:rFonts w:ascii="Times New Roman" w:hAnsi="Times New Roman" w:cs="Times New Roman"/>
          <w:spacing w:val="-2"/>
          <w:sz w:val="24"/>
          <w:szCs w:val="24"/>
        </w:rPr>
        <w:t xml:space="preserve">–Shin (CIPS) test proposed by </w:t>
      </w:r>
      <w:proofErr w:type="spellStart"/>
      <w:r w:rsidRPr="005D5B09">
        <w:rPr>
          <w:rFonts w:ascii="Times New Roman" w:hAnsi="Times New Roman" w:cs="Times New Roman"/>
          <w:spacing w:val="-2"/>
          <w:sz w:val="24"/>
          <w:szCs w:val="24"/>
        </w:rPr>
        <w:t>Pesaran</w:t>
      </w:r>
      <w:proofErr w:type="spellEnd"/>
      <w:r w:rsidRPr="005D5B09">
        <w:rPr>
          <w:rFonts w:ascii="Times New Roman" w:hAnsi="Times New Roman" w:cs="Times New Roman"/>
          <w:spacing w:val="-2"/>
          <w:sz w:val="24"/>
          <w:szCs w:val="24"/>
        </w:rPr>
        <w:t xml:space="preserve"> (2007), a widely used panel unit root test in the literature. The CIPS statistic is based on augmented Dickey-Fuller (ADF)-type regressions augmented with cross-section averages and performed separately for each series in the panel:</w:t>
      </w:r>
      <w:r w:rsidR="004E2B5B" w:rsidRPr="005D5B09">
        <w:rPr>
          <w:rFonts w:ascii="Times New Roman" w:eastAsia="Arial" w:hAnsi="Times New Roman" w:cs="Times New Roman"/>
          <w:b/>
          <w:bCs/>
          <w:sz w:val="24"/>
          <w:szCs w:val="24"/>
        </w:rPr>
        <w:br w:type="page"/>
      </w:r>
    </w:p>
    <w:p w14:paraId="139AD82D" w14:textId="0DFDCB4C" w:rsidR="004E2B5B" w:rsidRPr="003A4B12" w:rsidRDefault="004E2B5B" w:rsidP="009D14B5">
      <w:pPr>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lastRenderedPageBreak/>
        <w:t>Figure 5</w:t>
      </w:r>
      <w:r w:rsidR="000F681F">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Fixed </w:t>
      </w:r>
      <w:r w:rsidR="000F681F">
        <w:rPr>
          <w:rFonts w:ascii="Times New Roman" w:eastAsia="Arial" w:hAnsi="Times New Roman" w:cs="Times New Roman"/>
          <w:b/>
          <w:bCs/>
          <w:sz w:val="24"/>
          <w:szCs w:val="24"/>
        </w:rPr>
        <w:t>e</w:t>
      </w:r>
      <w:r w:rsidRPr="003A4B12">
        <w:rPr>
          <w:rFonts w:ascii="Times New Roman" w:eastAsia="Arial" w:hAnsi="Times New Roman" w:cs="Times New Roman"/>
          <w:b/>
          <w:bCs/>
          <w:sz w:val="24"/>
          <w:szCs w:val="24"/>
        </w:rPr>
        <w:t xml:space="preserve">ffects </w:t>
      </w:r>
      <w:r w:rsidR="000F681F">
        <w:rPr>
          <w:rFonts w:ascii="Times New Roman" w:eastAsia="Arial" w:hAnsi="Times New Roman" w:cs="Times New Roman"/>
          <w:b/>
          <w:bCs/>
          <w:sz w:val="24"/>
          <w:szCs w:val="24"/>
        </w:rPr>
        <w:t>q</w:t>
      </w:r>
      <w:r w:rsidRPr="003A4B12">
        <w:rPr>
          <w:rFonts w:ascii="Times New Roman" w:eastAsia="Arial" w:hAnsi="Times New Roman" w:cs="Times New Roman"/>
          <w:b/>
          <w:bCs/>
          <w:sz w:val="24"/>
          <w:szCs w:val="24"/>
        </w:rPr>
        <w:t xml:space="preserve">uantile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egression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esults by </w:t>
      </w:r>
      <w:r w:rsidR="000F681F">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 xml:space="preserve">overty and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ice </w:t>
      </w:r>
      <w:r w:rsidR="000F681F">
        <w:rPr>
          <w:rFonts w:ascii="Times New Roman" w:eastAsia="Arial" w:hAnsi="Times New Roman" w:cs="Times New Roman"/>
          <w:b/>
          <w:bCs/>
          <w:sz w:val="24"/>
          <w:szCs w:val="24"/>
        </w:rPr>
        <w:t>s</w:t>
      </w:r>
      <w:r w:rsidRPr="003A4B12">
        <w:rPr>
          <w:rFonts w:ascii="Times New Roman" w:eastAsia="Arial" w:hAnsi="Times New Roman" w:cs="Times New Roman"/>
          <w:b/>
          <w:bCs/>
          <w:sz w:val="24"/>
          <w:szCs w:val="24"/>
        </w:rPr>
        <w:t xml:space="preserve">ufficiency </w:t>
      </w:r>
      <w:r w:rsidR="000F681F">
        <w:rPr>
          <w:rFonts w:ascii="Times New Roman" w:eastAsia="Arial" w:hAnsi="Times New Roman" w:cs="Times New Roman"/>
          <w:b/>
          <w:bCs/>
          <w:sz w:val="24"/>
          <w:szCs w:val="24"/>
        </w:rPr>
        <w:t>l</w:t>
      </w:r>
      <w:r w:rsidRPr="003A4B12">
        <w:rPr>
          <w:rFonts w:ascii="Times New Roman" w:eastAsia="Arial" w:hAnsi="Times New Roman" w:cs="Times New Roman"/>
          <w:b/>
          <w:bCs/>
          <w:sz w:val="24"/>
          <w:szCs w:val="24"/>
        </w:rPr>
        <w:t xml:space="preserve">evels before and after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ice </w:t>
      </w:r>
      <w:r w:rsidR="000F681F">
        <w:rPr>
          <w:rFonts w:ascii="Times New Roman" w:eastAsia="Arial" w:hAnsi="Times New Roman" w:cs="Times New Roman"/>
          <w:b/>
          <w:bCs/>
          <w:sz w:val="24"/>
          <w:szCs w:val="24"/>
        </w:rPr>
        <w:t>t</w:t>
      </w:r>
      <w:r w:rsidRPr="003A4B12">
        <w:rPr>
          <w:rFonts w:ascii="Times New Roman" w:eastAsia="Arial" w:hAnsi="Times New Roman" w:cs="Times New Roman"/>
          <w:b/>
          <w:bCs/>
          <w:sz w:val="24"/>
          <w:szCs w:val="24"/>
        </w:rPr>
        <w:t>ariffication</w:t>
      </w:r>
    </w:p>
    <w:p w14:paraId="36640519" w14:textId="77777777" w:rsidR="004E2B5B" w:rsidRPr="00D6728E" w:rsidRDefault="004E2B5B" w:rsidP="004E2B5B">
      <w:pPr>
        <w:spacing w:line="260" w:lineRule="auto"/>
        <w:jc w:val="center"/>
        <w:rPr>
          <w:rFonts w:ascii="Montserrat" w:eastAsia="Arial" w:hAnsi="Montserrat" w:cs="Times New Roman"/>
          <w:b/>
          <w:bCs/>
          <w:sz w:val="16"/>
          <w:szCs w:val="16"/>
        </w:rPr>
      </w:pPr>
    </w:p>
    <w:tbl>
      <w:tblPr>
        <w:tblStyle w:val="TableGrid"/>
        <w:tblW w:w="100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4800"/>
        <w:gridCol w:w="4776"/>
      </w:tblGrid>
      <w:tr w:rsidR="004E2B5B" w:rsidRPr="00D6728E" w14:paraId="138C5347" w14:textId="77777777" w:rsidTr="00532745">
        <w:tc>
          <w:tcPr>
            <w:tcW w:w="506" w:type="dxa"/>
            <w:tcBorders>
              <w:bottom w:val="single" w:sz="4" w:space="0" w:color="auto"/>
            </w:tcBorders>
          </w:tcPr>
          <w:p w14:paraId="36246640" w14:textId="77777777" w:rsidR="004E2B5B" w:rsidRPr="00D6728E" w:rsidRDefault="004E2B5B" w:rsidP="00532745">
            <w:pPr>
              <w:snapToGrid w:val="0"/>
              <w:rPr>
                <w:rFonts w:ascii="Montserrat" w:hAnsi="Montserrat"/>
              </w:rPr>
            </w:pPr>
          </w:p>
        </w:tc>
        <w:tc>
          <w:tcPr>
            <w:tcW w:w="4800" w:type="dxa"/>
            <w:tcBorders>
              <w:bottom w:val="single" w:sz="4" w:space="0" w:color="auto"/>
            </w:tcBorders>
          </w:tcPr>
          <w:p w14:paraId="2D737ABF" w14:textId="77777777" w:rsidR="004E2B5B" w:rsidRPr="003A4B12" w:rsidRDefault="004E2B5B" w:rsidP="00532745">
            <w:pPr>
              <w:snapToGrid w:val="0"/>
              <w:jc w:val="center"/>
              <w:rPr>
                <w:rFonts w:ascii="Times New Roman" w:hAnsi="Times New Roman" w:cs="Times New Roman"/>
                <w:sz w:val="22"/>
                <w:szCs w:val="22"/>
              </w:rPr>
            </w:pPr>
            <w:r w:rsidRPr="003A4B12">
              <w:rPr>
                <w:rFonts w:ascii="Times New Roman" w:hAnsi="Times New Roman" w:cs="Times New Roman"/>
                <w:sz w:val="22"/>
                <w:szCs w:val="22"/>
              </w:rPr>
              <w:t>Before rice tariffication</w:t>
            </w:r>
          </w:p>
        </w:tc>
        <w:tc>
          <w:tcPr>
            <w:tcW w:w="4776" w:type="dxa"/>
            <w:tcBorders>
              <w:bottom w:val="single" w:sz="4" w:space="0" w:color="auto"/>
            </w:tcBorders>
          </w:tcPr>
          <w:p w14:paraId="4238AE87" w14:textId="77777777" w:rsidR="004E2B5B" w:rsidRPr="003A4B12" w:rsidRDefault="004E2B5B" w:rsidP="00532745">
            <w:pPr>
              <w:snapToGrid w:val="0"/>
              <w:jc w:val="center"/>
              <w:rPr>
                <w:rFonts w:ascii="Times New Roman" w:hAnsi="Times New Roman" w:cs="Times New Roman"/>
                <w:sz w:val="22"/>
                <w:szCs w:val="22"/>
              </w:rPr>
            </w:pPr>
            <w:r w:rsidRPr="003A4B12">
              <w:rPr>
                <w:rFonts w:ascii="Times New Roman" w:hAnsi="Times New Roman" w:cs="Times New Roman"/>
                <w:sz w:val="22"/>
                <w:szCs w:val="22"/>
              </w:rPr>
              <w:t>After rice tariffication</w:t>
            </w:r>
          </w:p>
        </w:tc>
      </w:tr>
      <w:tr w:rsidR="004E2B5B" w:rsidRPr="00D6728E" w14:paraId="141458BA" w14:textId="77777777" w:rsidTr="00532745">
        <w:trPr>
          <w:trHeight w:val="113"/>
        </w:trPr>
        <w:tc>
          <w:tcPr>
            <w:tcW w:w="506" w:type="dxa"/>
            <w:tcBorders>
              <w:top w:val="single" w:sz="4" w:space="0" w:color="auto"/>
            </w:tcBorders>
          </w:tcPr>
          <w:p w14:paraId="0963834B" w14:textId="77777777" w:rsidR="004E2B5B" w:rsidRPr="00D6728E" w:rsidRDefault="004E2B5B" w:rsidP="00532745">
            <w:pPr>
              <w:snapToGrid w:val="0"/>
              <w:rPr>
                <w:rFonts w:ascii="Montserrat" w:hAnsi="Montserrat"/>
              </w:rPr>
            </w:pPr>
          </w:p>
        </w:tc>
        <w:tc>
          <w:tcPr>
            <w:tcW w:w="9576" w:type="dxa"/>
            <w:gridSpan w:val="2"/>
            <w:tcBorders>
              <w:top w:val="single" w:sz="4" w:space="0" w:color="auto"/>
            </w:tcBorders>
          </w:tcPr>
          <w:p w14:paraId="49B08613" w14:textId="77777777" w:rsidR="004E2B5B" w:rsidRPr="003A4B12" w:rsidRDefault="004E2B5B" w:rsidP="00532745">
            <w:pPr>
              <w:snapToGrid w:val="0"/>
              <w:jc w:val="center"/>
              <w:rPr>
                <w:rFonts w:ascii="Times New Roman" w:hAnsi="Times New Roman" w:cs="Times New Roman"/>
                <w:i/>
                <w:iCs/>
                <w:sz w:val="22"/>
                <w:szCs w:val="22"/>
              </w:rPr>
            </w:pPr>
            <w:r w:rsidRPr="003A4B12">
              <w:rPr>
                <w:rFonts w:ascii="Times New Roman" w:hAnsi="Times New Roman" w:cs="Times New Roman"/>
                <w:i/>
                <w:iCs/>
                <w:sz w:val="22"/>
                <w:szCs w:val="22"/>
              </w:rPr>
              <w:t>(a) Poverty levels</w:t>
            </w:r>
          </w:p>
        </w:tc>
      </w:tr>
      <w:tr w:rsidR="004E2B5B" w:rsidRPr="00D6728E" w14:paraId="69DC09C3" w14:textId="77777777" w:rsidTr="00532745">
        <w:trPr>
          <w:cantSplit/>
          <w:trHeight w:val="1134"/>
        </w:trPr>
        <w:tc>
          <w:tcPr>
            <w:tcW w:w="506" w:type="dxa"/>
            <w:textDirection w:val="btLr"/>
          </w:tcPr>
          <w:p w14:paraId="6B9C9888" w14:textId="77777777" w:rsidR="004E2B5B" w:rsidRPr="003A4B12" w:rsidRDefault="004E2B5B" w:rsidP="00532745">
            <w:pPr>
              <w:snapToGrid w:val="0"/>
              <w:ind w:left="113" w:right="113"/>
              <w:jc w:val="center"/>
              <w:rPr>
                <w:rFonts w:ascii="Times New Roman" w:hAnsi="Times New Roman" w:cs="Times New Roman"/>
                <w:sz w:val="22"/>
                <w:szCs w:val="22"/>
              </w:rPr>
            </w:pPr>
            <w:r w:rsidRPr="003A4B12">
              <w:rPr>
                <w:rFonts w:ascii="Times New Roman" w:hAnsi="Times New Roman" w:cs="Times New Roman"/>
                <w:sz w:val="22"/>
                <w:szCs w:val="22"/>
              </w:rPr>
              <w:t xml:space="preserve">      Low poverty</w:t>
            </w:r>
          </w:p>
        </w:tc>
        <w:tc>
          <w:tcPr>
            <w:tcW w:w="9576" w:type="dxa"/>
            <w:gridSpan w:val="2"/>
          </w:tcPr>
          <w:p w14:paraId="719485C0" w14:textId="77777777" w:rsidR="004E2B5B" w:rsidRPr="00D6728E" w:rsidRDefault="004E2B5B" w:rsidP="00532745">
            <w:pPr>
              <w:snapToGrid w:val="0"/>
              <w:rPr>
                <w:rFonts w:ascii="Montserrat" w:hAnsi="Montserrat"/>
              </w:rPr>
            </w:pPr>
            <w:r w:rsidRPr="00D6728E">
              <w:rPr>
                <w:rFonts w:ascii="Montserrat" w:hAnsi="Montserrat"/>
                <w:noProof/>
              </w:rPr>
              <w:drawing>
                <wp:inline distT="0" distB="0" distL="0" distR="0" wp14:anchorId="31E44AAC" wp14:editId="1E118180">
                  <wp:extent cx="5943600" cy="148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aph of a pla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c>
      </w:tr>
      <w:tr w:rsidR="004E2B5B" w:rsidRPr="00D6728E" w14:paraId="5E539491" w14:textId="77777777" w:rsidTr="00532745">
        <w:trPr>
          <w:cantSplit/>
          <w:trHeight w:val="1134"/>
        </w:trPr>
        <w:tc>
          <w:tcPr>
            <w:tcW w:w="506" w:type="dxa"/>
            <w:textDirection w:val="btLr"/>
          </w:tcPr>
          <w:p w14:paraId="396F7726" w14:textId="77777777" w:rsidR="004E2B5B" w:rsidRPr="003A4B12" w:rsidRDefault="004E2B5B" w:rsidP="00532745">
            <w:pPr>
              <w:snapToGrid w:val="0"/>
              <w:ind w:left="113" w:right="113"/>
              <w:jc w:val="center"/>
              <w:rPr>
                <w:rFonts w:ascii="Times New Roman" w:hAnsi="Times New Roman" w:cs="Times New Roman"/>
                <w:sz w:val="22"/>
                <w:szCs w:val="22"/>
              </w:rPr>
            </w:pPr>
            <w:r w:rsidRPr="003A4B12">
              <w:rPr>
                <w:rFonts w:ascii="Times New Roman" w:hAnsi="Times New Roman" w:cs="Times New Roman"/>
                <w:sz w:val="22"/>
                <w:szCs w:val="22"/>
              </w:rPr>
              <w:t xml:space="preserve">     Medium poverty</w:t>
            </w:r>
          </w:p>
        </w:tc>
        <w:tc>
          <w:tcPr>
            <w:tcW w:w="9576" w:type="dxa"/>
            <w:gridSpan w:val="2"/>
          </w:tcPr>
          <w:p w14:paraId="043AC992" w14:textId="77777777" w:rsidR="004E2B5B" w:rsidRPr="00D6728E" w:rsidRDefault="004E2B5B" w:rsidP="00532745">
            <w:pPr>
              <w:snapToGrid w:val="0"/>
              <w:rPr>
                <w:rFonts w:ascii="Montserrat" w:hAnsi="Montserrat"/>
              </w:rPr>
            </w:pPr>
            <w:r w:rsidRPr="00D6728E">
              <w:rPr>
                <w:rFonts w:ascii="Montserrat" w:hAnsi="Montserrat"/>
                <w:noProof/>
              </w:rPr>
              <w:drawing>
                <wp:inline distT="0" distB="0" distL="0" distR="0" wp14:anchorId="20A1DD40" wp14:editId="7CB19A3E">
                  <wp:extent cx="5943600" cy="148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aph of a graph of a graph&#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c>
      </w:tr>
      <w:tr w:rsidR="004E2B5B" w:rsidRPr="00D6728E" w14:paraId="5BDDADCB" w14:textId="77777777" w:rsidTr="00532745">
        <w:trPr>
          <w:cantSplit/>
          <w:trHeight w:val="2433"/>
        </w:trPr>
        <w:tc>
          <w:tcPr>
            <w:tcW w:w="506" w:type="dxa"/>
            <w:tcBorders>
              <w:bottom w:val="single" w:sz="4" w:space="0" w:color="auto"/>
            </w:tcBorders>
            <w:textDirection w:val="btLr"/>
          </w:tcPr>
          <w:p w14:paraId="47777729" w14:textId="77777777" w:rsidR="004E2B5B" w:rsidRPr="003A4B12" w:rsidRDefault="004E2B5B" w:rsidP="00532745">
            <w:pPr>
              <w:snapToGrid w:val="0"/>
              <w:ind w:left="113" w:right="113"/>
              <w:jc w:val="center"/>
              <w:rPr>
                <w:rFonts w:ascii="Times New Roman" w:hAnsi="Times New Roman" w:cs="Times New Roman"/>
                <w:sz w:val="22"/>
                <w:szCs w:val="22"/>
              </w:rPr>
            </w:pPr>
            <w:r w:rsidRPr="003A4B12">
              <w:rPr>
                <w:rFonts w:ascii="Times New Roman" w:hAnsi="Times New Roman" w:cs="Times New Roman"/>
                <w:sz w:val="22"/>
                <w:szCs w:val="22"/>
              </w:rPr>
              <w:t xml:space="preserve">      High poverty</w:t>
            </w:r>
          </w:p>
        </w:tc>
        <w:tc>
          <w:tcPr>
            <w:tcW w:w="9576" w:type="dxa"/>
            <w:gridSpan w:val="2"/>
            <w:tcBorders>
              <w:bottom w:val="single" w:sz="4" w:space="0" w:color="auto"/>
            </w:tcBorders>
          </w:tcPr>
          <w:p w14:paraId="4D233CBB" w14:textId="77777777" w:rsidR="004E2B5B" w:rsidRPr="00D6728E" w:rsidRDefault="004E2B5B" w:rsidP="00532745">
            <w:pPr>
              <w:snapToGrid w:val="0"/>
              <w:jc w:val="center"/>
              <w:rPr>
                <w:rFonts w:ascii="Montserrat" w:hAnsi="Montserrat"/>
              </w:rPr>
            </w:pPr>
            <w:r w:rsidRPr="00D6728E">
              <w:rPr>
                <w:rFonts w:ascii="Montserrat" w:hAnsi="Montserrat"/>
                <w:noProof/>
              </w:rPr>
              <w:drawing>
                <wp:inline distT="0" distB="0" distL="0" distR="0" wp14:anchorId="44772CFE" wp14:editId="2B05D87A">
                  <wp:extent cx="5943600"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a bar graph&#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c>
      </w:tr>
      <w:tr w:rsidR="004E2B5B" w:rsidRPr="00D6728E" w14:paraId="04F2BBF2" w14:textId="77777777" w:rsidTr="00532745">
        <w:trPr>
          <w:cantSplit/>
          <w:trHeight w:val="284"/>
        </w:trPr>
        <w:tc>
          <w:tcPr>
            <w:tcW w:w="506" w:type="dxa"/>
            <w:tcBorders>
              <w:top w:val="single" w:sz="4" w:space="0" w:color="auto"/>
            </w:tcBorders>
            <w:textDirection w:val="btLr"/>
          </w:tcPr>
          <w:p w14:paraId="6261391C" w14:textId="77777777" w:rsidR="004E2B5B" w:rsidRPr="003A4B12" w:rsidRDefault="004E2B5B" w:rsidP="00532745">
            <w:pPr>
              <w:snapToGrid w:val="0"/>
              <w:ind w:left="113" w:right="113"/>
              <w:jc w:val="center"/>
              <w:rPr>
                <w:rFonts w:ascii="Times New Roman" w:hAnsi="Times New Roman" w:cs="Times New Roman"/>
                <w:sz w:val="22"/>
                <w:szCs w:val="22"/>
              </w:rPr>
            </w:pPr>
          </w:p>
        </w:tc>
        <w:tc>
          <w:tcPr>
            <w:tcW w:w="9576" w:type="dxa"/>
            <w:gridSpan w:val="2"/>
            <w:tcBorders>
              <w:top w:val="single" w:sz="4" w:space="0" w:color="auto"/>
            </w:tcBorders>
          </w:tcPr>
          <w:p w14:paraId="46D8C462" w14:textId="77777777" w:rsidR="004E2B5B" w:rsidRPr="003A4B12" w:rsidRDefault="004E2B5B" w:rsidP="00532745">
            <w:pPr>
              <w:snapToGrid w:val="0"/>
              <w:jc w:val="center"/>
              <w:rPr>
                <w:rFonts w:ascii="Times New Roman" w:hAnsi="Times New Roman" w:cs="Times New Roman"/>
                <w:i/>
                <w:iCs/>
                <w:sz w:val="22"/>
                <w:szCs w:val="22"/>
              </w:rPr>
            </w:pPr>
            <w:r w:rsidRPr="003A4B12">
              <w:rPr>
                <w:rFonts w:ascii="Times New Roman" w:hAnsi="Times New Roman" w:cs="Times New Roman"/>
                <w:i/>
                <w:iCs/>
                <w:sz w:val="22"/>
                <w:szCs w:val="22"/>
              </w:rPr>
              <w:t>(b) Rice self-sufficiency levels</w:t>
            </w:r>
          </w:p>
        </w:tc>
      </w:tr>
      <w:tr w:rsidR="004E2B5B" w:rsidRPr="00D6728E" w14:paraId="4117F2D4" w14:textId="77777777" w:rsidTr="00532745">
        <w:trPr>
          <w:cantSplit/>
          <w:trHeight w:val="1134"/>
        </w:trPr>
        <w:tc>
          <w:tcPr>
            <w:tcW w:w="506" w:type="dxa"/>
            <w:textDirection w:val="btLr"/>
          </w:tcPr>
          <w:p w14:paraId="6F20EC4E" w14:textId="77777777" w:rsidR="004E2B5B" w:rsidRPr="003A4B12" w:rsidRDefault="004E2B5B" w:rsidP="00532745">
            <w:pPr>
              <w:snapToGrid w:val="0"/>
              <w:ind w:left="113" w:right="113"/>
              <w:jc w:val="center"/>
              <w:rPr>
                <w:rFonts w:ascii="Times New Roman" w:hAnsi="Times New Roman" w:cs="Times New Roman"/>
                <w:sz w:val="22"/>
                <w:szCs w:val="22"/>
              </w:rPr>
            </w:pPr>
            <w:r w:rsidRPr="003A4B12">
              <w:rPr>
                <w:rFonts w:ascii="Times New Roman" w:hAnsi="Times New Roman" w:cs="Times New Roman"/>
                <w:sz w:val="22"/>
                <w:szCs w:val="22"/>
              </w:rPr>
              <w:t xml:space="preserve">    Rice surplus</w:t>
            </w:r>
          </w:p>
        </w:tc>
        <w:tc>
          <w:tcPr>
            <w:tcW w:w="9576" w:type="dxa"/>
            <w:gridSpan w:val="2"/>
          </w:tcPr>
          <w:p w14:paraId="5D1671C8" w14:textId="77777777" w:rsidR="004E2B5B" w:rsidRPr="00D6728E" w:rsidRDefault="004E2B5B" w:rsidP="00532745">
            <w:pPr>
              <w:snapToGrid w:val="0"/>
              <w:jc w:val="center"/>
              <w:rPr>
                <w:rFonts w:ascii="Montserrat" w:hAnsi="Montserrat"/>
              </w:rPr>
            </w:pPr>
            <w:r w:rsidRPr="00D6728E">
              <w:rPr>
                <w:rFonts w:ascii="Montserrat" w:hAnsi="Montserrat"/>
                <w:noProof/>
              </w:rPr>
              <w:drawing>
                <wp:inline distT="0" distB="0" distL="0" distR="0" wp14:anchorId="1A4E8FBF" wp14:editId="52ED5A8B">
                  <wp:extent cx="5943600" cy="148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aph of a curv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c>
      </w:tr>
      <w:tr w:rsidR="004E2B5B" w:rsidRPr="00D6728E" w14:paraId="3ED5A565" w14:textId="77777777" w:rsidTr="00532745">
        <w:trPr>
          <w:cantSplit/>
          <w:trHeight w:val="2464"/>
        </w:trPr>
        <w:tc>
          <w:tcPr>
            <w:tcW w:w="506" w:type="dxa"/>
            <w:tcBorders>
              <w:bottom w:val="single" w:sz="4" w:space="0" w:color="auto"/>
            </w:tcBorders>
            <w:textDirection w:val="btLr"/>
          </w:tcPr>
          <w:p w14:paraId="4ECB7B71" w14:textId="77777777" w:rsidR="004E2B5B" w:rsidRPr="003A4B12" w:rsidRDefault="004E2B5B" w:rsidP="00532745">
            <w:pPr>
              <w:snapToGrid w:val="0"/>
              <w:ind w:left="113" w:right="113"/>
              <w:jc w:val="center"/>
              <w:rPr>
                <w:rFonts w:ascii="Times New Roman" w:hAnsi="Times New Roman" w:cs="Times New Roman"/>
                <w:sz w:val="22"/>
                <w:szCs w:val="22"/>
              </w:rPr>
            </w:pPr>
            <w:r w:rsidRPr="003A4B12">
              <w:rPr>
                <w:rFonts w:ascii="Times New Roman" w:hAnsi="Times New Roman" w:cs="Times New Roman"/>
                <w:sz w:val="22"/>
                <w:szCs w:val="22"/>
              </w:rPr>
              <w:t xml:space="preserve">      Rice deficit</w:t>
            </w:r>
          </w:p>
        </w:tc>
        <w:tc>
          <w:tcPr>
            <w:tcW w:w="9576" w:type="dxa"/>
            <w:gridSpan w:val="2"/>
            <w:tcBorders>
              <w:bottom w:val="single" w:sz="4" w:space="0" w:color="auto"/>
            </w:tcBorders>
          </w:tcPr>
          <w:p w14:paraId="6F4B8261" w14:textId="77777777" w:rsidR="004E2B5B" w:rsidRPr="00D6728E" w:rsidRDefault="004E2B5B" w:rsidP="00532745">
            <w:pPr>
              <w:snapToGrid w:val="0"/>
              <w:jc w:val="center"/>
              <w:rPr>
                <w:rFonts w:ascii="Montserrat" w:hAnsi="Montserrat"/>
              </w:rPr>
            </w:pPr>
            <w:r w:rsidRPr="00D6728E">
              <w:rPr>
                <w:rFonts w:ascii="Montserrat" w:hAnsi="Montserrat"/>
                <w:noProof/>
              </w:rPr>
              <w:drawing>
                <wp:inline distT="0" distB="0" distL="0" distR="0" wp14:anchorId="76B75D43" wp14:editId="7381BA37">
                  <wp:extent cx="5943600" cy="1485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aph of a pair of scissors&#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c>
      </w:tr>
    </w:tbl>
    <w:p w14:paraId="46FE4F2F" w14:textId="7E7D26BB" w:rsidR="004E2B5B" w:rsidRPr="003A4B12" w:rsidRDefault="000F681F" w:rsidP="004E2B5B">
      <w:pPr>
        <w:spacing w:after="240"/>
        <w:jc w:val="both"/>
        <w:rPr>
          <w:rFonts w:ascii="Times New Roman" w:eastAsia="Arial" w:hAnsi="Times New Roman" w:cs="Times New Roman"/>
        </w:rPr>
      </w:pPr>
      <w:r>
        <w:rPr>
          <w:rFonts w:ascii="Times New Roman" w:eastAsia="Arial" w:hAnsi="Times New Roman" w:cs="Times New Roman"/>
        </w:rPr>
        <w:t xml:space="preserve">Note: </w:t>
      </w:r>
      <w:r w:rsidR="004E2B5B" w:rsidRPr="003A4B12">
        <w:rPr>
          <w:rFonts w:ascii="Times New Roman" w:eastAsia="Arial" w:hAnsi="Times New Roman" w:cs="Times New Roman"/>
        </w:rPr>
        <w:t xml:space="preserve">Gray shaded area is the 95% confidence interval around the point estimates. </w:t>
      </w:r>
    </w:p>
    <w:p w14:paraId="4A84A018" w14:textId="77777777" w:rsidR="00FF358B" w:rsidRPr="00D6728E" w:rsidRDefault="00FF358B" w:rsidP="004E2B5B">
      <w:pPr>
        <w:spacing w:after="240"/>
        <w:jc w:val="both"/>
        <w:rPr>
          <w:rFonts w:ascii="Montserrat" w:eastAsia="Arial" w:hAnsi="Montserrat" w:cs="Times New Roman"/>
          <w:sz w:val="16"/>
          <w:szCs w:val="16"/>
        </w:rPr>
      </w:pPr>
    </w:p>
    <w:p w14:paraId="51C29A64" w14:textId="0FA53E99" w:rsidR="004E2B5B" w:rsidRPr="003A4B12" w:rsidRDefault="004E2B5B" w:rsidP="009D14B5">
      <w:pPr>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lastRenderedPageBreak/>
        <w:t>Figure 6</w:t>
      </w:r>
      <w:r w:rsidR="000F681F">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Province </w:t>
      </w:r>
      <w:r w:rsidR="000F681F">
        <w:rPr>
          <w:rFonts w:ascii="Times New Roman" w:eastAsia="Arial" w:hAnsi="Times New Roman" w:cs="Times New Roman"/>
          <w:b/>
          <w:bCs/>
          <w:sz w:val="24"/>
          <w:szCs w:val="24"/>
        </w:rPr>
        <w:t>c</w:t>
      </w:r>
      <w:r w:rsidRPr="003A4B12">
        <w:rPr>
          <w:rFonts w:ascii="Times New Roman" w:eastAsia="Arial" w:hAnsi="Times New Roman" w:cs="Times New Roman"/>
          <w:b/>
          <w:bCs/>
          <w:sz w:val="24"/>
          <w:szCs w:val="24"/>
        </w:rPr>
        <w:t>orrelation</w:t>
      </w:r>
      <w:r w:rsidR="009D14B5">
        <w:rPr>
          <w:rFonts w:ascii="Times New Roman" w:eastAsia="Arial" w:hAnsi="Times New Roman" w:cs="Times New Roman"/>
          <w:b/>
          <w:bCs/>
          <w:sz w:val="24"/>
          <w:szCs w:val="24"/>
        </w:rPr>
        <w:t xml:space="preserve"> of</w:t>
      </w:r>
      <w:r w:rsidRPr="003A4B12">
        <w:rPr>
          <w:rFonts w:ascii="Times New Roman" w:eastAsia="Arial" w:hAnsi="Times New Roman" w:cs="Times New Roman"/>
          <w:b/>
          <w:bCs/>
          <w:sz w:val="24"/>
          <w:szCs w:val="24"/>
        </w:rPr>
        <w:t xml:space="preserve"> </w:t>
      </w:r>
      <w:r w:rsidR="000F681F">
        <w:rPr>
          <w:rFonts w:ascii="Times New Roman" w:eastAsia="Arial" w:hAnsi="Times New Roman" w:cs="Times New Roman"/>
          <w:b/>
          <w:bCs/>
          <w:sz w:val="24"/>
          <w:szCs w:val="24"/>
        </w:rPr>
        <w:t>c</w:t>
      </w:r>
      <w:r w:rsidRPr="003A4B12">
        <w:rPr>
          <w:rFonts w:ascii="Times New Roman" w:eastAsia="Arial" w:hAnsi="Times New Roman" w:cs="Times New Roman"/>
          <w:b/>
          <w:bCs/>
          <w:sz w:val="24"/>
          <w:szCs w:val="24"/>
        </w:rPr>
        <w:t xml:space="preserve">onsumer </w:t>
      </w:r>
      <w:r w:rsidR="000F681F">
        <w:rPr>
          <w:rFonts w:ascii="Times New Roman" w:eastAsia="Arial" w:hAnsi="Times New Roman" w:cs="Times New Roman"/>
          <w:b/>
          <w:bCs/>
          <w:sz w:val="24"/>
          <w:szCs w:val="24"/>
        </w:rPr>
        <w:t>i</w:t>
      </w:r>
      <w:r w:rsidRPr="003A4B12">
        <w:rPr>
          <w:rFonts w:ascii="Times New Roman" w:eastAsia="Arial" w:hAnsi="Times New Roman" w:cs="Times New Roman"/>
          <w:b/>
          <w:bCs/>
          <w:sz w:val="24"/>
          <w:szCs w:val="24"/>
        </w:rPr>
        <w:t xml:space="preserve">nflation </w:t>
      </w:r>
      <w:r w:rsidR="000F681F">
        <w:rPr>
          <w:rFonts w:ascii="Times New Roman" w:eastAsia="Arial" w:hAnsi="Times New Roman" w:cs="Times New Roman"/>
          <w:b/>
          <w:bCs/>
          <w:sz w:val="24"/>
          <w:szCs w:val="24"/>
        </w:rPr>
        <w:t>e</w:t>
      </w:r>
      <w:r w:rsidRPr="003A4B12">
        <w:rPr>
          <w:rFonts w:ascii="Times New Roman" w:eastAsia="Arial" w:hAnsi="Times New Roman" w:cs="Times New Roman"/>
          <w:b/>
          <w:bCs/>
          <w:sz w:val="24"/>
          <w:szCs w:val="24"/>
        </w:rPr>
        <w:t>xpectations</w:t>
      </w:r>
      <w:r w:rsidR="009D14B5">
        <w:rPr>
          <w:rFonts w:ascii="Times New Roman" w:eastAsia="Arial" w:hAnsi="Times New Roman" w:cs="Times New Roman"/>
          <w:b/>
          <w:bCs/>
          <w:sz w:val="24"/>
          <w:szCs w:val="24"/>
        </w:rPr>
        <w:t xml:space="preserve"> </w:t>
      </w:r>
      <w:r w:rsidRPr="003A4B12">
        <w:rPr>
          <w:rFonts w:ascii="Times New Roman" w:eastAsia="Arial" w:hAnsi="Times New Roman" w:cs="Times New Roman"/>
          <w:b/>
          <w:bCs/>
          <w:sz w:val="24"/>
          <w:szCs w:val="24"/>
        </w:rPr>
        <w:t xml:space="preserve">and </w:t>
      </w:r>
      <w:r w:rsidR="000F681F">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ice or </w:t>
      </w:r>
      <w:r w:rsidR="000F681F">
        <w:rPr>
          <w:rFonts w:ascii="Times New Roman" w:eastAsia="Arial" w:hAnsi="Times New Roman" w:cs="Times New Roman"/>
          <w:b/>
          <w:bCs/>
          <w:sz w:val="24"/>
          <w:szCs w:val="24"/>
        </w:rPr>
        <w:t>f</w:t>
      </w:r>
      <w:r w:rsidRPr="003A4B12">
        <w:rPr>
          <w:rFonts w:ascii="Times New Roman" w:eastAsia="Arial" w:hAnsi="Times New Roman" w:cs="Times New Roman"/>
          <w:b/>
          <w:bCs/>
          <w:sz w:val="24"/>
          <w:szCs w:val="24"/>
        </w:rPr>
        <w:t xml:space="preserve">uel </w:t>
      </w:r>
      <w:r w:rsidR="000F681F">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rices</w:t>
      </w:r>
    </w:p>
    <w:p w14:paraId="31A9C1E0" w14:textId="77777777" w:rsidR="004E2B5B" w:rsidRPr="00D6728E" w:rsidRDefault="004E2B5B" w:rsidP="004E2B5B">
      <w:pPr>
        <w:spacing w:line="260" w:lineRule="auto"/>
        <w:jc w:val="center"/>
        <w:rPr>
          <w:rFonts w:ascii="Montserrat" w:eastAsia="Arial" w:hAnsi="Montserrat" w:cs="Times New Roman"/>
          <w:b/>
          <w:bCs/>
          <w:sz w:val="10"/>
          <w:szCs w:val="10"/>
        </w:rPr>
      </w:pPr>
    </w:p>
    <w:p w14:paraId="587F7628" w14:textId="515F2269" w:rsidR="004E2B5B" w:rsidRPr="003A4B12" w:rsidRDefault="004E2B5B" w:rsidP="004E2B5B">
      <w:pPr>
        <w:spacing w:line="260" w:lineRule="auto"/>
        <w:jc w:val="center"/>
        <w:rPr>
          <w:rFonts w:ascii="Times New Roman" w:eastAsia="Arial" w:hAnsi="Times New Roman" w:cs="Times New Roman"/>
          <w:sz w:val="22"/>
          <w:szCs w:val="22"/>
        </w:rPr>
      </w:pPr>
      <w:r w:rsidRPr="003A4B12">
        <w:rPr>
          <w:rFonts w:ascii="Times New Roman" w:eastAsia="Arial" w:hAnsi="Times New Roman" w:cs="Times New Roman"/>
          <w:sz w:val="22"/>
          <w:szCs w:val="22"/>
        </w:rPr>
        <w:t xml:space="preserve">(a) Rice </w:t>
      </w:r>
      <w:r w:rsidR="000F681F">
        <w:rPr>
          <w:rFonts w:ascii="Times New Roman" w:eastAsia="Arial" w:hAnsi="Times New Roman" w:cs="Times New Roman"/>
          <w:sz w:val="22"/>
          <w:szCs w:val="22"/>
        </w:rPr>
        <w:t>p</w:t>
      </w:r>
      <w:r w:rsidRPr="003A4B12">
        <w:rPr>
          <w:rFonts w:ascii="Times New Roman" w:eastAsia="Arial" w:hAnsi="Times New Roman" w:cs="Times New Roman"/>
          <w:sz w:val="22"/>
          <w:szCs w:val="22"/>
        </w:rPr>
        <w:t>rice</w:t>
      </w:r>
    </w:p>
    <w:p w14:paraId="2CE4B6D2" w14:textId="77777777" w:rsidR="004E2B5B" w:rsidRPr="00D6728E" w:rsidRDefault="004E2B5B" w:rsidP="004E2B5B">
      <w:pPr>
        <w:spacing w:line="260" w:lineRule="auto"/>
        <w:jc w:val="center"/>
        <w:rPr>
          <w:rFonts w:ascii="Montserrat" w:eastAsia="Arial" w:hAnsi="Montserrat" w:cs="Times New Roman"/>
          <w:b/>
          <w:bCs/>
          <w:sz w:val="6"/>
          <w:szCs w:val="6"/>
        </w:rPr>
      </w:pPr>
    </w:p>
    <w:p w14:paraId="5D466B68" w14:textId="77777777" w:rsidR="004E2B5B" w:rsidRPr="00D6728E" w:rsidRDefault="004E2B5B" w:rsidP="004E2B5B">
      <w:pPr>
        <w:spacing w:line="260" w:lineRule="auto"/>
        <w:jc w:val="center"/>
        <w:rPr>
          <w:rFonts w:ascii="Montserrat" w:eastAsia="Arial" w:hAnsi="Montserrat" w:cs="Times New Roman"/>
          <w:b/>
          <w:bCs/>
          <w:sz w:val="22"/>
          <w:szCs w:val="22"/>
        </w:rPr>
      </w:pPr>
      <w:r w:rsidRPr="00D6728E">
        <w:rPr>
          <w:noProof/>
        </w:rPr>
        <w:drawing>
          <wp:inline distT="0" distB="0" distL="0" distR="0" wp14:anchorId="52D1B8F4" wp14:editId="52B154E9">
            <wp:extent cx="4059969" cy="2435982"/>
            <wp:effectExtent l="19050" t="19050" r="17145" b="21590"/>
            <wp:docPr id="136444116" name="Picture 4" descr="A group of smal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4116" name="Picture 4" descr="A group of small dots&#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72090" cy="2443255"/>
                    </a:xfrm>
                    <a:prstGeom prst="rect">
                      <a:avLst/>
                    </a:prstGeom>
                    <a:ln>
                      <a:solidFill>
                        <a:schemeClr val="bg1">
                          <a:lumMod val="50000"/>
                        </a:schemeClr>
                      </a:solidFill>
                    </a:ln>
                  </pic:spPr>
                </pic:pic>
              </a:graphicData>
            </a:graphic>
          </wp:inline>
        </w:drawing>
      </w:r>
    </w:p>
    <w:p w14:paraId="71935BCE" w14:textId="49B80424" w:rsidR="004E2B5B" w:rsidRPr="003A4B12" w:rsidRDefault="004E2B5B" w:rsidP="004E2B5B">
      <w:pPr>
        <w:keepNext/>
        <w:keepLines/>
        <w:spacing w:line="259" w:lineRule="auto"/>
        <w:jc w:val="center"/>
        <w:rPr>
          <w:rFonts w:ascii="Times New Roman" w:eastAsia="Arial" w:hAnsi="Times New Roman" w:cs="Times New Roman"/>
          <w:sz w:val="22"/>
          <w:szCs w:val="22"/>
        </w:rPr>
      </w:pPr>
      <w:r w:rsidRPr="003A4B12">
        <w:rPr>
          <w:rFonts w:ascii="Times New Roman" w:eastAsia="Arial" w:hAnsi="Times New Roman" w:cs="Times New Roman"/>
          <w:sz w:val="22"/>
          <w:szCs w:val="22"/>
        </w:rPr>
        <w:t xml:space="preserve">(b) Gasoline </w:t>
      </w:r>
      <w:r w:rsidR="000F681F">
        <w:rPr>
          <w:rFonts w:ascii="Times New Roman" w:eastAsia="Arial" w:hAnsi="Times New Roman" w:cs="Times New Roman"/>
          <w:sz w:val="22"/>
          <w:szCs w:val="22"/>
        </w:rPr>
        <w:t>p</w:t>
      </w:r>
      <w:r w:rsidRPr="003A4B12">
        <w:rPr>
          <w:rFonts w:ascii="Times New Roman" w:eastAsia="Arial" w:hAnsi="Times New Roman" w:cs="Times New Roman"/>
          <w:sz w:val="22"/>
          <w:szCs w:val="22"/>
        </w:rPr>
        <w:t>rice</w:t>
      </w:r>
    </w:p>
    <w:p w14:paraId="3D35E4AC" w14:textId="77777777" w:rsidR="004E2B5B" w:rsidRPr="00D6728E" w:rsidRDefault="004E2B5B" w:rsidP="004E2B5B">
      <w:pPr>
        <w:keepNext/>
        <w:keepLines/>
        <w:spacing w:line="259" w:lineRule="auto"/>
        <w:jc w:val="center"/>
        <w:rPr>
          <w:rFonts w:ascii="Montserrat" w:eastAsia="Arial" w:hAnsi="Montserrat" w:cs="Times New Roman"/>
          <w:b/>
          <w:bCs/>
          <w:sz w:val="6"/>
          <w:szCs w:val="6"/>
        </w:rPr>
      </w:pPr>
    </w:p>
    <w:p w14:paraId="5792779E" w14:textId="77777777" w:rsidR="004E2B5B" w:rsidRPr="00D6728E" w:rsidRDefault="004E2B5B" w:rsidP="004E2B5B">
      <w:pPr>
        <w:keepNext/>
        <w:keepLines/>
        <w:spacing w:line="259" w:lineRule="auto"/>
        <w:jc w:val="center"/>
        <w:rPr>
          <w:rFonts w:ascii="Montserrat" w:eastAsia="Arial" w:hAnsi="Montserrat" w:cs="Times New Roman"/>
          <w:b/>
          <w:bCs/>
          <w:sz w:val="22"/>
          <w:szCs w:val="22"/>
        </w:rPr>
      </w:pPr>
      <w:r w:rsidRPr="00D6728E">
        <w:rPr>
          <w:noProof/>
        </w:rPr>
        <w:drawing>
          <wp:inline distT="0" distB="0" distL="0" distR="0" wp14:anchorId="78135A8A" wp14:editId="281D8CCF">
            <wp:extent cx="4059969" cy="2433811"/>
            <wp:effectExtent l="19050" t="19050" r="17145" b="24130"/>
            <wp:docPr id="1595486804" name="Picture 5" descr="A group of smal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86804" name="Picture 5" descr="A group of small dots&#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80930" cy="2446377"/>
                    </a:xfrm>
                    <a:prstGeom prst="rect">
                      <a:avLst/>
                    </a:prstGeom>
                    <a:ln>
                      <a:solidFill>
                        <a:schemeClr val="bg1">
                          <a:lumMod val="50000"/>
                        </a:schemeClr>
                      </a:solidFill>
                    </a:ln>
                  </pic:spPr>
                </pic:pic>
              </a:graphicData>
            </a:graphic>
          </wp:inline>
        </w:drawing>
      </w:r>
    </w:p>
    <w:p w14:paraId="2903E023" w14:textId="3383A56E" w:rsidR="004E2B5B" w:rsidRPr="003A4B12" w:rsidRDefault="004E2B5B" w:rsidP="004E2B5B">
      <w:pPr>
        <w:keepNext/>
        <w:keepLines/>
        <w:spacing w:line="259" w:lineRule="auto"/>
        <w:jc w:val="center"/>
        <w:rPr>
          <w:rFonts w:ascii="Times New Roman" w:eastAsia="Arial" w:hAnsi="Times New Roman" w:cs="Times New Roman"/>
          <w:sz w:val="22"/>
          <w:szCs w:val="22"/>
        </w:rPr>
      </w:pPr>
      <w:r w:rsidRPr="003A4B12">
        <w:rPr>
          <w:rFonts w:ascii="Times New Roman" w:eastAsia="Arial" w:hAnsi="Times New Roman" w:cs="Times New Roman"/>
          <w:sz w:val="22"/>
          <w:szCs w:val="22"/>
        </w:rPr>
        <w:t xml:space="preserve">(c) Diesel </w:t>
      </w:r>
      <w:r w:rsidR="000F681F">
        <w:rPr>
          <w:rFonts w:ascii="Times New Roman" w:eastAsia="Arial" w:hAnsi="Times New Roman" w:cs="Times New Roman"/>
          <w:sz w:val="22"/>
          <w:szCs w:val="22"/>
        </w:rPr>
        <w:t>p</w:t>
      </w:r>
      <w:r w:rsidRPr="003A4B12">
        <w:rPr>
          <w:rFonts w:ascii="Times New Roman" w:eastAsia="Arial" w:hAnsi="Times New Roman" w:cs="Times New Roman"/>
          <w:sz w:val="22"/>
          <w:szCs w:val="22"/>
        </w:rPr>
        <w:t>rice</w:t>
      </w:r>
    </w:p>
    <w:p w14:paraId="14BA5C3C" w14:textId="77777777" w:rsidR="004E2B5B" w:rsidRPr="00D6728E" w:rsidRDefault="004E2B5B" w:rsidP="004E2B5B">
      <w:pPr>
        <w:keepNext/>
        <w:keepLines/>
        <w:spacing w:line="259" w:lineRule="auto"/>
        <w:jc w:val="center"/>
        <w:rPr>
          <w:rFonts w:ascii="Montserrat" w:eastAsia="Arial" w:hAnsi="Montserrat" w:cs="Times New Roman"/>
          <w:b/>
          <w:bCs/>
          <w:sz w:val="6"/>
          <w:szCs w:val="6"/>
        </w:rPr>
      </w:pPr>
    </w:p>
    <w:p w14:paraId="4C712224" w14:textId="77777777" w:rsidR="004E2B5B" w:rsidRPr="00D6728E" w:rsidRDefault="004E2B5B" w:rsidP="004E2B5B">
      <w:pPr>
        <w:keepNext/>
        <w:keepLines/>
        <w:jc w:val="center"/>
        <w:rPr>
          <w:rFonts w:ascii="Montserrat" w:eastAsia="Arial" w:hAnsi="Montserrat" w:cs="Times New Roman"/>
          <w:b/>
          <w:bCs/>
          <w:sz w:val="22"/>
          <w:szCs w:val="22"/>
        </w:rPr>
      </w:pPr>
      <w:r w:rsidRPr="00D6728E">
        <w:rPr>
          <w:noProof/>
        </w:rPr>
        <w:drawing>
          <wp:inline distT="0" distB="0" distL="0" distR="0" wp14:anchorId="2A49B1F6" wp14:editId="683CE6C2">
            <wp:extent cx="4107677" cy="2462412"/>
            <wp:effectExtent l="19050" t="19050" r="26670" b="14605"/>
            <wp:docPr id="1141894778" name="Picture 6" descr="A group of smal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94778" name="Picture 6" descr="A group of small dots&#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27752" cy="2474447"/>
                    </a:xfrm>
                    <a:prstGeom prst="rect">
                      <a:avLst/>
                    </a:prstGeom>
                    <a:ln>
                      <a:solidFill>
                        <a:schemeClr val="bg1">
                          <a:lumMod val="50000"/>
                        </a:schemeClr>
                      </a:solidFill>
                    </a:ln>
                  </pic:spPr>
                </pic:pic>
              </a:graphicData>
            </a:graphic>
          </wp:inline>
        </w:drawing>
      </w:r>
    </w:p>
    <w:p w14:paraId="2B37AFB2" w14:textId="77777777" w:rsidR="004E2B5B" w:rsidRPr="00D6728E" w:rsidRDefault="004E2B5B" w:rsidP="004E2B5B">
      <w:pPr>
        <w:ind w:left="993"/>
        <w:rPr>
          <w:rFonts w:ascii="Montserrat" w:eastAsia="Arial" w:hAnsi="Montserrat" w:cs="Times New Roman"/>
          <w:sz w:val="6"/>
          <w:szCs w:val="6"/>
        </w:rPr>
      </w:pPr>
    </w:p>
    <w:p w14:paraId="7253DB25" w14:textId="4B0B1DB0" w:rsidR="004E2B5B" w:rsidRPr="007215A6" w:rsidRDefault="004E2B5B" w:rsidP="007215A6">
      <w:pPr>
        <w:ind w:left="993" w:right="946"/>
        <w:rPr>
          <w:rFonts w:ascii="Times New Roman" w:eastAsia="Arial" w:hAnsi="Times New Roman" w:cs="Times New Roman"/>
          <w:spacing w:val="-4"/>
        </w:rPr>
      </w:pPr>
      <w:bookmarkStart w:id="14" w:name="_Hlk194657548"/>
      <w:r w:rsidRPr="007215A6">
        <w:rPr>
          <w:rFonts w:ascii="Times New Roman" w:eastAsia="Arial" w:hAnsi="Times New Roman" w:cs="Times New Roman"/>
          <w:spacing w:val="-4"/>
        </w:rPr>
        <w:t>Source: Authors</w:t>
      </w:r>
      <w:r w:rsidR="00927E1B" w:rsidRPr="007215A6">
        <w:rPr>
          <w:rFonts w:ascii="Times New Roman" w:eastAsia="Arial" w:hAnsi="Times New Roman" w:cs="Times New Roman"/>
          <w:spacing w:val="-4"/>
        </w:rPr>
        <w:t>'</w:t>
      </w:r>
      <w:r w:rsidRPr="007215A6">
        <w:rPr>
          <w:rFonts w:ascii="Times New Roman" w:eastAsia="Arial" w:hAnsi="Times New Roman" w:cs="Times New Roman"/>
          <w:spacing w:val="-4"/>
        </w:rPr>
        <w:t xml:space="preserve"> work based on analysis of data from the 2014–2024 </w:t>
      </w:r>
      <w:bookmarkEnd w:id="14"/>
      <w:r w:rsidR="007A36B6" w:rsidRPr="007215A6">
        <w:rPr>
          <w:rFonts w:ascii="Times New Roman" w:eastAsia="Arial" w:hAnsi="Times New Roman" w:cs="Times New Roman"/>
          <w:spacing w:val="-4"/>
        </w:rPr>
        <w:t>CES</w:t>
      </w:r>
      <w:r w:rsidR="000F681F">
        <w:rPr>
          <w:rFonts w:ascii="Times New Roman" w:eastAsia="Arial" w:hAnsi="Times New Roman" w:cs="Times New Roman"/>
          <w:spacing w:val="-4"/>
        </w:rPr>
        <w:t>.</w:t>
      </w:r>
    </w:p>
    <w:p w14:paraId="160B0DD5" w14:textId="67DE27BF" w:rsidR="004E2B5B" w:rsidRPr="007215A6" w:rsidRDefault="000F681F" w:rsidP="004E2B5B">
      <w:pPr>
        <w:spacing w:line="260" w:lineRule="auto"/>
        <w:ind w:left="720" w:firstLine="273"/>
        <w:rPr>
          <w:rFonts w:ascii="Times New Roman" w:eastAsia="Arial" w:hAnsi="Times New Roman" w:cs="Times New Roman"/>
        </w:rPr>
      </w:pPr>
      <w:r>
        <w:rPr>
          <w:rFonts w:ascii="Times New Roman" w:eastAsia="Arial" w:hAnsi="Times New Roman" w:cs="Times New Roman"/>
        </w:rPr>
        <w:t xml:space="preserve">Note: </w:t>
      </w:r>
      <w:r w:rsidR="004E2B5B" w:rsidRPr="007215A6">
        <w:rPr>
          <w:rFonts w:ascii="Times New Roman" w:eastAsia="Arial" w:hAnsi="Times New Roman" w:cs="Times New Roman"/>
        </w:rPr>
        <w:t>The blue round dots are statistically significant.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8"/>
        <w:gridCol w:w="1521"/>
      </w:tblGrid>
      <w:tr w:rsidR="004E2B5B" w:rsidRPr="00D6728E" w14:paraId="14C5F858" w14:textId="77777777" w:rsidTr="00532745">
        <w:trPr>
          <w:trHeight w:val="69"/>
          <w:jc w:val="center"/>
        </w:trPr>
        <w:tc>
          <w:tcPr>
            <w:tcW w:w="0" w:type="auto"/>
            <w:vAlign w:val="center"/>
          </w:tcPr>
          <w:p w14:paraId="756DCD5A" w14:textId="77777777" w:rsidR="004E2B5B" w:rsidRPr="00D6728E" w:rsidRDefault="004E2B5B" w:rsidP="00532745">
            <w:pPr>
              <w:rPr>
                <w:rFonts w:ascii="Montserrat" w:hAnsi="Montserrat"/>
                <w:sz w:val="22"/>
                <w:szCs w:val="22"/>
              </w:rPr>
            </w:pPr>
            <m:oMathPara>
              <m:oMath>
                <m:r>
                  <m:rPr>
                    <m:sty m:val="p"/>
                  </m:rPr>
                  <w:rPr>
                    <w:rFonts w:ascii="Cambria Math" w:hAnsi="Cambria Math"/>
                    <w:color w:val="000000" w:themeColor="text1"/>
                    <w:sz w:val="22"/>
                    <w:szCs w:val="22"/>
                  </w:rPr>
                  <w:lastRenderedPageBreak/>
                  <m:t>Δ</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it</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a</m:t>
                    </m:r>
                  </m:e>
                  <m:sub>
                    <m:r>
                      <w:rPr>
                        <w:rFonts w:ascii="Cambria Math" w:hAnsi="Cambria Math"/>
                        <w:color w:val="000000" w:themeColor="text1"/>
                        <w:sz w:val="22"/>
                        <w:szCs w:val="22"/>
                      </w:rPr>
                      <m:t>i</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b</m:t>
                    </m:r>
                  </m:e>
                  <m:sub>
                    <m:r>
                      <w:rPr>
                        <w:rFonts w:ascii="Cambria Math" w:hAnsi="Cambria Math"/>
                        <w:color w:val="000000" w:themeColor="text1"/>
                        <w:sz w:val="22"/>
                        <w:szCs w:val="22"/>
                      </w:rPr>
                      <m:t>i</m:t>
                    </m:r>
                  </m:sub>
                </m:sSub>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i,t-1</m:t>
                    </m:r>
                  </m:sub>
                </m:sSub>
                <m:r>
                  <w:rPr>
                    <w:rFonts w:ascii="Cambria Math" w:hAnsi="Cambria Math"/>
                    <w:color w:val="000000" w:themeColor="text1"/>
                    <w:sz w:val="22"/>
                    <w:szCs w:val="22"/>
                  </w:rPr>
                  <m:t>+</m:t>
                </m:r>
                <m:nary>
                  <m:naryPr>
                    <m:chr m:val="∑"/>
                    <m:limLoc m:val="undOvr"/>
                    <m:ctrlPr>
                      <w:rPr>
                        <w:rFonts w:ascii="Cambria Math" w:hAnsi="Cambria Math"/>
                        <w:i/>
                        <w:color w:val="000000" w:themeColor="text1"/>
                        <w:sz w:val="22"/>
                        <w:szCs w:val="22"/>
                      </w:rPr>
                    </m:ctrlPr>
                  </m:naryPr>
                  <m:sub>
                    <m:r>
                      <w:rPr>
                        <w:rFonts w:ascii="Cambria Math" w:hAnsi="Cambria Math"/>
                        <w:color w:val="000000" w:themeColor="text1"/>
                        <w:sz w:val="22"/>
                        <w:szCs w:val="22"/>
                      </w:rPr>
                      <m:t>r=0</m:t>
                    </m:r>
                  </m:sub>
                  <m:sup>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i</m:t>
                        </m:r>
                      </m:sub>
                    </m:sSub>
                  </m:sup>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c</m:t>
                        </m:r>
                      </m:e>
                      <m:sub>
                        <m:r>
                          <w:rPr>
                            <w:rFonts w:ascii="Cambria Math" w:hAnsi="Cambria Math"/>
                            <w:color w:val="000000" w:themeColor="text1"/>
                            <w:sz w:val="22"/>
                            <w:szCs w:val="22"/>
                          </w:rPr>
                          <m:t>ir</m:t>
                        </m:r>
                      </m:sub>
                    </m:sSub>
                    <m:r>
                      <m:rPr>
                        <m:sty m:val="p"/>
                      </m:rPr>
                      <w:rPr>
                        <w:rFonts w:ascii="Cambria Math" w:hAnsi="Cambria Math"/>
                        <w:color w:val="000000" w:themeColor="text1"/>
                        <w:sz w:val="22"/>
                        <w:szCs w:val="22"/>
                      </w:rPr>
                      <m:t>Δ</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y</m:t>
                        </m:r>
                      </m:e>
                      <m:sub>
                        <m:r>
                          <w:rPr>
                            <w:rFonts w:ascii="Cambria Math" w:hAnsi="Cambria Math"/>
                            <w:color w:val="000000" w:themeColor="text1"/>
                            <w:sz w:val="22"/>
                            <w:szCs w:val="22"/>
                          </w:rPr>
                          <m:t>i,t-r</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d</m:t>
                        </m:r>
                      </m:e>
                      <m:sub>
                        <m:r>
                          <w:rPr>
                            <w:rFonts w:ascii="Cambria Math" w:hAnsi="Cambria Math"/>
                            <w:color w:val="000000" w:themeColor="text1"/>
                            <w:sz w:val="22"/>
                            <w:szCs w:val="22"/>
                          </w:rPr>
                          <m:t>i</m:t>
                        </m:r>
                      </m:sub>
                    </m:sSub>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y</m:t>
                            </m:r>
                          </m:e>
                        </m:acc>
                      </m:e>
                      <m:sub>
                        <m:r>
                          <w:rPr>
                            <w:rFonts w:ascii="Cambria Math" w:hAnsi="Cambria Math"/>
                            <w:color w:val="000000" w:themeColor="text1"/>
                            <w:sz w:val="22"/>
                            <w:szCs w:val="22"/>
                          </w:rPr>
                          <m:t>t-1</m:t>
                        </m:r>
                      </m:sub>
                    </m:sSub>
                  </m:e>
                </m:nary>
                <m:nary>
                  <m:naryPr>
                    <m:chr m:val="∑"/>
                    <m:limLoc m:val="undOvr"/>
                    <m:ctrlPr>
                      <w:rPr>
                        <w:rFonts w:ascii="Cambria Math" w:hAnsi="Cambria Math"/>
                        <w:i/>
                        <w:color w:val="000000" w:themeColor="text1"/>
                        <w:sz w:val="22"/>
                        <w:szCs w:val="22"/>
                      </w:rPr>
                    </m:ctrlPr>
                  </m:naryPr>
                  <m:sub>
                    <m:r>
                      <w:rPr>
                        <w:rFonts w:ascii="Cambria Math" w:hAnsi="Cambria Math"/>
                        <w:color w:val="000000" w:themeColor="text1"/>
                        <w:sz w:val="22"/>
                        <w:szCs w:val="22"/>
                      </w:rPr>
                      <m:t>r=0</m:t>
                    </m:r>
                  </m:sub>
                  <m:sup>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i</m:t>
                        </m:r>
                      </m:sub>
                    </m:sSub>
                  </m:sup>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f</m:t>
                        </m:r>
                      </m:e>
                      <m:sub>
                        <m:r>
                          <w:rPr>
                            <w:rFonts w:ascii="Cambria Math" w:hAnsi="Cambria Math"/>
                            <w:color w:val="000000" w:themeColor="text1"/>
                            <w:sz w:val="22"/>
                            <w:szCs w:val="22"/>
                          </w:rPr>
                          <m:t>ir</m:t>
                        </m:r>
                      </m:sub>
                    </m:sSub>
                    <m:r>
                      <m:rPr>
                        <m:sty m:val="p"/>
                      </m:rPr>
                      <w:rPr>
                        <w:rFonts w:ascii="Cambria Math" w:hAnsi="Cambria Math"/>
                        <w:color w:val="000000" w:themeColor="text1"/>
                        <w:sz w:val="22"/>
                        <w:szCs w:val="22"/>
                      </w:rPr>
                      <m:t>Δ</m:t>
                    </m:r>
                    <m:sSub>
                      <m:sSubPr>
                        <m:ctrlPr>
                          <w:rPr>
                            <w:rFonts w:ascii="Cambria Math" w:hAnsi="Cambria Math"/>
                            <w:i/>
                            <w:color w:val="000000" w:themeColor="text1"/>
                            <w:sz w:val="22"/>
                            <w:szCs w:val="22"/>
                          </w:rPr>
                        </m:ctrlPr>
                      </m:sSub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y</m:t>
                            </m:r>
                          </m:e>
                        </m:acc>
                      </m:e>
                      <m:sub>
                        <m:r>
                          <w:rPr>
                            <w:rFonts w:ascii="Cambria Math" w:hAnsi="Cambria Math"/>
                            <w:color w:val="000000" w:themeColor="text1"/>
                            <w:sz w:val="22"/>
                            <w:szCs w:val="22"/>
                          </w:rPr>
                          <m:t>i,t-r</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ξ</m:t>
                        </m:r>
                      </m:e>
                      <m:sub>
                        <m:r>
                          <w:rPr>
                            <w:rFonts w:ascii="Cambria Math" w:hAnsi="Cambria Math"/>
                            <w:color w:val="000000" w:themeColor="text1"/>
                            <w:sz w:val="22"/>
                            <w:szCs w:val="22"/>
                          </w:rPr>
                          <m:t>it</m:t>
                        </m:r>
                      </m:sub>
                    </m:sSub>
                  </m:e>
                </m:nary>
              </m:oMath>
            </m:oMathPara>
          </w:p>
        </w:tc>
        <w:tc>
          <w:tcPr>
            <w:tcW w:w="1521" w:type="dxa"/>
            <w:vAlign w:val="center"/>
          </w:tcPr>
          <w:p w14:paraId="106BDB3A" w14:textId="77777777" w:rsidR="004E2B5B" w:rsidRPr="00D6728E" w:rsidRDefault="004E2B5B" w:rsidP="00C859FF">
            <w:pPr>
              <w:pStyle w:val="ListParagraph"/>
              <w:numPr>
                <w:ilvl w:val="0"/>
                <w:numId w:val="34"/>
              </w:numPr>
              <w:spacing w:after="0" w:line="240" w:lineRule="auto"/>
              <w:jc w:val="center"/>
              <w:rPr>
                <w:rFonts w:ascii="Montserrat" w:hAnsi="Montserrat" w:cs="Segoe UI"/>
              </w:rPr>
            </w:pPr>
          </w:p>
        </w:tc>
      </w:tr>
    </w:tbl>
    <w:p w14:paraId="09D50B42" w14:textId="77777777" w:rsidR="004E2B5B" w:rsidRPr="00D6728E" w:rsidRDefault="004E2B5B" w:rsidP="004E2B5B">
      <w:pPr>
        <w:keepNext/>
        <w:keepLines/>
        <w:jc w:val="both"/>
        <w:rPr>
          <w:rFonts w:ascii="Montserrat" w:hAnsi="Montserrat"/>
          <w:spacing w:val="-2"/>
          <w:sz w:val="22"/>
          <w:szCs w:val="22"/>
        </w:rPr>
      </w:pPr>
    </w:p>
    <w:p w14:paraId="4D1D9ACC" w14:textId="77777777" w:rsidR="004E2B5B" w:rsidRPr="005D5B09" w:rsidRDefault="004E2B5B" w:rsidP="004E2B5B">
      <w:pPr>
        <w:ind w:right="95"/>
        <w:jc w:val="both"/>
        <w:rPr>
          <w:rFonts w:ascii="Times New Roman" w:hAnsi="Times New Roman" w:cs="Times New Roman"/>
          <w:sz w:val="24"/>
          <w:szCs w:val="24"/>
        </w:rPr>
      </w:pPr>
      <w:r w:rsidRPr="005D5B09">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Pr="005D5B09">
        <w:rPr>
          <w:rFonts w:ascii="Times New Roman" w:hAnsi="Times New Roman" w:cs="Times New Roman"/>
          <w:sz w:val="24"/>
          <w:szCs w:val="24"/>
        </w:rPr>
        <w:t xml:space="preserve"> represents the provincial-national inflation differential; </w:t>
      </w:r>
      <m:oMath>
        <m:r>
          <w:rPr>
            <w:rFonts w:ascii="Cambria Math" w:hAnsi="Cambria Math" w:cs="Times New Roman"/>
            <w:sz w:val="24"/>
            <w:szCs w:val="24"/>
          </w:rPr>
          <m:t>Δ</m:t>
        </m:r>
      </m:oMath>
      <w:r w:rsidRPr="005D5B09">
        <w:rPr>
          <w:rFonts w:ascii="Times New Roman" w:hAnsi="Times New Roman" w:cs="Times New Roman"/>
          <w:sz w:val="24"/>
          <w:szCs w:val="24"/>
        </w:rPr>
        <w:t xml:space="preserve"> is the difference operator</w:t>
      </w:r>
      <m:oMath>
        <m:r>
          <w:rPr>
            <w:rFonts w:ascii="Cambria Math" w:hAnsi="Cambria Math" w:cs="Times New Roman"/>
            <w:sz w:val="24"/>
            <w:szCs w:val="24"/>
          </w:rPr>
          <m:t>;</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y</m:t>
                </m:r>
              </m:e>
            </m:acc>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N</m:t>
            </m:r>
          </m:e>
          <m:sup>
            <m:r>
              <w:rPr>
                <w:rFonts w:ascii="Cambria Math" w:hAnsi="Cambria Math" w:cs="Times New Roman"/>
                <w:color w:val="000000" w:themeColor="text1"/>
                <w:sz w:val="24"/>
                <w:szCs w:val="24"/>
              </w:rPr>
              <m:t>-1</m:t>
            </m:r>
          </m:sup>
        </m:sSup>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it</m:t>
                </m:r>
              </m:sub>
            </m:sSub>
          </m:e>
        </m:nary>
        <m:r>
          <w:rPr>
            <w:rFonts w:ascii="Cambria Math" w:hAnsi="Cambria Math" w:cs="Times New Roman"/>
            <w:sz w:val="24"/>
            <w:szCs w:val="24"/>
          </w:rPr>
          <m:t xml:space="preserve"> </m:t>
        </m:r>
      </m:oMath>
      <w:r w:rsidRPr="005D5B09">
        <w:rPr>
          <w:rFonts w:ascii="Times New Roman" w:hAnsi="Times New Roman" w:cs="Times New Roman"/>
          <w:sz w:val="24"/>
          <w:szCs w:val="24"/>
        </w:rPr>
        <w:t xml:space="preserve">is the cross-section average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Pr="005D5B09">
        <w:rPr>
          <w:rFonts w:ascii="Times New Roman" w:hAnsi="Times New Roman" w:cs="Times New Roman"/>
          <w:sz w:val="24"/>
          <w:szCs w:val="24"/>
        </w:rPr>
        <w:t xml:space="preserve">, which accounts for cross-sectional dependence;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it</m:t>
            </m:r>
          </m:sub>
        </m:sSub>
      </m:oMath>
      <w:r w:rsidRPr="005D5B09">
        <w:rPr>
          <w:rFonts w:ascii="Times New Roman" w:hAnsi="Times New Roman" w:cs="Times New Roman"/>
          <w:sz w:val="24"/>
          <w:szCs w:val="24"/>
        </w:rPr>
        <w:t xml:space="preserve"> is the effort term; </w:t>
      </w:r>
      <m:oMath>
        <m:r>
          <w:rPr>
            <w:rFonts w:ascii="Cambria Math" w:hAnsi="Cambria Math" w:cs="Times New Roman"/>
            <w:sz w:val="24"/>
            <w:szCs w:val="24"/>
          </w:rPr>
          <m:t>i=1,…,74</m:t>
        </m:r>
      </m:oMath>
      <w:r w:rsidRPr="005D5B09">
        <w:rPr>
          <w:rFonts w:ascii="Times New Roman" w:hAnsi="Times New Roman" w:cs="Times New Roman"/>
          <w:sz w:val="24"/>
          <w:szCs w:val="24"/>
        </w:rPr>
        <w:t xml:space="preserve"> provinces; and </w:t>
      </w:r>
      <m:oMath>
        <m:r>
          <w:rPr>
            <w:rFonts w:ascii="Cambria Math" w:hAnsi="Cambria Math" w:cs="Times New Roman"/>
            <w:sz w:val="24"/>
            <w:szCs w:val="24"/>
          </w:rPr>
          <m:t>T=1,…,342</m:t>
        </m:r>
      </m:oMath>
      <w:r w:rsidRPr="005D5B09">
        <w:rPr>
          <w:rFonts w:ascii="Times New Roman" w:hAnsi="Times New Roman" w:cs="Times New Roman"/>
          <w:sz w:val="24"/>
          <w:szCs w:val="24"/>
        </w:rPr>
        <w:t xml:space="preserve"> time observations. </w:t>
      </w:r>
    </w:p>
    <w:p w14:paraId="03C86A51" w14:textId="77777777" w:rsidR="004E2B5B" w:rsidRPr="005D5B09" w:rsidRDefault="004E2B5B" w:rsidP="004E2B5B">
      <w:pPr>
        <w:jc w:val="both"/>
        <w:rPr>
          <w:rFonts w:ascii="Times New Roman" w:hAnsi="Times New Roman" w:cs="Times New Roman"/>
          <w:sz w:val="24"/>
          <w:szCs w:val="24"/>
        </w:rPr>
      </w:pPr>
    </w:p>
    <w:p w14:paraId="3AA34F9C" w14:textId="77777777" w:rsidR="004E2B5B" w:rsidRPr="005D5B09" w:rsidRDefault="004E2B5B" w:rsidP="004E2B5B">
      <w:pPr>
        <w:ind w:firstLine="357"/>
        <w:jc w:val="both"/>
        <w:rPr>
          <w:rFonts w:ascii="Times New Roman" w:hAnsi="Times New Roman" w:cs="Times New Roman"/>
          <w:sz w:val="24"/>
          <w:szCs w:val="24"/>
        </w:rPr>
      </w:pPr>
      <w:r w:rsidRPr="005D5B09">
        <w:rPr>
          <w:rFonts w:ascii="Times New Roman" w:hAnsi="Times New Roman" w:cs="Times New Roman"/>
          <w:sz w:val="24"/>
          <w:szCs w:val="24"/>
        </w:rPr>
        <w:t>The CIPS test statistic is computed as:</w:t>
      </w:r>
    </w:p>
    <w:p w14:paraId="2631F7A1" w14:textId="77777777" w:rsidR="004E2B5B" w:rsidRPr="00D6728E" w:rsidRDefault="004E2B5B" w:rsidP="004E2B5B">
      <w:pPr>
        <w:jc w:val="both"/>
        <w:rPr>
          <w:rFonts w:ascii="Montserrat" w:hAnsi="Montserrat"/>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521"/>
      </w:tblGrid>
      <w:tr w:rsidR="004E2B5B" w:rsidRPr="00D6728E" w14:paraId="3AEC8288" w14:textId="77777777" w:rsidTr="00532745">
        <w:trPr>
          <w:trHeight w:val="69"/>
          <w:jc w:val="center"/>
        </w:trPr>
        <w:tc>
          <w:tcPr>
            <w:tcW w:w="0" w:type="auto"/>
            <w:vAlign w:val="center"/>
          </w:tcPr>
          <w:p w14:paraId="65F59ACD" w14:textId="77777777" w:rsidR="004E2B5B" w:rsidRPr="00D6728E" w:rsidRDefault="004E2B5B" w:rsidP="00532745">
            <w:pPr>
              <w:rPr>
                <w:rFonts w:ascii="Montserrat" w:hAnsi="Montserrat"/>
                <w:sz w:val="22"/>
                <w:szCs w:val="22"/>
              </w:rPr>
            </w:pPr>
            <m:oMathPara>
              <m:oMath>
                <m:r>
                  <w:rPr>
                    <w:rFonts w:ascii="Cambria Math" w:hAnsi="Cambria Math"/>
                    <w:color w:val="000000" w:themeColor="text1"/>
                    <w:sz w:val="22"/>
                    <w:szCs w:val="22"/>
                  </w:rPr>
                  <m:t>CIPS=</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-1</m:t>
                    </m:r>
                  </m:sup>
                </m:sSup>
                <m:nary>
                  <m:naryPr>
                    <m:chr m:val="∑"/>
                    <m:limLoc m:val="undOvr"/>
                    <m:ctrlPr>
                      <w:rPr>
                        <w:rFonts w:ascii="Cambria Math" w:hAnsi="Cambria Math"/>
                        <w:i/>
                        <w:color w:val="000000" w:themeColor="text1"/>
                        <w:sz w:val="22"/>
                        <w:szCs w:val="22"/>
                      </w:rPr>
                    </m:ctrlPr>
                  </m:naryPr>
                  <m:sub>
                    <m:r>
                      <w:rPr>
                        <w:rFonts w:ascii="Cambria Math" w:hAnsi="Cambria Math"/>
                        <w:color w:val="000000" w:themeColor="text1"/>
                        <w:sz w:val="22"/>
                        <w:szCs w:val="22"/>
                      </w:rPr>
                      <m:t>i=1</m:t>
                    </m:r>
                  </m:sub>
                  <m:sup>
                    <m:r>
                      <w:rPr>
                        <w:rFonts w:ascii="Cambria Math" w:hAnsi="Cambria Math"/>
                        <w:color w:val="000000" w:themeColor="text1"/>
                        <w:sz w:val="22"/>
                        <w:szCs w:val="22"/>
                      </w:rPr>
                      <m:t>N</m:t>
                    </m:r>
                  </m:sup>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i</m:t>
                        </m:r>
                      </m:sub>
                    </m:sSub>
                  </m:e>
                </m:nary>
              </m:oMath>
            </m:oMathPara>
          </w:p>
        </w:tc>
        <w:tc>
          <w:tcPr>
            <w:tcW w:w="1521" w:type="dxa"/>
            <w:vAlign w:val="center"/>
          </w:tcPr>
          <w:p w14:paraId="1A4096F9" w14:textId="77777777" w:rsidR="004E2B5B" w:rsidRPr="00D6728E" w:rsidRDefault="004E2B5B" w:rsidP="00C859FF">
            <w:pPr>
              <w:pStyle w:val="ListParagraph"/>
              <w:numPr>
                <w:ilvl w:val="0"/>
                <w:numId w:val="34"/>
              </w:numPr>
              <w:spacing w:after="0" w:line="240" w:lineRule="auto"/>
              <w:jc w:val="center"/>
              <w:rPr>
                <w:rFonts w:ascii="Montserrat" w:hAnsi="Montserrat" w:cs="Segoe UI"/>
              </w:rPr>
            </w:pPr>
          </w:p>
        </w:tc>
      </w:tr>
    </w:tbl>
    <w:p w14:paraId="1E587E77" w14:textId="77777777" w:rsidR="004E2B5B" w:rsidRPr="00D6728E" w:rsidRDefault="004E2B5B" w:rsidP="004E2B5B">
      <w:pPr>
        <w:jc w:val="center"/>
        <w:rPr>
          <w:rFonts w:ascii="Montserrat" w:hAnsi="Montserrat"/>
          <w:sz w:val="22"/>
          <w:szCs w:val="22"/>
        </w:rPr>
      </w:pPr>
    </w:p>
    <w:p w14:paraId="43F853A7" w14:textId="5C6E4A52" w:rsidR="004E2B5B" w:rsidRPr="002C09D6" w:rsidRDefault="004E2B5B" w:rsidP="004E2B5B">
      <w:pPr>
        <w:ind w:right="-46"/>
        <w:jc w:val="both"/>
        <w:rPr>
          <w:rFonts w:ascii="Times New Roman" w:hAnsi="Times New Roman" w:cs="Times New Roman"/>
          <w:sz w:val="24"/>
          <w:szCs w:val="24"/>
        </w:rPr>
      </w:pPr>
      <w:r w:rsidRPr="002C09D6">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Pr="002C09D6">
        <w:rPr>
          <w:rFonts w:ascii="Times New Roman" w:hAnsi="Times New Roman" w:cs="Times New Roman"/>
          <w:sz w:val="24"/>
          <w:szCs w:val="24"/>
        </w:rPr>
        <w:t xml:space="preserve"> is the ADF statistic based on the regression t-statistic for testing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=0</m:t>
        </m:r>
      </m:oMath>
      <w:r w:rsidRPr="002C09D6">
        <w:rPr>
          <w:rFonts w:ascii="Times New Roman" w:hAnsi="Times New Roman" w:cs="Times New Roman"/>
          <w:sz w:val="24"/>
          <w:szCs w:val="24"/>
        </w:rPr>
        <w:t xml:space="preserve"> in </w:t>
      </w:r>
      <w:r w:rsidR="008F0C51">
        <w:rPr>
          <w:rFonts w:ascii="Times New Roman" w:hAnsi="Times New Roman" w:cs="Times New Roman"/>
          <w:sz w:val="24"/>
          <w:szCs w:val="24"/>
        </w:rPr>
        <w:t>e</w:t>
      </w:r>
      <w:r w:rsidRPr="008F0C51">
        <w:rPr>
          <w:rFonts w:ascii="Times New Roman" w:hAnsi="Times New Roman" w:cs="Times New Roman"/>
          <w:sz w:val="24"/>
          <w:szCs w:val="24"/>
        </w:rPr>
        <w:t xml:space="preserve">quation </w:t>
      </w:r>
      <w:r w:rsidR="008F0C51">
        <w:rPr>
          <w:rFonts w:ascii="Times New Roman" w:hAnsi="Times New Roman" w:cs="Times New Roman"/>
          <w:sz w:val="24"/>
          <w:szCs w:val="24"/>
        </w:rPr>
        <w:t>(</w:t>
      </w:r>
      <w:r w:rsidRPr="008F0C51">
        <w:rPr>
          <w:rFonts w:ascii="Times New Roman" w:hAnsi="Times New Roman" w:cs="Times New Roman"/>
          <w:sz w:val="24"/>
          <w:szCs w:val="24"/>
        </w:rPr>
        <w:t>7</w:t>
      </w:r>
      <w:r w:rsidR="008F0C51">
        <w:rPr>
          <w:rFonts w:ascii="Times New Roman" w:hAnsi="Times New Roman" w:cs="Times New Roman"/>
          <w:sz w:val="24"/>
          <w:szCs w:val="24"/>
        </w:rPr>
        <w:t>)</w:t>
      </w:r>
      <w:r w:rsidRPr="002C09D6">
        <w:rPr>
          <w:rFonts w:ascii="Times New Roman" w:hAnsi="Times New Roman" w:cs="Times New Roman"/>
          <w:sz w:val="24"/>
          <w:szCs w:val="24"/>
        </w:rPr>
        <w:t xml:space="preserve">. The CIPS statistic tests the joint null hypothesis of a unit root against the alternative of at least one stationary series in the panel. </w:t>
      </w:r>
    </w:p>
    <w:p w14:paraId="28ADFEE4" w14:textId="77777777" w:rsidR="004E2B5B" w:rsidRPr="002C09D6" w:rsidRDefault="004E2B5B" w:rsidP="004E2B5B">
      <w:pPr>
        <w:jc w:val="both"/>
        <w:rPr>
          <w:rFonts w:ascii="Times New Roman" w:hAnsi="Times New Roman" w:cs="Times New Roman"/>
          <w:sz w:val="24"/>
          <w:szCs w:val="24"/>
        </w:rPr>
      </w:pPr>
    </w:p>
    <w:p w14:paraId="361846C6" w14:textId="79B9E512" w:rsidR="004E2B5B" w:rsidRPr="002C09D6" w:rsidRDefault="004E2B5B" w:rsidP="004E2B5B">
      <w:pPr>
        <w:ind w:firstLine="357"/>
        <w:jc w:val="both"/>
        <w:rPr>
          <w:rFonts w:ascii="Times New Roman" w:hAnsi="Times New Roman" w:cs="Times New Roman"/>
          <w:sz w:val="24"/>
          <w:szCs w:val="24"/>
        </w:rPr>
      </w:pPr>
      <w:r w:rsidRPr="002C09D6">
        <w:rPr>
          <w:rFonts w:ascii="Times New Roman" w:hAnsi="Times New Roman" w:cs="Times New Roman"/>
          <w:sz w:val="24"/>
          <w:szCs w:val="24"/>
        </w:rPr>
        <w:t xml:space="preserve">For comparison, we also implemented the </w:t>
      </w:r>
      <w:proofErr w:type="spellStart"/>
      <w:r w:rsidRPr="002C09D6">
        <w:rPr>
          <w:rFonts w:ascii="Times New Roman" w:hAnsi="Times New Roman" w:cs="Times New Roman"/>
          <w:sz w:val="24"/>
          <w:szCs w:val="24"/>
        </w:rPr>
        <w:t>Im</w:t>
      </w:r>
      <w:proofErr w:type="spellEnd"/>
      <w:r w:rsidRPr="002C09D6">
        <w:rPr>
          <w:rFonts w:ascii="Times New Roman" w:hAnsi="Times New Roman" w:cs="Times New Roman"/>
          <w:sz w:val="24"/>
          <w:szCs w:val="24"/>
        </w:rPr>
        <w:t>–</w:t>
      </w:r>
      <w:proofErr w:type="spellStart"/>
      <w:r w:rsidRPr="002C09D6">
        <w:rPr>
          <w:rFonts w:ascii="Times New Roman" w:hAnsi="Times New Roman" w:cs="Times New Roman"/>
          <w:sz w:val="24"/>
          <w:szCs w:val="24"/>
        </w:rPr>
        <w:t>Pesaran</w:t>
      </w:r>
      <w:proofErr w:type="spellEnd"/>
      <w:r w:rsidRPr="002C09D6">
        <w:rPr>
          <w:rFonts w:ascii="Times New Roman" w:hAnsi="Times New Roman" w:cs="Times New Roman"/>
          <w:sz w:val="24"/>
          <w:szCs w:val="24"/>
        </w:rPr>
        <w:t>–Shin</w:t>
      </w:r>
      <w:r w:rsidR="007A36B6" w:rsidRPr="002C09D6">
        <w:rPr>
          <w:rFonts w:ascii="Times New Roman" w:hAnsi="Times New Roman" w:cs="Times New Roman"/>
          <w:sz w:val="24"/>
          <w:szCs w:val="24"/>
        </w:rPr>
        <w:t xml:space="preserve"> (IPS)</w:t>
      </w:r>
      <w:r w:rsidRPr="002C09D6">
        <w:rPr>
          <w:rFonts w:ascii="Times New Roman" w:hAnsi="Times New Roman" w:cs="Times New Roman"/>
          <w:sz w:val="24"/>
          <w:szCs w:val="24"/>
        </w:rPr>
        <w:t xml:space="preserve"> panel unit root test (</w:t>
      </w:r>
      <w:proofErr w:type="spellStart"/>
      <w:r w:rsidRPr="002C09D6">
        <w:rPr>
          <w:rFonts w:ascii="Times New Roman" w:hAnsi="Times New Roman" w:cs="Times New Roman"/>
          <w:sz w:val="24"/>
          <w:szCs w:val="24"/>
        </w:rPr>
        <w:t>Im</w:t>
      </w:r>
      <w:proofErr w:type="spellEnd"/>
      <w:r w:rsidRPr="002C09D6">
        <w:rPr>
          <w:rFonts w:ascii="Times New Roman" w:hAnsi="Times New Roman" w:cs="Times New Roman"/>
          <w:sz w:val="24"/>
          <w:szCs w:val="24"/>
        </w:rPr>
        <w:t xml:space="preserve"> et al., 2003) and the general diagnostic test for cross-sectional dependence (CD) in panels, known as the CD statistic (</w:t>
      </w:r>
      <w:proofErr w:type="spellStart"/>
      <w:r w:rsidRPr="002C09D6">
        <w:rPr>
          <w:rFonts w:ascii="Times New Roman" w:hAnsi="Times New Roman" w:cs="Times New Roman"/>
          <w:sz w:val="24"/>
          <w:szCs w:val="24"/>
        </w:rPr>
        <w:t>Pesaran</w:t>
      </w:r>
      <w:proofErr w:type="spellEnd"/>
      <w:r w:rsidRPr="002C09D6">
        <w:rPr>
          <w:rFonts w:ascii="Times New Roman" w:hAnsi="Times New Roman" w:cs="Times New Roman"/>
          <w:sz w:val="24"/>
          <w:szCs w:val="24"/>
        </w:rPr>
        <w:t>, 2021).</w:t>
      </w:r>
    </w:p>
    <w:p w14:paraId="5C5FDA84" w14:textId="77777777" w:rsidR="004E2B5B" w:rsidRPr="002C09D6" w:rsidRDefault="004E2B5B" w:rsidP="004E2B5B">
      <w:pPr>
        <w:ind w:firstLine="357"/>
        <w:jc w:val="both"/>
        <w:rPr>
          <w:rFonts w:ascii="Times New Roman" w:hAnsi="Times New Roman" w:cs="Times New Roman"/>
          <w:sz w:val="24"/>
          <w:szCs w:val="24"/>
        </w:rPr>
      </w:pPr>
    </w:p>
    <w:p w14:paraId="644EE9D2" w14:textId="77777777" w:rsidR="004E2B5B" w:rsidRPr="002C09D6" w:rsidRDefault="004E2B5B" w:rsidP="004E2B5B">
      <w:pPr>
        <w:ind w:firstLine="357"/>
        <w:jc w:val="both"/>
        <w:rPr>
          <w:rFonts w:ascii="Times New Roman" w:hAnsi="Times New Roman" w:cs="Times New Roman"/>
          <w:sz w:val="24"/>
          <w:szCs w:val="24"/>
        </w:rPr>
      </w:pPr>
      <w:r w:rsidRPr="002C09D6">
        <w:rPr>
          <w:rFonts w:ascii="Times New Roman" w:hAnsi="Times New Roman" w:cs="Times New Roman"/>
          <w:sz w:val="24"/>
          <w:szCs w:val="24"/>
        </w:rPr>
        <w:t xml:space="preserve">The results of the IPS, CD, and CIPS tests are reported in </w:t>
      </w:r>
      <w:r w:rsidRPr="00CB0421">
        <w:rPr>
          <w:rFonts w:ascii="Times New Roman" w:hAnsi="Times New Roman" w:cs="Times New Roman"/>
          <w:sz w:val="24"/>
          <w:szCs w:val="24"/>
        </w:rPr>
        <w:t>Table 4</w:t>
      </w:r>
      <w:r w:rsidRPr="002C09D6">
        <w:rPr>
          <w:rFonts w:ascii="Times New Roman" w:hAnsi="Times New Roman" w:cs="Times New Roman"/>
          <w:sz w:val="24"/>
          <w:szCs w:val="24"/>
        </w:rPr>
        <w:t xml:space="preserve">. The IPS test rejects the joint null hypothesis of a unit root, suggesting that the panel of provincial-national inflation differential can be treated as stationary. The CD and CIPS tests similarly reject the null hypothesis of joint non-stationarity in favor of the alternative. These findings support the convergence of prices across provinces. </w:t>
      </w:r>
    </w:p>
    <w:p w14:paraId="426CFE65" w14:textId="77777777" w:rsidR="004E2B5B" w:rsidRPr="00D6728E" w:rsidRDefault="004E2B5B" w:rsidP="004E2B5B">
      <w:pPr>
        <w:ind w:firstLine="720"/>
        <w:jc w:val="both"/>
        <w:rPr>
          <w:rFonts w:ascii="Montserrat" w:hAnsi="Montserrat"/>
          <w:sz w:val="22"/>
          <w:szCs w:val="22"/>
        </w:rPr>
      </w:pPr>
    </w:p>
    <w:p w14:paraId="6A68521D" w14:textId="5D9E7F22" w:rsidR="004E2B5B" w:rsidRPr="003A4B12" w:rsidRDefault="004E2B5B" w:rsidP="004E2B5B">
      <w:pPr>
        <w:spacing w:line="260" w:lineRule="auto"/>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t>Table 4</w:t>
      </w:r>
      <w:r w:rsidR="00CB0421">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Panel </w:t>
      </w:r>
      <w:r w:rsidR="00CB0421">
        <w:rPr>
          <w:rFonts w:ascii="Times New Roman" w:eastAsia="Arial" w:hAnsi="Times New Roman" w:cs="Times New Roman"/>
          <w:b/>
          <w:bCs/>
          <w:sz w:val="24"/>
          <w:szCs w:val="24"/>
        </w:rPr>
        <w:t>c</w:t>
      </w:r>
      <w:r w:rsidRPr="003A4B12">
        <w:rPr>
          <w:rFonts w:ascii="Times New Roman" w:eastAsia="Arial" w:hAnsi="Times New Roman" w:cs="Times New Roman"/>
          <w:b/>
          <w:bCs/>
          <w:sz w:val="24"/>
          <w:szCs w:val="24"/>
        </w:rPr>
        <w:t xml:space="preserve">onvergence </w:t>
      </w:r>
      <w:r w:rsidR="00CB0421">
        <w:rPr>
          <w:rFonts w:ascii="Times New Roman" w:eastAsia="Arial" w:hAnsi="Times New Roman" w:cs="Times New Roman"/>
          <w:b/>
          <w:bCs/>
          <w:sz w:val="24"/>
          <w:szCs w:val="24"/>
        </w:rPr>
        <w:t>t</w:t>
      </w:r>
      <w:r w:rsidRPr="003A4B12">
        <w:rPr>
          <w:rFonts w:ascii="Times New Roman" w:eastAsia="Arial" w:hAnsi="Times New Roman" w:cs="Times New Roman"/>
          <w:b/>
          <w:bCs/>
          <w:sz w:val="24"/>
          <w:szCs w:val="24"/>
        </w:rPr>
        <w:t>est</w:t>
      </w:r>
    </w:p>
    <w:p w14:paraId="3F23122E" w14:textId="77777777" w:rsidR="004E2B5B" w:rsidRPr="007215A6" w:rsidRDefault="004E2B5B" w:rsidP="004E2B5B">
      <w:pPr>
        <w:spacing w:line="260" w:lineRule="auto"/>
        <w:jc w:val="center"/>
        <w:rPr>
          <w:rFonts w:ascii="Times New Roman" w:eastAsia="Arial" w:hAnsi="Times New Roman" w:cs="Times New Roman"/>
          <w:b/>
          <w:bCs/>
          <w:sz w:val="22"/>
          <w:szCs w:val="22"/>
        </w:rPr>
      </w:pPr>
    </w:p>
    <w:tbl>
      <w:tblPr>
        <w:tblW w:w="8789" w:type="dxa"/>
        <w:tblLook w:val="04A0" w:firstRow="1" w:lastRow="0" w:firstColumn="1" w:lastColumn="0" w:noHBand="0" w:noVBand="1"/>
      </w:tblPr>
      <w:tblGrid>
        <w:gridCol w:w="3969"/>
        <w:gridCol w:w="2268"/>
        <w:gridCol w:w="2552"/>
      </w:tblGrid>
      <w:tr w:rsidR="004E2B5B" w:rsidRPr="007215A6" w14:paraId="0443C974" w14:textId="77777777" w:rsidTr="00532745">
        <w:trPr>
          <w:trHeight w:val="315"/>
        </w:trPr>
        <w:tc>
          <w:tcPr>
            <w:tcW w:w="3969" w:type="dxa"/>
            <w:tcBorders>
              <w:top w:val="single" w:sz="4" w:space="0" w:color="auto"/>
              <w:left w:val="nil"/>
              <w:bottom w:val="single" w:sz="4" w:space="0" w:color="auto"/>
              <w:right w:val="nil"/>
            </w:tcBorders>
            <w:shd w:val="clear" w:color="auto" w:fill="auto"/>
            <w:noWrap/>
            <w:tcMar>
              <w:top w:w="28" w:type="dxa"/>
              <w:bottom w:w="28" w:type="dxa"/>
            </w:tcMar>
            <w:vAlign w:val="center"/>
            <w:hideMark/>
          </w:tcPr>
          <w:p w14:paraId="3F7D3AEA" w14:textId="77777777" w:rsidR="004E2B5B" w:rsidRPr="007215A6" w:rsidRDefault="004E2B5B" w:rsidP="00532745">
            <w:pPr>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Panel unit root tests</w:t>
            </w:r>
          </w:p>
        </w:tc>
        <w:tc>
          <w:tcPr>
            <w:tcW w:w="2268" w:type="dxa"/>
            <w:tcBorders>
              <w:top w:val="single" w:sz="4" w:space="0" w:color="auto"/>
              <w:left w:val="nil"/>
              <w:bottom w:val="single" w:sz="4" w:space="0" w:color="auto"/>
              <w:right w:val="nil"/>
            </w:tcBorders>
            <w:shd w:val="clear" w:color="auto" w:fill="auto"/>
            <w:noWrap/>
            <w:tcMar>
              <w:top w:w="28" w:type="dxa"/>
              <w:bottom w:w="28" w:type="dxa"/>
            </w:tcMar>
            <w:vAlign w:val="center"/>
            <w:hideMark/>
          </w:tcPr>
          <w:p w14:paraId="4249F26F" w14:textId="77777777" w:rsidR="004E2B5B" w:rsidRPr="007215A6" w:rsidRDefault="004E2B5B" w:rsidP="00532745">
            <w:pPr>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Test statistic</w:t>
            </w:r>
          </w:p>
        </w:tc>
        <w:tc>
          <w:tcPr>
            <w:tcW w:w="2552" w:type="dxa"/>
            <w:tcBorders>
              <w:top w:val="single" w:sz="4" w:space="0" w:color="auto"/>
              <w:left w:val="nil"/>
              <w:bottom w:val="single" w:sz="4" w:space="0" w:color="auto"/>
              <w:right w:val="nil"/>
            </w:tcBorders>
            <w:shd w:val="clear" w:color="auto" w:fill="auto"/>
            <w:noWrap/>
            <w:tcMar>
              <w:top w:w="28" w:type="dxa"/>
              <w:bottom w:w="28" w:type="dxa"/>
            </w:tcMar>
            <w:vAlign w:val="center"/>
            <w:hideMark/>
          </w:tcPr>
          <w:p w14:paraId="29E6547B" w14:textId="3B75F211" w:rsidR="004E2B5B" w:rsidRPr="007215A6" w:rsidRDefault="004E2B5B" w:rsidP="00532745">
            <w:pPr>
              <w:jc w:val="center"/>
              <w:rPr>
                <w:rFonts w:ascii="Times New Roman" w:hAnsi="Times New Roman" w:cs="Times New Roman"/>
                <w:b/>
                <w:bCs/>
                <w:color w:val="000000"/>
                <w:sz w:val="22"/>
                <w:szCs w:val="22"/>
              </w:rPr>
            </w:pPr>
            <w:r w:rsidRPr="007215A6">
              <w:rPr>
                <w:rFonts w:ascii="Times New Roman" w:hAnsi="Times New Roman" w:cs="Times New Roman"/>
                <w:b/>
                <w:bCs/>
                <w:i/>
                <w:iCs/>
                <w:color w:val="000000"/>
                <w:sz w:val="22"/>
                <w:szCs w:val="22"/>
              </w:rPr>
              <w:t>p</w:t>
            </w:r>
            <w:r w:rsidR="00927E1B" w:rsidRPr="007215A6">
              <w:rPr>
                <w:rFonts w:ascii="Times New Roman" w:hAnsi="Times New Roman" w:cs="Times New Roman"/>
                <w:b/>
                <w:bCs/>
                <w:color w:val="000000"/>
                <w:sz w:val="22"/>
                <w:szCs w:val="22"/>
              </w:rPr>
              <w:t>-</w:t>
            </w:r>
            <w:r w:rsidRPr="007215A6">
              <w:rPr>
                <w:rFonts w:ascii="Times New Roman" w:hAnsi="Times New Roman" w:cs="Times New Roman"/>
                <w:b/>
                <w:bCs/>
                <w:color w:val="000000"/>
                <w:sz w:val="22"/>
                <w:szCs w:val="22"/>
              </w:rPr>
              <w:t>value</w:t>
            </w:r>
          </w:p>
        </w:tc>
      </w:tr>
      <w:tr w:rsidR="004E2B5B" w:rsidRPr="007215A6" w14:paraId="36F5B3F8" w14:textId="77777777" w:rsidTr="00532745">
        <w:trPr>
          <w:trHeight w:val="315"/>
        </w:trPr>
        <w:tc>
          <w:tcPr>
            <w:tcW w:w="3969" w:type="dxa"/>
            <w:tcBorders>
              <w:top w:val="single" w:sz="4" w:space="0" w:color="auto"/>
              <w:left w:val="nil"/>
              <w:bottom w:val="nil"/>
              <w:right w:val="nil"/>
            </w:tcBorders>
            <w:shd w:val="clear" w:color="auto" w:fill="auto"/>
            <w:noWrap/>
            <w:tcMar>
              <w:top w:w="28" w:type="dxa"/>
              <w:bottom w:w="28" w:type="dxa"/>
            </w:tcMar>
            <w:vAlign w:val="center"/>
            <w:hideMark/>
          </w:tcPr>
          <w:p w14:paraId="379427A8" w14:textId="77777777" w:rsidR="004E2B5B" w:rsidRPr="007215A6" w:rsidRDefault="004E2B5B" w:rsidP="00532745">
            <w:pPr>
              <w:rPr>
                <w:rFonts w:ascii="Times New Roman" w:hAnsi="Times New Roman" w:cs="Times New Roman"/>
                <w:color w:val="000000"/>
                <w:sz w:val="22"/>
                <w:szCs w:val="22"/>
              </w:rPr>
            </w:pPr>
            <w:r w:rsidRPr="007215A6">
              <w:rPr>
                <w:rFonts w:ascii="Times New Roman" w:hAnsi="Times New Roman" w:cs="Times New Roman"/>
                <w:color w:val="000000"/>
                <w:sz w:val="22"/>
                <w:szCs w:val="22"/>
              </w:rPr>
              <w:t>IPS test (</w:t>
            </w:r>
            <w:proofErr w:type="spellStart"/>
            <w:r w:rsidRPr="007215A6">
              <w:rPr>
                <w:rFonts w:ascii="Times New Roman" w:hAnsi="Times New Roman" w:cs="Times New Roman"/>
                <w:color w:val="000000"/>
                <w:sz w:val="22"/>
                <w:szCs w:val="22"/>
              </w:rPr>
              <w:t>Im</w:t>
            </w:r>
            <w:proofErr w:type="spellEnd"/>
            <w:r w:rsidRPr="007215A6">
              <w:rPr>
                <w:rFonts w:ascii="Times New Roman" w:hAnsi="Times New Roman" w:cs="Times New Roman"/>
                <w:color w:val="000000"/>
                <w:sz w:val="22"/>
                <w:szCs w:val="22"/>
              </w:rPr>
              <w:t xml:space="preserve">, </w:t>
            </w:r>
            <w:proofErr w:type="spellStart"/>
            <w:r w:rsidRPr="007215A6">
              <w:rPr>
                <w:rFonts w:ascii="Times New Roman" w:hAnsi="Times New Roman" w:cs="Times New Roman"/>
                <w:color w:val="000000"/>
                <w:sz w:val="22"/>
                <w:szCs w:val="22"/>
              </w:rPr>
              <w:t>Pesaran</w:t>
            </w:r>
            <w:proofErr w:type="spellEnd"/>
            <w:r w:rsidRPr="007215A6">
              <w:rPr>
                <w:rFonts w:ascii="Times New Roman" w:hAnsi="Times New Roman" w:cs="Times New Roman"/>
                <w:color w:val="000000"/>
                <w:sz w:val="22"/>
                <w:szCs w:val="22"/>
              </w:rPr>
              <w:t xml:space="preserve"> &amp; Shin, 2003)</w:t>
            </w:r>
          </w:p>
        </w:tc>
        <w:tc>
          <w:tcPr>
            <w:tcW w:w="2268" w:type="dxa"/>
            <w:tcBorders>
              <w:top w:val="single" w:sz="4" w:space="0" w:color="auto"/>
              <w:left w:val="nil"/>
              <w:bottom w:val="nil"/>
              <w:right w:val="nil"/>
            </w:tcBorders>
            <w:shd w:val="clear" w:color="auto" w:fill="auto"/>
            <w:noWrap/>
            <w:tcMar>
              <w:top w:w="28" w:type="dxa"/>
              <w:bottom w:w="28" w:type="dxa"/>
            </w:tcMar>
            <w:vAlign w:val="center"/>
            <w:hideMark/>
          </w:tcPr>
          <w:p w14:paraId="49C21A91" w14:textId="77777777" w:rsidR="004E2B5B" w:rsidRPr="007215A6" w:rsidRDefault="004E2B5B" w:rsidP="00532745">
            <w:pPr>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-31.47</w:t>
            </w:r>
          </w:p>
        </w:tc>
        <w:tc>
          <w:tcPr>
            <w:tcW w:w="2552" w:type="dxa"/>
            <w:tcBorders>
              <w:top w:val="single" w:sz="4" w:space="0" w:color="auto"/>
              <w:left w:val="nil"/>
              <w:bottom w:val="nil"/>
              <w:right w:val="nil"/>
            </w:tcBorders>
            <w:shd w:val="clear" w:color="auto" w:fill="auto"/>
            <w:noWrap/>
            <w:tcMar>
              <w:top w:w="28" w:type="dxa"/>
              <w:bottom w:w="28" w:type="dxa"/>
            </w:tcMar>
            <w:vAlign w:val="center"/>
            <w:hideMark/>
          </w:tcPr>
          <w:p w14:paraId="368211E8" w14:textId="77777777" w:rsidR="004E2B5B" w:rsidRPr="007215A6" w:rsidRDefault="004E2B5B" w:rsidP="00532745">
            <w:pPr>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(0.000)</w:t>
            </w:r>
          </w:p>
        </w:tc>
      </w:tr>
      <w:tr w:rsidR="004E2B5B" w:rsidRPr="007215A6" w14:paraId="3EF4A710" w14:textId="77777777" w:rsidTr="00532745">
        <w:trPr>
          <w:trHeight w:val="315"/>
        </w:trPr>
        <w:tc>
          <w:tcPr>
            <w:tcW w:w="3969" w:type="dxa"/>
            <w:tcBorders>
              <w:top w:val="nil"/>
              <w:left w:val="nil"/>
              <w:bottom w:val="nil"/>
              <w:right w:val="nil"/>
            </w:tcBorders>
            <w:shd w:val="clear" w:color="auto" w:fill="auto"/>
            <w:noWrap/>
            <w:tcMar>
              <w:top w:w="28" w:type="dxa"/>
              <w:bottom w:w="28" w:type="dxa"/>
            </w:tcMar>
            <w:vAlign w:val="center"/>
            <w:hideMark/>
          </w:tcPr>
          <w:p w14:paraId="0B05FDE6" w14:textId="77777777" w:rsidR="004E2B5B" w:rsidRPr="007215A6" w:rsidRDefault="004E2B5B" w:rsidP="00532745">
            <w:pPr>
              <w:rPr>
                <w:rFonts w:ascii="Times New Roman" w:hAnsi="Times New Roman" w:cs="Times New Roman"/>
                <w:color w:val="000000"/>
                <w:sz w:val="22"/>
                <w:szCs w:val="22"/>
              </w:rPr>
            </w:pPr>
            <w:r w:rsidRPr="007215A6">
              <w:rPr>
                <w:rFonts w:ascii="Times New Roman" w:hAnsi="Times New Roman" w:cs="Times New Roman"/>
                <w:color w:val="000000"/>
                <w:sz w:val="22"/>
                <w:szCs w:val="22"/>
              </w:rPr>
              <w:t>CD test (</w:t>
            </w:r>
            <w:proofErr w:type="spellStart"/>
            <w:r w:rsidRPr="007215A6">
              <w:rPr>
                <w:rFonts w:ascii="Times New Roman" w:hAnsi="Times New Roman" w:cs="Times New Roman"/>
                <w:color w:val="000000"/>
                <w:sz w:val="22"/>
                <w:szCs w:val="22"/>
              </w:rPr>
              <w:t>Pesaran</w:t>
            </w:r>
            <w:proofErr w:type="spellEnd"/>
            <w:r w:rsidRPr="007215A6">
              <w:rPr>
                <w:rFonts w:ascii="Times New Roman" w:hAnsi="Times New Roman" w:cs="Times New Roman"/>
                <w:color w:val="000000"/>
                <w:sz w:val="22"/>
                <w:szCs w:val="22"/>
              </w:rPr>
              <w:t>, 2021)</w:t>
            </w:r>
          </w:p>
        </w:tc>
        <w:tc>
          <w:tcPr>
            <w:tcW w:w="2268" w:type="dxa"/>
            <w:tcBorders>
              <w:top w:val="nil"/>
              <w:left w:val="nil"/>
              <w:bottom w:val="nil"/>
              <w:right w:val="nil"/>
            </w:tcBorders>
            <w:shd w:val="clear" w:color="auto" w:fill="auto"/>
            <w:noWrap/>
            <w:tcMar>
              <w:top w:w="28" w:type="dxa"/>
              <w:bottom w:w="28" w:type="dxa"/>
            </w:tcMar>
            <w:vAlign w:val="center"/>
            <w:hideMark/>
          </w:tcPr>
          <w:p w14:paraId="7FEA1AFF" w14:textId="77777777" w:rsidR="004E2B5B" w:rsidRPr="007215A6" w:rsidRDefault="004E2B5B" w:rsidP="00532745">
            <w:pPr>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23.25</w:t>
            </w:r>
          </w:p>
        </w:tc>
        <w:tc>
          <w:tcPr>
            <w:tcW w:w="2552" w:type="dxa"/>
            <w:tcBorders>
              <w:top w:val="nil"/>
              <w:left w:val="nil"/>
              <w:bottom w:val="nil"/>
              <w:right w:val="nil"/>
            </w:tcBorders>
            <w:shd w:val="clear" w:color="auto" w:fill="auto"/>
            <w:noWrap/>
            <w:tcMar>
              <w:top w:w="28" w:type="dxa"/>
              <w:bottom w:w="28" w:type="dxa"/>
            </w:tcMar>
            <w:vAlign w:val="center"/>
            <w:hideMark/>
          </w:tcPr>
          <w:p w14:paraId="531A9C8D" w14:textId="77777777" w:rsidR="004E2B5B" w:rsidRPr="007215A6" w:rsidRDefault="004E2B5B" w:rsidP="00532745">
            <w:pPr>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(0.000)</w:t>
            </w:r>
          </w:p>
        </w:tc>
      </w:tr>
      <w:tr w:rsidR="004E2B5B" w:rsidRPr="007215A6" w14:paraId="5F4822C2" w14:textId="77777777" w:rsidTr="00532745">
        <w:trPr>
          <w:trHeight w:val="315"/>
        </w:trPr>
        <w:tc>
          <w:tcPr>
            <w:tcW w:w="3969" w:type="dxa"/>
            <w:tcBorders>
              <w:top w:val="nil"/>
              <w:left w:val="nil"/>
              <w:bottom w:val="single" w:sz="4" w:space="0" w:color="auto"/>
              <w:right w:val="nil"/>
            </w:tcBorders>
            <w:shd w:val="clear" w:color="auto" w:fill="auto"/>
            <w:noWrap/>
            <w:tcMar>
              <w:top w:w="28" w:type="dxa"/>
              <w:bottom w:w="28" w:type="dxa"/>
            </w:tcMar>
            <w:vAlign w:val="center"/>
            <w:hideMark/>
          </w:tcPr>
          <w:p w14:paraId="4AB9E27C" w14:textId="77777777" w:rsidR="004E2B5B" w:rsidRPr="007215A6" w:rsidRDefault="004E2B5B" w:rsidP="00532745">
            <w:pPr>
              <w:rPr>
                <w:rFonts w:ascii="Times New Roman" w:hAnsi="Times New Roman" w:cs="Times New Roman"/>
                <w:color w:val="000000"/>
                <w:sz w:val="22"/>
                <w:szCs w:val="22"/>
              </w:rPr>
            </w:pPr>
            <w:r w:rsidRPr="007215A6">
              <w:rPr>
                <w:rFonts w:ascii="Times New Roman" w:hAnsi="Times New Roman" w:cs="Times New Roman"/>
                <w:color w:val="000000"/>
                <w:sz w:val="22"/>
                <w:szCs w:val="22"/>
              </w:rPr>
              <w:t>CIPS test (</w:t>
            </w:r>
            <w:proofErr w:type="spellStart"/>
            <w:r w:rsidRPr="007215A6">
              <w:rPr>
                <w:rFonts w:ascii="Times New Roman" w:hAnsi="Times New Roman" w:cs="Times New Roman"/>
                <w:color w:val="000000"/>
                <w:sz w:val="22"/>
                <w:szCs w:val="22"/>
              </w:rPr>
              <w:t>Pesaran</w:t>
            </w:r>
            <w:proofErr w:type="spellEnd"/>
            <w:r w:rsidRPr="007215A6">
              <w:rPr>
                <w:rFonts w:ascii="Times New Roman" w:hAnsi="Times New Roman" w:cs="Times New Roman"/>
                <w:color w:val="000000"/>
                <w:sz w:val="22"/>
                <w:szCs w:val="22"/>
              </w:rPr>
              <w:t>, 2007)</w:t>
            </w:r>
          </w:p>
        </w:tc>
        <w:tc>
          <w:tcPr>
            <w:tcW w:w="2268" w:type="dxa"/>
            <w:tcBorders>
              <w:top w:val="nil"/>
              <w:left w:val="nil"/>
              <w:bottom w:val="single" w:sz="4" w:space="0" w:color="auto"/>
              <w:right w:val="nil"/>
            </w:tcBorders>
            <w:shd w:val="clear" w:color="auto" w:fill="auto"/>
            <w:noWrap/>
            <w:tcMar>
              <w:top w:w="28" w:type="dxa"/>
              <w:bottom w:w="28" w:type="dxa"/>
            </w:tcMar>
            <w:vAlign w:val="center"/>
            <w:hideMark/>
          </w:tcPr>
          <w:p w14:paraId="5832886F" w14:textId="77777777" w:rsidR="004E2B5B" w:rsidRPr="007215A6" w:rsidRDefault="004E2B5B" w:rsidP="00532745">
            <w:pPr>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-4.47</w:t>
            </w:r>
          </w:p>
        </w:tc>
        <w:tc>
          <w:tcPr>
            <w:tcW w:w="2552" w:type="dxa"/>
            <w:tcBorders>
              <w:top w:val="nil"/>
              <w:left w:val="nil"/>
              <w:bottom w:val="single" w:sz="4" w:space="0" w:color="auto"/>
              <w:right w:val="nil"/>
            </w:tcBorders>
            <w:shd w:val="clear" w:color="auto" w:fill="auto"/>
            <w:noWrap/>
            <w:tcMar>
              <w:top w:w="28" w:type="dxa"/>
              <w:bottom w:w="28" w:type="dxa"/>
            </w:tcMar>
            <w:vAlign w:val="center"/>
            <w:hideMark/>
          </w:tcPr>
          <w:p w14:paraId="25A8FEEA" w14:textId="77777777" w:rsidR="004E2B5B" w:rsidRPr="007215A6" w:rsidRDefault="004E2B5B" w:rsidP="00532745">
            <w:pPr>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(0.000)</w:t>
            </w:r>
          </w:p>
        </w:tc>
      </w:tr>
    </w:tbl>
    <w:p w14:paraId="7770355B" w14:textId="62ACCCEF" w:rsidR="004E2B5B" w:rsidRPr="007215A6" w:rsidRDefault="000F681F" w:rsidP="004E2B5B">
      <w:pPr>
        <w:autoSpaceDE w:val="0"/>
        <w:autoSpaceDN w:val="0"/>
        <w:adjustRightInd w:val="0"/>
        <w:rPr>
          <w:rFonts w:ascii="Times New Roman" w:eastAsiaTheme="minorHAnsi" w:hAnsi="Times New Roman" w:cs="Times New Roman"/>
          <w:color w:val="131413"/>
        </w:rPr>
      </w:pPr>
      <w:r>
        <w:rPr>
          <w:rFonts w:ascii="Times New Roman" w:eastAsiaTheme="minorHAnsi" w:hAnsi="Times New Roman" w:cs="Times New Roman"/>
          <w:color w:val="131413"/>
        </w:rPr>
        <w:t xml:space="preserve">Notes: </w:t>
      </w:r>
      <w:r w:rsidR="004E2B5B" w:rsidRPr="007215A6">
        <w:rPr>
          <w:rFonts w:ascii="Times New Roman" w:eastAsiaTheme="minorHAnsi" w:hAnsi="Times New Roman" w:cs="Times New Roman"/>
          <w:color w:val="131413"/>
        </w:rPr>
        <w:t>Lag lengths are determined by the Akaike information criterion.</w:t>
      </w:r>
      <w:r>
        <w:rPr>
          <w:rFonts w:ascii="Times New Roman" w:eastAsiaTheme="minorHAnsi" w:hAnsi="Times New Roman" w:cs="Times New Roman"/>
          <w:color w:val="131413"/>
        </w:rPr>
        <w:t xml:space="preserve"> </w:t>
      </w:r>
      <w:r w:rsidR="004E2B5B" w:rsidRPr="007215A6">
        <w:rPr>
          <w:rFonts w:ascii="Times New Roman" w:eastAsiaTheme="minorHAnsi" w:hAnsi="Times New Roman" w:cs="Times New Roman"/>
          <w:color w:val="131413"/>
        </w:rPr>
        <w:t xml:space="preserve">Figures in parentheses are </w:t>
      </w:r>
      <w:r w:rsidR="004E2B5B" w:rsidRPr="007215A6">
        <w:rPr>
          <w:rFonts w:ascii="Times New Roman" w:eastAsiaTheme="minorHAnsi" w:hAnsi="Times New Roman" w:cs="Times New Roman"/>
          <w:i/>
          <w:iCs/>
          <w:color w:val="131413"/>
        </w:rPr>
        <w:t>p</w:t>
      </w:r>
      <w:r w:rsidR="004E2B5B" w:rsidRPr="007215A6">
        <w:rPr>
          <w:rFonts w:ascii="Times New Roman" w:eastAsiaTheme="minorHAnsi" w:hAnsi="Times New Roman" w:cs="Times New Roman"/>
          <w:color w:val="131413"/>
        </w:rPr>
        <w:t>-values.</w:t>
      </w:r>
    </w:p>
    <w:p w14:paraId="26BBD161" w14:textId="77777777" w:rsidR="004E2B5B" w:rsidRPr="00D6728E" w:rsidRDefault="004E2B5B" w:rsidP="004E2B5B">
      <w:pPr>
        <w:autoSpaceDE w:val="0"/>
        <w:autoSpaceDN w:val="0"/>
        <w:adjustRightInd w:val="0"/>
        <w:rPr>
          <w:rFonts w:ascii="Montserrat" w:eastAsiaTheme="minorHAnsi" w:hAnsi="Montserrat"/>
          <w:color w:val="131413"/>
          <w:sz w:val="16"/>
          <w:szCs w:val="16"/>
        </w:rPr>
      </w:pPr>
    </w:p>
    <w:p w14:paraId="588D7FB3" w14:textId="6AA66B17" w:rsidR="004E2B5B" w:rsidRPr="002C09D6" w:rsidRDefault="00A52B79" w:rsidP="004E2B5B">
      <w:pPr>
        <w:ind w:firstLine="720"/>
        <w:jc w:val="both"/>
        <w:rPr>
          <w:rFonts w:ascii="Times New Roman" w:hAnsi="Times New Roman" w:cs="Times New Roman"/>
          <w:sz w:val="24"/>
          <w:szCs w:val="24"/>
        </w:rPr>
      </w:pPr>
      <w:r w:rsidRPr="002C09D6">
        <w:rPr>
          <w:rFonts w:ascii="Times New Roman" w:hAnsi="Times New Roman" w:cs="Times New Roman"/>
          <w:spacing w:val="-2"/>
          <w:sz w:val="24"/>
          <w:szCs w:val="24"/>
        </w:rPr>
        <w:t xml:space="preserve">The above </w:t>
      </w:r>
      <w:r w:rsidR="004E2B5B" w:rsidRPr="002C09D6">
        <w:rPr>
          <w:rFonts w:ascii="Times New Roman" w:hAnsi="Times New Roman" w:cs="Times New Roman"/>
          <w:spacing w:val="-2"/>
          <w:sz w:val="24"/>
          <w:szCs w:val="24"/>
        </w:rPr>
        <w:t>findings</w:t>
      </w:r>
      <w:r w:rsidRPr="002C09D6">
        <w:rPr>
          <w:rFonts w:ascii="Times New Roman" w:hAnsi="Times New Roman" w:cs="Times New Roman"/>
          <w:spacing w:val="-2"/>
          <w:sz w:val="24"/>
          <w:szCs w:val="24"/>
        </w:rPr>
        <w:t xml:space="preserve"> are</w:t>
      </w:r>
      <w:r w:rsidR="004E2B5B" w:rsidRPr="002C09D6">
        <w:rPr>
          <w:rFonts w:ascii="Times New Roman" w:hAnsi="Times New Roman" w:cs="Times New Roman"/>
          <w:spacing w:val="-2"/>
          <w:sz w:val="24"/>
          <w:szCs w:val="24"/>
        </w:rPr>
        <w:t xml:space="preserve"> somewhat </w:t>
      </w:r>
      <w:r w:rsidRPr="002C09D6">
        <w:rPr>
          <w:rFonts w:ascii="Times New Roman" w:hAnsi="Times New Roman" w:cs="Times New Roman"/>
          <w:spacing w:val="-2"/>
          <w:sz w:val="24"/>
          <w:szCs w:val="24"/>
        </w:rPr>
        <w:t xml:space="preserve">in </w:t>
      </w:r>
      <w:r w:rsidR="004E2B5B" w:rsidRPr="002C09D6">
        <w:rPr>
          <w:rFonts w:ascii="Times New Roman" w:hAnsi="Times New Roman" w:cs="Times New Roman"/>
          <w:spacing w:val="-2"/>
          <w:sz w:val="24"/>
          <w:szCs w:val="24"/>
        </w:rPr>
        <w:t xml:space="preserve">contrast </w:t>
      </w:r>
      <w:r w:rsidRPr="002C09D6">
        <w:rPr>
          <w:rFonts w:ascii="Times New Roman" w:hAnsi="Times New Roman" w:cs="Times New Roman"/>
          <w:spacing w:val="-2"/>
          <w:sz w:val="24"/>
          <w:szCs w:val="24"/>
        </w:rPr>
        <w:t xml:space="preserve">to the </w:t>
      </w:r>
      <w:r w:rsidR="004E2B5B" w:rsidRPr="002C09D6">
        <w:rPr>
          <w:rFonts w:ascii="Times New Roman" w:hAnsi="Times New Roman" w:cs="Times New Roman"/>
          <w:spacing w:val="-2"/>
          <w:sz w:val="24"/>
          <w:szCs w:val="24"/>
        </w:rPr>
        <w:t xml:space="preserve">existing literature suggesting that within-country price convergence is limited to some extent in Japan (Ikeno, 2014; </w:t>
      </w:r>
      <w:proofErr w:type="spellStart"/>
      <w:r w:rsidR="004E2B5B" w:rsidRPr="002C09D6">
        <w:rPr>
          <w:rFonts w:ascii="Times New Roman" w:hAnsi="Times New Roman" w:cs="Times New Roman"/>
          <w:spacing w:val="-2"/>
          <w:sz w:val="24"/>
          <w:szCs w:val="24"/>
        </w:rPr>
        <w:t>Nagayasu</w:t>
      </w:r>
      <w:proofErr w:type="spellEnd"/>
      <w:r w:rsidR="004E2B5B" w:rsidRPr="002C09D6">
        <w:rPr>
          <w:rFonts w:ascii="Times New Roman" w:hAnsi="Times New Roman" w:cs="Times New Roman"/>
          <w:spacing w:val="-2"/>
          <w:sz w:val="24"/>
          <w:szCs w:val="24"/>
        </w:rPr>
        <w:t>, 2011), and the United States (Christou et al., 2018)</w:t>
      </w:r>
      <w:r w:rsidRPr="002C09D6">
        <w:rPr>
          <w:rFonts w:ascii="Times New Roman" w:hAnsi="Times New Roman" w:cs="Times New Roman"/>
          <w:spacing w:val="-2"/>
          <w:sz w:val="24"/>
          <w:szCs w:val="24"/>
        </w:rPr>
        <w:t>. However,</w:t>
      </w:r>
      <w:r w:rsidR="004E2B5B" w:rsidRPr="002C09D6">
        <w:rPr>
          <w:rFonts w:ascii="Times New Roman" w:hAnsi="Times New Roman" w:cs="Times New Roman"/>
          <w:spacing w:val="-2"/>
          <w:sz w:val="24"/>
          <w:szCs w:val="24"/>
        </w:rPr>
        <w:t xml:space="preserve"> </w:t>
      </w:r>
      <w:r w:rsidRPr="002C09D6">
        <w:rPr>
          <w:rFonts w:ascii="Times New Roman" w:hAnsi="Times New Roman" w:cs="Times New Roman"/>
          <w:spacing w:val="-2"/>
          <w:sz w:val="24"/>
          <w:szCs w:val="24"/>
        </w:rPr>
        <w:t>this</w:t>
      </w:r>
      <w:r w:rsidR="004E2B5B" w:rsidRPr="002C09D6">
        <w:rPr>
          <w:rFonts w:ascii="Times New Roman" w:hAnsi="Times New Roman" w:cs="Times New Roman"/>
          <w:spacing w:val="-2"/>
          <w:sz w:val="24"/>
          <w:szCs w:val="24"/>
        </w:rPr>
        <w:t xml:space="preserve"> supports the idea that price adjustments across different locations within a country eventually converges to the national level. </w:t>
      </w:r>
      <w:r w:rsidR="004E2B5B" w:rsidRPr="002C09D6">
        <w:rPr>
          <w:rFonts w:ascii="Times New Roman" w:hAnsi="Times New Roman" w:cs="Times New Roman"/>
          <w:sz w:val="24"/>
          <w:szCs w:val="24"/>
        </w:rPr>
        <w:t xml:space="preserve">Similarly, Nath and Sarkar (2014) conform to the </w:t>
      </w:r>
      <w:r w:rsidRPr="002C09D6">
        <w:rPr>
          <w:rFonts w:ascii="Times New Roman" w:hAnsi="Times New Roman" w:cs="Times New Roman"/>
          <w:sz w:val="24"/>
          <w:szCs w:val="24"/>
        </w:rPr>
        <w:t>purchasing power parity (</w:t>
      </w:r>
      <w:r w:rsidR="004E2B5B" w:rsidRPr="002C09D6">
        <w:rPr>
          <w:rFonts w:ascii="Times New Roman" w:hAnsi="Times New Roman" w:cs="Times New Roman"/>
          <w:sz w:val="24"/>
          <w:szCs w:val="24"/>
        </w:rPr>
        <w:t>PPP</w:t>
      </w:r>
      <w:r w:rsidRPr="002C09D6">
        <w:rPr>
          <w:rFonts w:ascii="Times New Roman" w:hAnsi="Times New Roman" w:cs="Times New Roman"/>
          <w:sz w:val="24"/>
          <w:szCs w:val="24"/>
        </w:rPr>
        <w:t>)</w:t>
      </w:r>
      <w:r w:rsidR="004E2B5B" w:rsidRPr="002C09D6">
        <w:rPr>
          <w:rFonts w:ascii="Times New Roman" w:hAnsi="Times New Roman" w:cs="Times New Roman"/>
          <w:sz w:val="24"/>
          <w:szCs w:val="24"/>
        </w:rPr>
        <w:t xml:space="preserve"> hypothesis</w:t>
      </w:r>
      <w:r w:rsidRPr="002C09D6">
        <w:rPr>
          <w:rFonts w:ascii="Times New Roman" w:hAnsi="Times New Roman" w:cs="Times New Roman"/>
          <w:sz w:val="24"/>
          <w:szCs w:val="24"/>
        </w:rPr>
        <w:t xml:space="preserve"> with</w:t>
      </w:r>
      <w:r w:rsidR="004E2B5B" w:rsidRPr="002C09D6">
        <w:rPr>
          <w:rFonts w:ascii="Times New Roman" w:hAnsi="Times New Roman" w:cs="Times New Roman"/>
          <w:sz w:val="24"/>
          <w:szCs w:val="24"/>
        </w:rPr>
        <w:t xml:space="preserve"> </w:t>
      </w:r>
      <w:r w:rsidR="004E2B5B" w:rsidRPr="002C09D6">
        <w:rPr>
          <w:rFonts w:ascii="Times New Roman" w:hAnsi="Times New Roman" w:cs="Times New Roman"/>
          <w:spacing w:val="-2"/>
          <w:sz w:val="24"/>
          <w:szCs w:val="24"/>
        </w:rPr>
        <w:t xml:space="preserve">evidence of convergence in relative prices in Australian cities. </w:t>
      </w:r>
      <w:r w:rsidRPr="002C09D6">
        <w:rPr>
          <w:rFonts w:ascii="Times New Roman" w:hAnsi="Times New Roman" w:cs="Times New Roman"/>
          <w:spacing w:val="-2"/>
          <w:sz w:val="24"/>
          <w:szCs w:val="24"/>
        </w:rPr>
        <w:t>This finding corroborates our panel quantile regression estimates.</w:t>
      </w:r>
    </w:p>
    <w:p w14:paraId="4768ED9D" w14:textId="77777777" w:rsidR="004E2B5B" w:rsidRPr="00D6728E" w:rsidRDefault="004E2B5B" w:rsidP="004E2B5B">
      <w:pPr>
        <w:ind w:firstLine="720"/>
        <w:jc w:val="both"/>
        <w:rPr>
          <w:rFonts w:ascii="Montserrat" w:hAnsi="Montserrat"/>
          <w:sz w:val="22"/>
          <w:szCs w:val="22"/>
        </w:rPr>
      </w:pPr>
    </w:p>
    <w:p w14:paraId="1F7075FB" w14:textId="096EC987" w:rsidR="004E2B5B" w:rsidRPr="000F681F" w:rsidRDefault="00C859FF" w:rsidP="000F681F">
      <w:pPr>
        <w:rPr>
          <w:rFonts w:ascii="Times New Roman" w:hAnsi="Times New Roman" w:cs="Times New Roman"/>
          <w:b/>
          <w:bCs/>
          <w:sz w:val="24"/>
          <w:szCs w:val="24"/>
        </w:rPr>
      </w:pPr>
      <w:bookmarkStart w:id="15" w:name="_Toc197460321"/>
      <w:r>
        <w:rPr>
          <w:rFonts w:ascii="Times New Roman" w:hAnsi="Times New Roman" w:cs="Times New Roman"/>
          <w:b/>
          <w:bCs/>
          <w:sz w:val="24"/>
          <w:szCs w:val="24"/>
        </w:rPr>
        <w:t>4</w:t>
      </w:r>
      <w:r w:rsidR="000F681F" w:rsidRPr="000F681F">
        <w:rPr>
          <w:rFonts w:ascii="Times New Roman" w:hAnsi="Times New Roman" w:cs="Times New Roman"/>
          <w:b/>
          <w:bCs/>
          <w:sz w:val="24"/>
          <w:szCs w:val="24"/>
        </w:rPr>
        <w:t>.5</w:t>
      </w:r>
      <w:r w:rsidR="004E2B5B" w:rsidRPr="000F681F">
        <w:rPr>
          <w:rFonts w:ascii="Times New Roman" w:hAnsi="Times New Roman" w:cs="Times New Roman"/>
          <w:b/>
          <w:bCs/>
          <w:sz w:val="24"/>
          <w:szCs w:val="24"/>
        </w:rPr>
        <w:t xml:space="preserve"> Further </w:t>
      </w:r>
      <w:r w:rsidR="000F681F">
        <w:rPr>
          <w:rFonts w:ascii="Times New Roman" w:hAnsi="Times New Roman" w:cs="Times New Roman"/>
          <w:b/>
          <w:bCs/>
          <w:sz w:val="24"/>
          <w:szCs w:val="24"/>
        </w:rPr>
        <w:t>a</w:t>
      </w:r>
      <w:r w:rsidR="004E2B5B" w:rsidRPr="000F681F">
        <w:rPr>
          <w:rFonts w:ascii="Times New Roman" w:hAnsi="Times New Roman" w:cs="Times New Roman"/>
          <w:b/>
          <w:bCs/>
          <w:sz w:val="24"/>
          <w:szCs w:val="24"/>
        </w:rPr>
        <w:t xml:space="preserve">nalyses and </w:t>
      </w:r>
      <w:r w:rsidR="000F681F">
        <w:rPr>
          <w:rFonts w:ascii="Times New Roman" w:hAnsi="Times New Roman" w:cs="Times New Roman"/>
          <w:b/>
          <w:bCs/>
          <w:sz w:val="24"/>
          <w:szCs w:val="24"/>
        </w:rPr>
        <w:t>r</w:t>
      </w:r>
      <w:r w:rsidR="004E2B5B" w:rsidRPr="000F681F">
        <w:rPr>
          <w:rFonts w:ascii="Times New Roman" w:hAnsi="Times New Roman" w:cs="Times New Roman"/>
          <w:b/>
          <w:bCs/>
          <w:sz w:val="24"/>
          <w:szCs w:val="24"/>
        </w:rPr>
        <w:t xml:space="preserve">obustness </w:t>
      </w:r>
      <w:r w:rsidR="000F681F">
        <w:rPr>
          <w:rFonts w:ascii="Times New Roman" w:hAnsi="Times New Roman" w:cs="Times New Roman"/>
          <w:b/>
          <w:bCs/>
          <w:sz w:val="24"/>
          <w:szCs w:val="24"/>
        </w:rPr>
        <w:t>t</w:t>
      </w:r>
      <w:r w:rsidR="004E2B5B" w:rsidRPr="000F681F">
        <w:rPr>
          <w:rFonts w:ascii="Times New Roman" w:hAnsi="Times New Roman" w:cs="Times New Roman"/>
          <w:b/>
          <w:bCs/>
          <w:sz w:val="24"/>
          <w:szCs w:val="24"/>
        </w:rPr>
        <w:t>ests</w:t>
      </w:r>
      <w:bookmarkEnd w:id="15"/>
      <w:r w:rsidR="004E2B5B" w:rsidRPr="000F681F">
        <w:rPr>
          <w:rFonts w:ascii="Times New Roman" w:hAnsi="Times New Roman" w:cs="Times New Roman"/>
          <w:b/>
          <w:bCs/>
          <w:sz w:val="24"/>
          <w:szCs w:val="24"/>
        </w:rPr>
        <w:t xml:space="preserve"> </w:t>
      </w:r>
    </w:p>
    <w:p w14:paraId="76F11B6E" w14:textId="1474B3D4" w:rsidR="004E2B5B" w:rsidRPr="002C09D6" w:rsidRDefault="00C77CFD" w:rsidP="002C09D6">
      <w:pPr>
        <w:jc w:val="both"/>
        <w:rPr>
          <w:rFonts w:ascii="Times New Roman" w:hAnsi="Times New Roman" w:cs="Times New Roman"/>
          <w:sz w:val="24"/>
          <w:szCs w:val="24"/>
        </w:rPr>
      </w:pPr>
      <w:r>
        <w:rPr>
          <w:rFonts w:ascii="Times New Roman" w:hAnsi="Times New Roman" w:cs="Times New Roman"/>
          <w:sz w:val="24"/>
          <w:szCs w:val="24"/>
        </w:rPr>
        <w:br/>
      </w:r>
      <w:r w:rsidR="004E2B5B" w:rsidRPr="002C09D6">
        <w:rPr>
          <w:rFonts w:ascii="Times New Roman" w:hAnsi="Times New Roman" w:cs="Times New Roman"/>
          <w:sz w:val="24"/>
          <w:szCs w:val="24"/>
        </w:rPr>
        <w:t xml:space="preserve">In this section, we conduct further analyses to scrutinize the impact of rice and fuel prices on overall inflation and assess the sensitivity of our results across different subsample periods, alternative model specifications, </w:t>
      </w:r>
      <w:r w:rsidR="002B442D" w:rsidRPr="002C09D6">
        <w:rPr>
          <w:rFonts w:ascii="Times New Roman" w:hAnsi="Times New Roman" w:cs="Times New Roman"/>
          <w:sz w:val="24"/>
          <w:szCs w:val="24"/>
        </w:rPr>
        <w:t xml:space="preserve">and </w:t>
      </w:r>
      <w:r w:rsidR="004E2B5B" w:rsidRPr="002C09D6">
        <w:rPr>
          <w:rFonts w:ascii="Times New Roman" w:hAnsi="Times New Roman" w:cs="Times New Roman"/>
          <w:sz w:val="24"/>
          <w:szCs w:val="24"/>
        </w:rPr>
        <w:t>data frequencies.</w:t>
      </w:r>
    </w:p>
    <w:p w14:paraId="1AB6526F" w14:textId="77777777" w:rsidR="004E2B5B" w:rsidRPr="00D6728E" w:rsidRDefault="004E2B5B" w:rsidP="004E2B5B">
      <w:pPr>
        <w:ind w:firstLine="360"/>
        <w:jc w:val="both"/>
        <w:rPr>
          <w:rFonts w:ascii="Montserrat" w:hAnsi="Montserrat"/>
          <w:sz w:val="22"/>
          <w:szCs w:val="22"/>
        </w:rPr>
      </w:pPr>
    </w:p>
    <w:p w14:paraId="5F852F62" w14:textId="302D0EBD" w:rsidR="004E2B5B" w:rsidRPr="00264623" w:rsidRDefault="00C859FF" w:rsidP="00264623">
      <w:pPr>
        <w:rPr>
          <w:rFonts w:ascii="Times New Roman" w:hAnsi="Times New Roman" w:cs="Times New Roman"/>
          <w:b/>
          <w:bCs/>
          <w:i/>
          <w:sz w:val="24"/>
          <w:szCs w:val="24"/>
        </w:rPr>
      </w:pPr>
      <w:bookmarkStart w:id="16" w:name="_Toc197460322"/>
      <w:r>
        <w:rPr>
          <w:rFonts w:ascii="Times New Roman" w:hAnsi="Times New Roman" w:cs="Times New Roman"/>
          <w:b/>
          <w:bCs/>
          <w:iCs/>
          <w:sz w:val="24"/>
          <w:szCs w:val="24"/>
        </w:rPr>
        <w:lastRenderedPageBreak/>
        <w:t>4</w:t>
      </w:r>
      <w:r w:rsidR="00264623" w:rsidRPr="00264623">
        <w:rPr>
          <w:rFonts w:ascii="Times New Roman" w:hAnsi="Times New Roman" w:cs="Times New Roman"/>
          <w:b/>
          <w:bCs/>
          <w:iCs/>
          <w:sz w:val="24"/>
          <w:szCs w:val="24"/>
        </w:rPr>
        <w:t>.5.1</w:t>
      </w:r>
      <w:r w:rsidR="004E2B5B" w:rsidRPr="00264623">
        <w:rPr>
          <w:rFonts w:ascii="Times New Roman" w:hAnsi="Times New Roman" w:cs="Times New Roman"/>
          <w:b/>
          <w:bCs/>
          <w:sz w:val="24"/>
          <w:szCs w:val="24"/>
        </w:rPr>
        <w:t xml:space="preserve"> Unknown breaks in general inflation</w:t>
      </w:r>
      <w:bookmarkEnd w:id="16"/>
      <w:r w:rsidR="004E2B5B" w:rsidRPr="00264623">
        <w:rPr>
          <w:rFonts w:ascii="Times New Roman" w:hAnsi="Times New Roman" w:cs="Times New Roman"/>
          <w:b/>
          <w:bCs/>
          <w:sz w:val="24"/>
          <w:szCs w:val="24"/>
        </w:rPr>
        <w:t xml:space="preserve"> </w:t>
      </w:r>
    </w:p>
    <w:p w14:paraId="1377B23F" w14:textId="77777777" w:rsidR="004E2B5B" w:rsidRPr="00FC4DF4" w:rsidRDefault="004E2B5B" w:rsidP="004E2B5B">
      <w:pPr>
        <w:ind w:firstLine="360"/>
        <w:jc w:val="both"/>
        <w:rPr>
          <w:rFonts w:ascii="Times New Roman" w:hAnsi="Times New Roman" w:cs="Times New Roman"/>
          <w:sz w:val="24"/>
          <w:szCs w:val="24"/>
        </w:rPr>
      </w:pPr>
    </w:p>
    <w:p w14:paraId="71FDE716" w14:textId="77777777" w:rsidR="004E2B5B" w:rsidRPr="002C09D6" w:rsidRDefault="004E2B5B" w:rsidP="002C09D6">
      <w:pPr>
        <w:jc w:val="both"/>
        <w:rPr>
          <w:rFonts w:ascii="Times New Roman" w:hAnsi="Times New Roman" w:cs="Times New Roman"/>
          <w:sz w:val="24"/>
          <w:szCs w:val="24"/>
        </w:rPr>
      </w:pPr>
      <w:r w:rsidRPr="002C09D6">
        <w:rPr>
          <w:rFonts w:ascii="Times New Roman" w:hAnsi="Times New Roman" w:cs="Times New Roman"/>
          <w:spacing w:val="2"/>
          <w:sz w:val="24"/>
          <w:szCs w:val="24"/>
        </w:rPr>
        <w:t>Comparisons of inflation targeting and rice tariffication before and after</w:t>
      </w:r>
      <w:r w:rsidRPr="002C09D6">
        <w:rPr>
          <w:rFonts w:ascii="Times New Roman" w:hAnsi="Times New Roman" w:cs="Times New Roman"/>
          <w:sz w:val="24"/>
          <w:szCs w:val="24"/>
        </w:rPr>
        <w:t xml:space="preserve"> implementation may be influenced by other time-varying factors, particularly the share of household budgets going toward these items and the infrastructure for cross-province transportation and marketing of rice. This raises the question: Would dividing the sample at randomly selected years yield similar before or after results? </w:t>
      </w:r>
    </w:p>
    <w:p w14:paraId="34972CC8" w14:textId="77777777" w:rsidR="004E2B5B" w:rsidRPr="002C09D6" w:rsidRDefault="004E2B5B" w:rsidP="004E2B5B">
      <w:pPr>
        <w:ind w:firstLine="360"/>
        <w:jc w:val="both"/>
        <w:rPr>
          <w:rFonts w:ascii="Times New Roman" w:hAnsi="Times New Roman" w:cs="Times New Roman"/>
          <w:sz w:val="24"/>
          <w:szCs w:val="24"/>
        </w:rPr>
      </w:pPr>
    </w:p>
    <w:p w14:paraId="269DBCD0" w14:textId="70392958" w:rsidR="004E2B5B" w:rsidRPr="002C09D6" w:rsidRDefault="004E2B5B" w:rsidP="004E2B5B">
      <w:pPr>
        <w:ind w:firstLine="360"/>
        <w:jc w:val="both"/>
        <w:rPr>
          <w:rFonts w:ascii="Times New Roman" w:hAnsi="Times New Roman" w:cs="Times New Roman"/>
          <w:sz w:val="24"/>
          <w:szCs w:val="24"/>
        </w:rPr>
      </w:pPr>
      <w:r w:rsidRPr="002C09D6">
        <w:rPr>
          <w:rFonts w:ascii="Times New Roman" w:hAnsi="Times New Roman" w:cs="Times New Roman"/>
          <w:sz w:val="24"/>
          <w:szCs w:val="24"/>
        </w:rPr>
        <w:t xml:space="preserve">To answer this, we refined our analysis to identify structural changes by specific year. We used the panel test proposed by </w:t>
      </w:r>
      <w:proofErr w:type="spellStart"/>
      <w:r w:rsidRPr="002C09D6">
        <w:rPr>
          <w:rFonts w:ascii="Times New Roman" w:hAnsi="Times New Roman" w:cs="Times New Roman"/>
          <w:sz w:val="24"/>
          <w:szCs w:val="24"/>
        </w:rPr>
        <w:t>Ditzen</w:t>
      </w:r>
      <w:proofErr w:type="spellEnd"/>
      <w:r w:rsidRPr="002C09D6">
        <w:rPr>
          <w:rFonts w:ascii="Times New Roman" w:hAnsi="Times New Roman" w:cs="Times New Roman"/>
          <w:sz w:val="24"/>
          <w:szCs w:val="24"/>
        </w:rPr>
        <w:t xml:space="preserve"> et al. (2021), which is based </w:t>
      </w:r>
      <w:r w:rsidR="00927E1B" w:rsidRPr="002C09D6">
        <w:rPr>
          <w:rFonts w:ascii="Times New Roman" w:hAnsi="Times New Roman" w:cs="Times New Roman"/>
          <w:sz w:val="24"/>
          <w:szCs w:val="24"/>
        </w:rPr>
        <w:t>o</w:t>
      </w:r>
      <w:r w:rsidRPr="002C09D6">
        <w:rPr>
          <w:rFonts w:ascii="Times New Roman" w:hAnsi="Times New Roman" w:cs="Times New Roman"/>
          <w:sz w:val="24"/>
          <w:szCs w:val="24"/>
        </w:rPr>
        <w:t xml:space="preserve">n an F-test and a null hypothesis of no breakpoints. </w:t>
      </w:r>
    </w:p>
    <w:p w14:paraId="2587277F" w14:textId="77777777" w:rsidR="00F3684E" w:rsidRPr="002C09D6" w:rsidRDefault="00F3684E" w:rsidP="004E2B5B">
      <w:pPr>
        <w:ind w:firstLine="360"/>
        <w:jc w:val="both"/>
        <w:rPr>
          <w:rFonts w:ascii="Times New Roman" w:hAnsi="Times New Roman" w:cs="Times New Roman"/>
          <w:sz w:val="24"/>
          <w:szCs w:val="24"/>
        </w:rPr>
      </w:pPr>
    </w:p>
    <w:p w14:paraId="0D65A44B" w14:textId="77777777" w:rsidR="00F3684E" w:rsidRPr="00D6728E" w:rsidRDefault="00F3684E" w:rsidP="00F3684E">
      <w:pPr>
        <w:ind w:firstLine="360"/>
        <w:jc w:val="both"/>
        <w:rPr>
          <w:rFonts w:ascii="Montserrat" w:hAnsi="Montserrat"/>
          <w:sz w:val="22"/>
          <w:szCs w:val="22"/>
        </w:rPr>
      </w:pPr>
      <w:r w:rsidRPr="002C09D6">
        <w:rPr>
          <w:rFonts w:ascii="Times New Roman" w:hAnsi="Times New Roman" w:cs="Times New Roman"/>
          <w:sz w:val="24"/>
          <w:szCs w:val="24"/>
        </w:rPr>
        <w:t xml:space="preserve">The results reported in </w:t>
      </w:r>
      <w:r w:rsidRPr="00C859FF">
        <w:rPr>
          <w:rFonts w:ascii="Times New Roman" w:hAnsi="Times New Roman" w:cs="Times New Roman"/>
          <w:sz w:val="24"/>
          <w:szCs w:val="24"/>
        </w:rPr>
        <w:t>Table 5</w:t>
      </w:r>
      <w:r w:rsidRPr="002C09D6">
        <w:rPr>
          <w:rFonts w:ascii="Times New Roman" w:hAnsi="Times New Roman" w:cs="Times New Roman"/>
          <w:sz w:val="24"/>
          <w:szCs w:val="24"/>
        </w:rPr>
        <w:t xml:space="preserve"> were investigated for breaks in general price. We used the following breaks in defining our subsample periods: (a) August 1996 to July 2000, (b) September 2000 to April 2005, (c) June 2005 to May 2009, (d) July 2009 to May 2015, (e) July 2015 to February 2020, and (f) April 2020 to April 2024. </w:t>
      </w:r>
    </w:p>
    <w:p w14:paraId="0F5C90CA" w14:textId="77777777" w:rsidR="00F3684E" w:rsidRPr="00D6728E" w:rsidRDefault="00F3684E" w:rsidP="00F3684E">
      <w:pPr>
        <w:ind w:firstLine="360"/>
        <w:jc w:val="both"/>
        <w:rPr>
          <w:rFonts w:ascii="Montserrat" w:hAnsi="Montserrat"/>
          <w:sz w:val="22"/>
          <w:szCs w:val="22"/>
        </w:rPr>
      </w:pPr>
    </w:p>
    <w:p w14:paraId="6D2B4A0E" w14:textId="6BF0709B" w:rsidR="00F3684E" w:rsidRPr="003A4B12" w:rsidRDefault="00F3684E" w:rsidP="00F3684E">
      <w:pPr>
        <w:keepNext/>
        <w:keepLines/>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t>Table 5</w:t>
      </w:r>
      <w:r w:rsidR="00264623">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Bai and Perron (2002) </w:t>
      </w:r>
      <w:r w:rsidR="00264623">
        <w:rPr>
          <w:rFonts w:ascii="Times New Roman" w:eastAsia="Arial" w:hAnsi="Times New Roman" w:cs="Times New Roman"/>
          <w:b/>
          <w:bCs/>
          <w:sz w:val="24"/>
          <w:szCs w:val="24"/>
        </w:rPr>
        <w:t>b</w:t>
      </w:r>
      <w:r w:rsidRPr="003A4B12">
        <w:rPr>
          <w:rFonts w:ascii="Times New Roman" w:eastAsia="Arial" w:hAnsi="Times New Roman" w:cs="Times New Roman"/>
          <w:b/>
          <w:bCs/>
          <w:sz w:val="24"/>
          <w:szCs w:val="24"/>
        </w:rPr>
        <w:t xml:space="preserve">reakpoint </w:t>
      </w:r>
      <w:r w:rsidR="00264623">
        <w:rPr>
          <w:rFonts w:ascii="Times New Roman" w:eastAsia="Arial" w:hAnsi="Times New Roman" w:cs="Times New Roman"/>
          <w:b/>
          <w:bCs/>
          <w:sz w:val="24"/>
          <w:szCs w:val="24"/>
        </w:rPr>
        <w:t>d</w:t>
      </w:r>
      <w:r w:rsidRPr="003A4B12">
        <w:rPr>
          <w:rFonts w:ascii="Times New Roman" w:eastAsia="Arial" w:hAnsi="Times New Roman" w:cs="Times New Roman"/>
          <w:b/>
          <w:bCs/>
          <w:sz w:val="24"/>
          <w:szCs w:val="24"/>
        </w:rPr>
        <w:t>ates</w:t>
      </w:r>
    </w:p>
    <w:p w14:paraId="30C4EF87" w14:textId="77777777" w:rsidR="00F3684E" w:rsidRPr="007215A6" w:rsidRDefault="00F3684E" w:rsidP="00F3684E">
      <w:pPr>
        <w:keepNext/>
        <w:keepLines/>
        <w:jc w:val="center"/>
        <w:rPr>
          <w:rFonts w:ascii="Times New Roman" w:eastAsia="Arial" w:hAnsi="Times New Roman" w:cs="Times New Roman"/>
          <w:b/>
          <w:bCs/>
          <w:sz w:val="22"/>
          <w:szCs w:val="22"/>
        </w:rPr>
      </w:pPr>
    </w:p>
    <w:tbl>
      <w:tblPr>
        <w:tblW w:w="5000" w:type="pct"/>
        <w:tblLook w:val="04A0" w:firstRow="1" w:lastRow="0" w:firstColumn="1" w:lastColumn="0" w:noHBand="0" w:noVBand="1"/>
      </w:tblPr>
      <w:tblGrid>
        <w:gridCol w:w="2006"/>
        <w:gridCol w:w="1657"/>
        <w:gridCol w:w="260"/>
        <w:gridCol w:w="1951"/>
        <w:gridCol w:w="1603"/>
        <w:gridCol w:w="1549"/>
      </w:tblGrid>
      <w:tr w:rsidR="00F3684E" w:rsidRPr="007215A6" w14:paraId="691996F0" w14:textId="77777777" w:rsidTr="003B708E">
        <w:trPr>
          <w:trHeight w:val="315"/>
        </w:trPr>
        <w:tc>
          <w:tcPr>
            <w:tcW w:w="1111" w:type="pct"/>
            <w:tcBorders>
              <w:top w:val="single" w:sz="4" w:space="0" w:color="auto"/>
              <w:left w:val="nil"/>
              <w:bottom w:val="nil"/>
              <w:right w:val="nil"/>
            </w:tcBorders>
            <w:shd w:val="clear" w:color="auto" w:fill="auto"/>
            <w:noWrap/>
            <w:tcMar>
              <w:top w:w="28" w:type="dxa"/>
              <w:bottom w:w="28" w:type="dxa"/>
            </w:tcMar>
            <w:vAlign w:val="center"/>
            <w:hideMark/>
          </w:tcPr>
          <w:p w14:paraId="0E25CC03" w14:textId="77777777" w:rsidR="00F3684E" w:rsidRPr="007215A6" w:rsidRDefault="00F3684E" w:rsidP="003B708E">
            <w:pPr>
              <w:keepNext/>
              <w:keepLines/>
              <w:jc w:val="center"/>
              <w:rPr>
                <w:rFonts w:ascii="Times New Roman" w:hAnsi="Times New Roman" w:cs="Times New Roman"/>
                <w:b/>
                <w:bCs/>
                <w:color w:val="000000"/>
                <w:sz w:val="22"/>
                <w:szCs w:val="22"/>
              </w:rPr>
            </w:pPr>
          </w:p>
        </w:tc>
        <w:tc>
          <w:tcPr>
            <w:tcW w:w="918" w:type="pct"/>
            <w:tcBorders>
              <w:top w:val="single" w:sz="4" w:space="0" w:color="auto"/>
              <w:left w:val="nil"/>
              <w:bottom w:val="nil"/>
              <w:right w:val="nil"/>
            </w:tcBorders>
            <w:shd w:val="clear" w:color="auto" w:fill="auto"/>
            <w:noWrap/>
            <w:tcMar>
              <w:top w:w="28" w:type="dxa"/>
              <w:bottom w:w="28" w:type="dxa"/>
            </w:tcMar>
            <w:vAlign w:val="center"/>
            <w:hideMark/>
          </w:tcPr>
          <w:p w14:paraId="5B104AE2" w14:textId="77777777" w:rsidR="00F3684E" w:rsidRPr="007215A6" w:rsidRDefault="00F3684E" w:rsidP="003B708E">
            <w:pPr>
              <w:keepNext/>
              <w:keepLines/>
              <w:jc w:val="center"/>
              <w:rPr>
                <w:rFonts w:ascii="Times New Roman" w:hAnsi="Times New Roman" w:cs="Times New Roman"/>
                <w:b/>
                <w:bCs/>
                <w:color w:val="000000"/>
                <w:sz w:val="22"/>
                <w:szCs w:val="22"/>
              </w:rPr>
            </w:pPr>
          </w:p>
        </w:tc>
        <w:tc>
          <w:tcPr>
            <w:tcW w:w="144" w:type="pct"/>
            <w:tcBorders>
              <w:top w:val="single" w:sz="4" w:space="0" w:color="auto"/>
              <w:left w:val="nil"/>
              <w:bottom w:val="nil"/>
              <w:right w:val="nil"/>
            </w:tcBorders>
            <w:shd w:val="clear" w:color="auto" w:fill="auto"/>
            <w:noWrap/>
            <w:tcMar>
              <w:top w:w="28" w:type="dxa"/>
              <w:bottom w:w="28" w:type="dxa"/>
            </w:tcMar>
            <w:vAlign w:val="center"/>
            <w:hideMark/>
          </w:tcPr>
          <w:p w14:paraId="1B1597FF" w14:textId="77777777" w:rsidR="00F3684E" w:rsidRPr="007215A6" w:rsidRDefault="00F3684E" w:rsidP="003B708E">
            <w:pPr>
              <w:keepNext/>
              <w:keepLines/>
              <w:jc w:val="center"/>
              <w:rPr>
                <w:rFonts w:ascii="Times New Roman" w:hAnsi="Times New Roman" w:cs="Times New Roman"/>
                <w:b/>
                <w:bCs/>
                <w:color w:val="000000"/>
                <w:sz w:val="22"/>
                <w:szCs w:val="22"/>
              </w:rPr>
            </w:pPr>
          </w:p>
        </w:tc>
        <w:tc>
          <w:tcPr>
            <w:tcW w:w="2827" w:type="pct"/>
            <w:gridSpan w:val="3"/>
            <w:tcBorders>
              <w:top w:val="single" w:sz="4" w:space="0" w:color="auto"/>
              <w:left w:val="nil"/>
              <w:bottom w:val="single" w:sz="4" w:space="0" w:color="auto"/>
              <w:right w:val="nil"/>
            </w:tcBorders>
            <w:shd w:val="clear" w:color="auto" w:fill="auto"/>
            <w:noWrap/>
            <w:tcMar>
              <w:top w:w="28" w:type="dxa"/>
              <w:bottom w:w="28" w:type="dxa"/>
            </w:tcMar>
            <w:vAlign w:val="center"/>
            <w:hideMark/>
          </w:tcPr>
          <w:p w14:paraId="2674C796"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Critical values</w:t>
            </w:r>
          </w:p>
        </w:tc>
      </w:tr>
      <w:tr w:rsidR="00F3684E" w:rsidRPr="007215A6" w14:paraId="51D9D2FD" w14:textId="77777777" w:rsidTr="003B708E">
        <w:trPr>
          <w:trHeight w:val="315"/>
        </w:trPr>
        <w:tc>
          <w:tcPr>
            <w:tcW w:w="1111" w:type="pct"/>
            <w:tcBorders>
              <w:top w:val="nil"/>
              <w:left w:val="nil"/>
              <w:bottom w:val="single" w:sz="4" w:space="0" w:color="auto"/>
              <w:right w:val="nil"/>
            </w:tcBorders>
            <w:shd w:val="clear" w:color="auto" w:fill="auto"/>
            <w:noWrap/>
            <w:tcMar>
              <w:top w:w="28" w:type="dxa"/>
              <w:bottom w:w="28" w:type="dxa"/>
            </w:tcMar>
            <w:vAlign w:val="center"/>
            <w:hideMark/>
          </w:tcPr>
          <w:p w14:paraId="15C0600A"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Breaks</w:t>
            </w:r>
          </w:p>
        </w:tc>
        <w:tc>
          <w:tcPr>
            <w:tcW w:w="918" w:type="pct"/>
            <w:tcBorders>
              <w:top w:val="nil"/>
              <w:left w:val="nil"/>
              <w:bottom w:val="single" w:sz="4" w:space="0" w:color="auto"/>
              <w:right w:val="nil"/>
            </w:tcBorders>
            <w:shd w:val="clear" w:color="auto" w:fill="auto"/>
            <w:noWrap/>
            <w:tcMar>
              <w:top w:w="28" w:type="dxa"/>
              <w:bottom w:w="28" w:type="dxa"/>
            </w:tcMar>
            <w:vAlign w:val="center"/>
            <w:hideMark/>
          </w:tcPr>
          <w:p w14:paraId="103113DC"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Test statistic</w:t>
            </w:r>
          </w:p>
        </w:tc>
        <w:tc>
          <w:tcPr>
            <w:tcW w:w="144" w:type="pct"/>
            <w:tcBorders>
              <w:top w:val="nil"/>
              <w:left w:val="nil"/>
              <w:bottom w:val="single" w:sz="4" w:space="0" w:color="auto"/>
              <w:right w:val="nil"/>
            </w:tcBorders>
            <w:shd w:val="clear" w:color="auto" w:fill="auto"/>
            <w:noWrap/>
            <w:tcMar>
              <w:top w:w="28" w:type="dxa"/>
              <w:bottom w:w="28" w:type="dxa"/>
            </w:tcMar>
            <w:vAlign w:val="center"/>
            <w:hideMark/>
          </w:tcPr>
          <w:p w14:paraId="45D3A98D" w14:textId="77777777" w:rsidR="00F3684E" w:rsidRPr="007215A6" w:rsidRDefault="00F3684E" w:rsidP="003B708E">
            <w:pPr>
              <w:keepNext/>
              <w:keepLines/>
              <w:jc w:val="center"/>
              <w:rPr>
                <w:rFonts w:ascii="Times New Roman" w:hAnsi="Times New Roman" w:cs="Times New Roman"/>
                <w:b/>
                <w:bCs/>
                <w:color w:val="000000"/>
                <w:sz w:val="22"/>
                <w:szCs w:val="22"/>
              </w:rPr>
            </w:pPr>
          </w:p>
        </w:tc>
        <w:tc>
          <w:tcPr>
            <w:tcW w:w="1081" w:type="pct"/>
            <w:tcBorders>
              <w:top w:val="nil"/>
              <w:left w:val="nil"/>
              <w:bottom w:val="single" w:sz="4" w:space="0" w:color="auto"/>
              <w:right w:val="nil"/>
            </w:tcBorders>
            <w:shd w:val="clear" w:color="auto" w:fill="auto"/>
            <w:noWrap/>
            <w:tcMar>
              <w:top w:w="28" w:type="dxa"/>
              <w:bottom w:w="28" w:type="dxa"/>
            </w:tcMar>
            <w:vAlign w:val="center"/>
            <w:hideMark/>
          </w:tcPr>
          <w:p w14:paraId="641C5CC3"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1%</w:t>
            </w:r>
          </w:p>
        </w:tc>
        <w:tc>
          <w:tcPr>
            <w:tcW w:w="888" w:type="pct"/>
            <w:tcBorders>
              <w:top w:val="nil"/>
              <w:left w:val="nil"/>
              <w:bottom w:val="single" w:sz="4" w:space="0" w:color="auto"/>
              <w:right w:val="nil"/>
            </w:tcBorders>
            <w:shd w:val="clear" w:color="auto" w:fill="auto"/>
            <w:noWrap/>
            <w:tcMar>
              <w:top w:w="28" w:type="dxa"/>
              <w:bottom w:w="28" w:type="dxa"/>
            </w:tcMar>
            <w:vAlign w:val="center"/>
            <w:hideMark/>
          </w:tcPr>
          <w:p w14:paraId="2F1F9D2D"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5%</w:t>
            </w:r>
          </w:p>
        </w:tc>
        <w:tc>
          <w:tcPr>
            <w:tcW w:w="858" w:type="pct"/>
            <w:tcBorders>
              <w:top w:val="nil"/>
              <w:left w:val="nil"/>
              <w:bottom w:val="single" w:sz="4" w:space="0" w:color="auto"/>
              <w:right w:val="nil"/>
            </w:tcBorders>
            <w:shd w:val="clear" w:color="auto" w:fill="auto"/>
            <w:noWrap/>
            <w:tcMar>
              <w:top w:w="28" w:type="dxa"/>
              <w:bottom w:w="28" w:type="dxa"/>
            </w:tcMar>
            <w:vAlign w:val="center"/>
            <w:hideMark/>
          </w:tcPr>
          <w:p w14:paraId="6ADD963F"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10%</w:t>
            </w:r>
          </w:p>
        </w:tc>
      </w:tr>
      <w:tr w:rsidR="00F3684E" w:rsidRPr="007215A6" w14:paraId="19DBBA64" w14:textId="77777777" w:rsidTr="003B708E">
        <w:trPr>
          <w:trHeight w:val="315"/>
        </w:trPr>
        <w:tc>
          <w:tcPr>
            <w:tcW w:w="1111" w:type="pct"/>
            <w:tcBorders>
              <w:top w:val="nil"/>
              <w:left w:val="nil"/>
              <w:bottom w:val="nil"/>
              <w:right w:val="nil"/>
            </w:tcBorders>
            <w:shd w:val="clear" w:color="auto" w:fill="auto"/>
            <w:noWrap/>
            <w:tcMar>
              <w:top w:w="28" w:type="dxa"/>
              <w:bottom w:w="28" w:type="dxa"/>
            </w:tcMar>
            <w:vAlign w:val="center"/>
            <w:hideMark/>
          </w:tcPr>
          <w:p w14:paraId="2C802787" w14:textId="77777777" w:rsidR="00F3684E" w:rsidRPr="007215A6" w:rsidRDefault="00F3684E" w:rsidP="003B708E">
            <w:pPr>
              <w:keepNext/>
              <w:keepLines/>
              <w:jc w:val="center"/>
              <w:rPr>
                <w:rFonts w:ascii="Times New Roman" w:hAnsi="Times New Roman" w:cs="Times New Roman"/>
                <w:color w:val="000000"/>
                <w:sz w:val="22"/>
                <w:szCs w:val="22"/>
              </w:rPr>
            </w:pPr>
            <w:proofErr w:type="gramStart"/>
            <w:r w:rsidRPr="007215A6">
              <w:rPr>
                <w:rFonts w:ascii="Times New Roman" w:hAnsi="Times New Roman" w:cs="Times New Roman"/>
                <w:color w:val="000000"/>
                <w:sz w:val="22"/>
                <w:szCs w:val="22"/>
              </w:rPr>
              <w:t>F(</w:t>
            </w:r>
            <w:proofErr w:type="gramEnd"/>
            <w:r w:rsidRPr="007215A6">
              <w:rPr>
                <w:rFonts w:ascii="Times New Roman" w:hAnsi="Times New Roman" w:cs="Times New Roman"/>
                <w:color w:val="000000"/>
                <w:sz w:val="22"/>
                <w:szCs w:val="22"/>
              </w:rPr>
              <w:t>1|0)</w:t>
            </w:r>
          </w:p>
        </w:tc>
        <w:tc>
          <w:tcPr>
            <w:tcW w:w="918" w:type="pct"/>
            <w:tcBorders>
              <w:top w:val="nil"/>
              <w:left w:val="nil"/>
              <w:bottom w:val="nil"/>
              <w:right w:val="nil"/>
            </w:tcBorders>
            <w:shd w:val="clear" w:color="auto" w:fill="auto"/>
            <w:noWrap/>
            <w:tcMar>
              <w:top w:w="28" w:type="dxa"/>
              <w:bottom w:w="28" w:type="dxa"/>
            </w:tcMar>
            <w:vAlign w:val="center"/>
            <w:hideMark/>
          </w:tcPr>
          <w:p w14:paraId="4B7923EF"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6.21</w:t>
            </w:r>
          </w:p>
        </w:tc>
        <w:tc>
          <w:tcPr>
            <w:tcW w:w="144" w:type="pct"/>
            <w:tcBorders>
              <w:top w:val="nil"/>
              <w:left w:val="nil"/>
              <w:bottom w:val="nil"/>
              <w:right w:val="nil"/>
            </w:tcBorders>
            <w:shd w:val="clear" w:color="auto" w:fill="auto"/>
            <w:noWrap/>
            <w:tcMar>
              <w:top w:w="28" w:type="dxa"/>
              <w:bottom w:w="28" w:type="dxa"/>
            </w:tcMar>
            <w:vAlign w:val="center"/>
            <w:hideMark/>
          </w:tcPr>
          <w:p w14:paraId="01646304" w14:textId="77777777" w:rsidR="00F3684E" w:rsidRPr="007215A6" w:rsidRDefault="00F3684E" w:rsidP="003B708E">
            <w:pPr>
              <w:keepNext/>
              <w:keepLines/>
              <w:jc w:val="center"/>
              <w:rPr>
                <w:rFonts w:ascii="Times New Roman" w:hAnsi="Times New Roman" w:cs="Times New Roman"/>
                <w:color w:val="000000"/>
                <w:sz w:val="22"/>
                <w:szCs w:val="22"/>
              </w:rPr>
            </w:pPr>
          </w:p>
        </w:tc>
        <w:tc>
          <w:tcPr>
            <w:tcW w:w="1081" w:type="pct"/>
            <w:tcBorders>
              <w:top w:val="nil"/>
              <w:left w:val="nil"/>
              <w:bottom w:val="nil"/>
              <w:right w:val="nil"/>
            </w:tcBorders>
            <w:shd w:val="clear" w:color="auto" w:fill="auto"/>
            <w:noWrap/>
            <w:tcMar>
              <w:top w:w="28" w:type="dxa"/>
              <w:bottom w:w="28" w:type="dxa"/>
            </w:tcMar>
            <w:vAlign w:val="center"/>
            <w:hideMark/>
          </w:tcPr>
          <w:p w14:paraId="0337461B"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12.29</w:t>
            </w:r>
          </w:p>
        </w:tc>
        <w:tc>
          <w:tcPr>
            <w:tcW w:w="888" w:type="pct"/>
            <w:tcBorders>
              <w:top w:val="nil"/>
              <w:left w:val="nil"/>
              <w:bottom w:val="nil"/>
              <w:right w:val="nil"/>
            </w:tcBorders>
            <w:shd w:val="clear" w:color="auto" w:fill="auto"/>
            <w:noWrap/>
            <w:tcMar>
              <w:top w:w="28" w:type="dxa"/>
              <w:bottom w:w="28" w:type="dxa"/>
            </w:tcMar>
            <w:vAlign w:val="center"/>
            <w:hideMark/>
          </w:tcPr>
          <w:p w14:paraId="7A892F61"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8.58</w:t>
            </w:r>
          </w:p>
        </w:tc>
        <w:tc>
          <w:tcPr>
            <w:tcW w:w="858" w:type="pct"/>
            <w:tcBorders>
              <w:top w:val="nil"/>
              <w:left w:val="nil"/>
              <w:bottom w:val="nil"/>
              <w:right w:val="nil"/>
            </w:tcBorders>
            <w:shd w:val="clear" w:color="auto" w:fill="auto"/>
            <w:noWrap/>
            <w:tcMar>
              <w:top w:w="28" w:type="dxa"/>
              <w:bottom w:w="28" w:type="dxa"/>
            </w:tcMar>
            <w:vAlign w:val="center"/>
            <w:hideMark/>
          </w:tcPr>
          <w:p w14:paraId="7BEBA311" w14:textId="77777777" w:rsidR="00F3684E" w:rsidRPr="007215A6" w:rsidRDefault="00F3684E" w:rsidP="003B708E">
            <w:pPr>
              <w:keepNext/>
              <w:keepLines/>
              <w:ind w:hanging="49"/>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7.04</w:t>
            </w:r>
          </w:p>
        </w:tc>
      </w:tr>
      <w:tr w:rsidR="00F3684E" w:rsidRPr="007215A6" w14:paraId="4F7DD4BF" w14:textId="77777777" w:rsidTr="003B708E">
        <w:trPr>
          <w:trHeight w:val="315"/>
        </w:trPr>
        <w:tc>
          <w:tcPr>
            <w:tcW w:w="1111" w:type="pct"/>
            <w:tcBorders>
              <w:top w:val="nil"/>
              <w:left w:val="nil"/>
              <w:bottom w:val="nil"/>
              <w:right w:val="nil"/>
            </w:tcBorders>
            <w:shd w:val="clear" w:color="auto" w:fill="auto"/>
            <w:noWrap/>
            <w:tcMar>
              <w:top w:w="28" w:type="dxa"/>
              <w:bottom w:w="28" w:type="dxa"/>
            </w:tcMar>
            <w:vAlign w:val="center"/>
            <w:hideMark/>
          </w:tcPr>
          <w:p w14:paraId="1D8A4182" w14:textId="77777777" w:rsidR="00F3684E" w:rsidRPr="007215A6" w:rsidRDefault="00F3684E" w:rsidP="003B708E">
            <w:pPr>
              <w:keepNext/>
              <w:keepLines/>
              <w:jc w:val="center"/>
              <w:rPr>
                <w:rFonts w:ascii="Times New Roman" w:hAnsi="Times New Roman" w:cs="Times New Roman"/>
                <w:color w:val="000000"/>
                <w:sz w:val="22"/>
                <w:szCs w:val="22"/>
              </w:rPr>
            </w:pPr>
            <w:proofErr w:type="gramStart"/>
            <w:r w:rsidRPr="007215A6">
              <w:rPr>
                <w:rFonts w:ascii="Times New Roman" w:hAnsi="Times New Roman" w:cs="Times New Roman"/>
                <w:color w:val="000000"/>
                <w:sz w:val="22"/>
                <w:szCs w:val="22"/>
              </w:rPr>
              <w:t>F(</w:t>
            </w:r>
            <w:proofErr w:type="gramEnd"/>
            <w:r w:rsidRPr="007215A6">
              <w:rPr>
                <w:rFonts w:ascii="Times New Roman" w:hAnsi="Times New Roman" w:cs="Times New Roman"/>
                <w:color w:val="000000"/>
                <w:sz w:val="22"/>
                <w:szCs w:val="22"/>
              </w:rPr>
              <w:t>2|1)</w:t>
            </w:r>
          </w:p>
        </w:tc>
        <w:tc>
          <w:tcPr>
            <w:tcW w:w="918" w:type="pct"/>
            <w:tcBorders>
              <w:top w:val="nil"/>
              <w:left w:val="nil"/>
              <w:bottom w:val="nil"/>
              <w:right w:val="nil"/>
            </w:tcBorders>
            <w:shd w:val="clear" w:color="auto" w:fill="auto"/>
            <w:noWrap/>
            <w:tcMar>
              <w:top w:w="28" w:type="dxa"/>
              <w:bottom w:w="28" w:type="dxa"/>
            </w:tcMar>
            <w:vAlign w:val="center"/>
            <w:hideMark/>
          </w:tcPr>
          <w:p w14:paraId="5BFFCE06"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67.48</w:t>
            </w:r>
          </w:p>
        </w:tc>
        <w:tc>
          <w:tcPr>
            <w:tcW w:w="144" w:type="pct"/>
            <w:tcBorders>
              <w:top w:val="nil"/>
              <w:left w:val="nil"/>
              <w:bottom w:val="nil"/>
              <w:right w:val="nil"/>
            </w:tcBorders>
            <w:shd w:val="clear" w:color="auto" w:fill="auto"/>
            <w:noWrap/>
            <w:tcMar>
              <w:top w:w="28" w:type="dxa"/>
              <w:bottom w:w="28" w:type="dxa"/>
            </w:tcMar>
            <w:vAlign w:val="center"/>
            <w:hideMark/>
          </w:tcPr>
          <w:p w14:paraId="7F8FA60D" w14:textId="77777777" w:rsidR="00F3684E" w:rsidRPr="007215A6" w:rsidRDefault="00F3684E" w:rsidP="003B708E">
            <w:pPr>
              <w:keepNext/>
              <w:keepLines/>
              <w:jc w:val="center"/>
              <w:rPr>
                <w:rFonts w:ascii="Times New Roman" w:hAnsi="Times New Roman" w:cs="Times New Roman"/>
                <w:color w:val="000000"/>
                <w:sz w:val="22"/>
                <w:szCs w:val="22"/>
              </w:rPr>
            </w:pPr>
          </w:p>
        </w:tc>
        <w:tc>
          <w:tcPr>
            <w:tcW w:w="1081" w:type="pct"/>
            <w:tcBorders>
              <w:top w:val="nil"/>
              <w:left w:val="nil"/>
              <w:bottom w:val="nil"/>
              <w:right w:val="nil"/>
            </w:tcBorders>
            <w:shd w:val="clear" w:color="auto" w:fill="auto"/>
            <w:noWrap/>
            <w:tcMar>
              <w:top w:w="28" w:type="dxa"/>
              <w:bottom w:w="28" w:type="dxa"/>
            </w:tcMar>
            <w:vAlign w:val="center"/>
            <w:hideMark/>
          </w:tcPr>
          <w:p w14:paraId="44E233D0"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13.89</w:t>
            </w:r>
          </w:p>
        </w:tc>
        <w:tc>
          <w:tcPr>
            <w:tcW w:w="888" w:type="pct"/>
            <w:tcBorders>
              <w:top w:val="nil"/>
              <w:left w:val="nil"/>
              <w:bottom w:val="nil"/>
              <w:right w:val="nil"/>
            </w:tcBorders>
            <w:shd w:val="clear" w:color="auto" w:fill="auto"/>
            <w:noWrap/>
            <w:tcMar>
              <w:top w:w="28" w:type="dxa"/>
              <w:bottom w:w="28" w:type="dxa"/>
            </w:tcMar>
            <w:vAlign w:val="center"/>
            <w:hideMark/>
          </w:tcPr>
          <w:p w14:paraId="34EA8C67"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10.13</w:t>
            </w:r>
          </w:p>
        </w:tc>
        <w:tc>
          <w:tcPr>
            <w:tcW w:w="858" w:type="pct"/>
            <w:tcBorders>
              <w:top w:val="nil"/>
              <w:left w:val="nil"/>
              <w:bottom w:val="nil"/>
              <w:right w:val="nil"/>
            </w:tcBorders>
            <w:shd w:val="clear" w:color="auto" w:fill="auto"/>
            <w:noWrap/>
            <w:tcMar>
              <w:top w:w="28" w:type="dxa"/>
              <w:bottom w:w="28" w:type="dxa"/>
            </w:tcMar>
            <w:vAlign w:val="center"/>
            <w:hideMark/>
          </w:tcPr>
          <w:p w14:paraId="25191D17"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8.51</w:t>
            </w:r>
          </w:p>
        </w:tc>
      </w:tr>
      <w:tr w:rsidR="00F3684E" w:rsidRPr="007215A6" w14:paraId="0CAF0AF9" w14:textId="77777777" w:rsidTr="003B708E">
        <w:trPr>
          <w:trHeight w:val="315"/>
        </w:trPr>
        <w:tc>
          <w:tcPr>
            <w:tcW w:w="1111" w:type="pct"/>
            <w:tcBorders>
              <w:top w:val="nil"/>
              <w:left w:val="nil"/>
              <w:bottom w:val="nil"/>
              <w:right w:val="nil"/>
            </w:tcBorders>
            <w:shd w:val="clear" w:color="auto" w:fill="auto"/>
            <w:noWrap/>
            <w:tcMar>
              <w:top w:w="28" w:type="dxa"/>
              <w:bottom w:w="28" w:type="dxa"/>
            </w:tcMar>
            <w:vAlign w:val="center"/>
            <w:hideMark/>
          </w:tcPr>
          <w:p w14:paraId="2957719D" w14:textId="77777777" w:rsidR="00F3684E" w:rsidRPr="007215A6" w:rsidRDefault="00F3684E" w:rsidP="003B708E">
            <w:pPr>
              <w:keepNext/>
              <w:keepLines/>
              <w:jc w:val="center"/>
              <w:rPr>
                <w:rFonts w:ascii="Times New Roman" w:hAnsi="Times New Roman" w:cs="Times New Roman"/>
                <w:color w:val="000000"/>
                <w:sz w:val="22"/>
                <w:szCs w:val="22"/>
              </w:rPr>
            </w:pPr>
            <w:proofErr w:type="gramStart"/>
            <w:r w:rsidRPr="007215A6">
              <w:rPr>
                <w:rFonts w:ascii="Times New Roman" w:hAnsi="Times New Roman" w:cs="Times New Roman"/>
                <w:color w:val="000000"/>
                <w:sz w:val="22"/>
                <w:szCs w:val="22"/>
              </w:rPr>
              <w:t>F(</w:t>
            </w:r>
            <w:proofErr w:type="gramEnd"/>
            <w:r w:rsidRPr="007215A6">
              <w:rPr>
                <w:rFonts w:ascii="Times New Roman" w:hAnsi="Times New Roman" w:cs="Times New Roman"/>
                <w:color w:val="000000"/>
                <w:sz w:val="22"/>
                <w:szCs w:val="22"/>
              </w:rPr>
              <w:t>3|2)</w:t>
            </w:r>
          </w:p>
        </w:tc>
        <w:tc>
          <w:tcPr>
            <w:tcW w:w="918" w:type="pct"/>
            <w:tcBorders>
              <w:top w:val="nil"/>
              <w:left w:val="nil"/>
              <w:bottom w:val="nil"/>
              <w:right w:val="nil"/>
            </w:tcBorders>
            <w:shd w:val="clear" w:color="auto" w:fill="auto"/>
            <w:noWrap/>
            <w:tcMar>
              <w:top w:w="28" w:type="dxa"/>
              <w:bottom w:w="28" w:type="dxa"/>
            </w:tcMar>
            <w:vAlign w:val="center"/>
            <w:hideMark/>
          </w:tcPr>
          <w:p w14:paraId="1AAE5FCA"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98.5</w:t>
            </w:r>
          </w:p>
        </w:tc>
        <w:tc>
          <w:tcPr>
            <w:tcW w:w="144" w:type="pct"/>
            <w:tcBorders>
              <w:top w:val="nil"/>
              <w:left w:val="nil"/>
              <w:bottom w:val="nil"/>
              <w:right w:val="nil"/>
            </w:tcBorders>
            <w:shd w:val="clear" w:color="auto" w:fill="auto"/>
            <w:noWrap/>
            <w:tcMar>
              <w:top w:w="28" w:type="dxa"/>
              <w:bottom w:w="28" w:type="dxa"/>
            </w:tcMar>
            <w:vAlign w:val="center"/>
            <w:hideMark/>
          </w:tcPr>
          <w:p w14:paraId="2E9D945D" w14:textId="77777777" w:rsidR="00F3684E" w:rsidRPr="007215A6" w:rsidRDefault="00F3684E" w:rsidP="003B708E">
            <w:pPr>
              <w:keepNext/>
              <w:keepLines/>
              <w:jc w:val="center"/>
              <w:rPr>
                <w:rFonts w:ascii="Times New Roman" w:hAnsi="Times New Roman" w:cs="Times New Roman"/>
                <w:color w:val="000000"/>
                <w:sz w:val="22"/>
                <w:szCs w:val="22"/>
              </w:rPr>
            </w:pPr>
          </w:p>
        </w:tc>
        <w:tc>
          <w:tcPr>
            <w:tcW w:w="1081" w:type="pct"/>
            <w:tcBorders>
              <w:top w:val="nil"/>
              <w:left w:val="nil"/>
              <w:bottom w:val="nil"/>
              <w:right w:val="nil"/>
            </w:tcBorders>
            <w:shd w:val="clear" w:color="auto" w:fill="auto"/>
            <w:noWrap/>
            <w:tcMar>
              <w:top w:w="28" w:type="dxa"/>
              <w:bottom w:w="28" w:type="dxa"/>
            </w:tcMar>
            <w:vAlign w:val="center"/>
            <w:hideMark/>
          </w:tcPr>
          <w:p w14:paraId="6E516E4D"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14.80</w:t>
            </w:r>
          </w:p>
        </w:tc>
        <w:tc>
          <w:tcPr>
            <w:tcW w:w="888" w:type="pct"/>
            <w:tcBorders>
              <w:top w:val="nil"/>
              <w:left w:val="nil"/>
              <w:bottom w:val="nil"/>
              <w:right w:val="nil"/>
            </w:tcBorders>
            <w:shd w:val="clear" w:color="auto" w:fill="auto"/>
            <w:noWrap/>
            <w:tcMar>
              <w:top w:w="28" w:type="dxa"/>
              <w:bottom w:w="28" w:type="dxa"/>
            </w:tcMar>
            <w:vAlign w:val="center"/>
            <w:hideMark/>
          </w:tcPr>
          <w:p w14:paraId="45017ADB"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11.14</w:t>
            </w:r>
          </w:p>
        </w:tc>
        <w:tc>
          <w:tcPr>
            <w:tcW w:w="858" w:type="pct"/>
            <w:tcBorders>
              <w:top w:val="nil"/>
              <w:left w:val="nil"/>
              <w:bottom w:val="nil"/>
              <w:right w:val="nil"/>
            </w:tcBorders>
            <w:shd w:val="clear" w:color="auto" w:fill="auto"/>
            <w:noWrap/>
            <w:tcMar>
              <w:top w:w="28" w:type="dxa"/>
              <w:bottom w:w="28" w:type="dxa"/>
            </w:tcMar>
            <w:vAlign w:val="center"/>
            <w:hideMark/>
          </w:tcPr>
          <w:p w14:paraId="64D2F933"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9.41</w:t>
            </w:r>
          </w:p>
        </w:tc>
      </w:tr>
      <w:tr w:rsidR="00F3684E" w:rsidRPr="007215A6" w14:paraId="7AB0CCD6" w14:textId="77777777" w:rsidTr="003B708E">
        <w:trPr>
          <w:trHeight w:val="315"/>
        </w:trPr>
        <w:tc>
          <w:tcPr>
            <w:tcW w:w="1111" w:type="pct"/>
            <w:tcBorders>
              <w:top w:val="nil"/>
              <w:left w:val="nil"/>
              <w:bottom w:val="nil"/>
              <w:right w:val="nil"/>
            </w:tcBorders>
            <w:shd w:val="clear" w:color="auto" w:fill="auto"/>
            <w:noWrap/>
            <w:tcMar>
              <w:top w:w="28" w:type="dxa"/>
              <w:bottom w:w="28" w:type="dxa"/>
            </w:tcMar>
            <w:vAlign w:val="center"/>
            <w:hideMark/>
          </w:tcPr>
          <w:p w14:paraId="3244A615" w14:textId="77777777" w:rsidR="00F3684E" w:rsidRPr="007215A6" w:rsidRDefault="00F3684E" w:rsidP="003B708E">
            <w:pPr>
              <w:keepNext/>
              <w:keepLines/>
              <w:jc w:val="center"/>
              <w:rPr>
                <w:rFonts w:ascii="Times New Roman" w:hAnsi="Times New Roman" w:cs="Times New Roman"/>
                <w:color w:val="000000"/>
                <w:sz w:val="22"/>
                <w:szCs w:val="22"/>
              </w:rPr>
            </w:pPr>
            <w:proofErr w:type="gramStart"/>
            <w:r w:rsidRPr="007215A6">
              <w:rPr>
                <w:rFonts w:ascii="Times New Roman" w:hAnsi="Times New Roman" w:cs="Times New Roman"/>
                <w:color w:val="000000"/>
                <w:sz w:val="22"/>
                <w:szCs w:val="22"/>
              </w:rPr>
              <w:t>F(</w:t>
            </w:r>
            <w:proofErr w:type="gramEnd"/>
            <w:r w:rsidRPr="007215A6">
              <w:rPr>
                <w:rFonts w:ascii="Times New Roman" w:hAnsi="Times New Roman" w:cs="Times New Roman"/>
                <w:color w:val="000000"/>
                <w:sz w:val="22"/>
                <w:szCs w:val="22"/>
              </w:rPr>
              <w:t>4|3)</w:t>
            </w:r>
          </w:p>
        </w:tc>
        <w:tc>
          <w:tcPr>
            <w:tcW w:w="918" w:type="pct"/>
            <w:tcBorders>
              <w:top w:val="nil"/>
              <w:left w:val="nil"/>
              <w:bottom w:val="nil"/>
              <w:right w:val="nil"/>
            </w:tcBorders>
            <w:shd w:val="clear" w:color="auto" w:fill="auto"/>
            <w:noWrap/>
            <w:tcMar>
              <w:top w:w="28" w:type="dxa"/>
              <w:bottom w:w="28" w:type="dxa"/>
            </w:tcMar>
            <w:vAlign w:val="center"/>
            <w:hideMark/>
          </w:tcPr>
          <w:p w14:paraId="0EA4533E"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91.18</w:t>
            </w:r>
          </w:p>
        </w:tc>
        <w:tc>
          <w:tcPr>
            <w:tcW w:w="144" w:type="pct"/>
            <w:tcBorders>
              <w:top w:val="nil"/>
              <w:left w:val="nil"/>
              <w:bottom w:val="nil"/>
              <w:right w:val="nil"/>
            </w:tcBorders>
            <w:shd w:val="clear" w:color="auto" w:fill="auto"/>
            <w:noWrap/>
            <w:tcMar>
              <w:top w:w="28" w:type="dxa"/>
              <w:bottom w:w="28" w:type="dxa"/>
            </w:tcMar>
            <w:vAlign w:val="center"/>
            <w:hideMark/>
          </w:tcPr>
          <w:p w14:paraId="511A1C4F" w14:textId="77777777" w:rsidR="00F3684E" w:rsidRPr="007215A6" w:rsidRDefault="00F3684E" w:rsidP="003B708E">
            <w:pPr>
              <w:keepNext/>
              <w:keepLines/>
              <w:jc w:val="center"/>
              <w:rPr>
                <w:rFonts w:ascii="Times New Roman" w:hAnsi="Times New Roman" w:cs="Times New Roman"/>
                <w:color w:val="000000"/>
                <w:sz w:val="22"/>
                <w:szCs w:val="22"/>
              </w:rPr>
            </w:pPr>
          </w:p>
        </w:tc>
        <w:tc>
          <w:tcPr>
            <w:tcW w:w="1081" w:type="pct"/>
            <w:tcBorders>
              <w:top w:val="nil"/>
              <w:left w:val="nil"/>
              <w:bottom w:val="nil"/>
              <w:right w:val="nil"/>
            </w:tcBorders>
            <w:shd w:val="clear" w:color="auto" w:fill="auto"/>
            <w:noWrap/>
            <w:tcMar>
              <w:top w:w="28" w:type="dxa"/>
              <w:bottom w:w="28" w:type="dxa"/>
            </w:tcMar>
            <w:vAlign w:val="center"/>
            <w:hideMark/>
          </w:tcPr>
          <w:p w14:paraId="71BCD1AC"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15.28</w:t>
            </w:r>
          </w:p>
        </w:tc>
        <w:tc>
          <w:tcPr>
            <w:tcW w:w="888" w:type="pct"/>
            <w:tcBorders>
              <w:top w:val="nil"/>
              <w:left w:val="nil"/>
              <w:bottom w:val="nil"/>
              <w:right w:val="nil"/>
            </w:tcBorders>
            <w:shd w:val="clear" w:color="auto" w:fill="auto"/>
            <w:noWrap/>
            <w:tcMar>
              <w:top w:w="28" w:type="dxa"/>
              <w:bottom w:w="28" w:type="dxa"/>
            </w:tcMar>
            <w:vAlign w:val="center"/>
            <w:hideMark/>
          </w:tcPr>
          <w:p w14:paraId="73C49E8E"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11.83</w:t>
            </w:r>
          </w:p>
        </w:tc>
        <w:tc>
          <w:tcPr>
            <w:tcW w:w="858" w:type="pct"/>
            <w:tcBorders>
              <w:top w:val="nil"/>
              <w:left w:val="nil"/>
              <w:bottom w:val="nil"/>
              <w:right w:val="nil"/>
            </w:tcBorders>
            <w:shd w:val="clear" w:color="auto" w:fill="auto"/>
            <w:noWrap/>
            <w:tcMar>
              <w:top w:w="28" w:type="dxa"/>
              <w:bottom w:w="28" w:type="dxa"/>
            </w:tcMar>
            <w:vAlign w:val="center"/>
            <w:hideMark/>
          </w:tcPr>
          <w:p w14:paraId="59039D27"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10.04</w:t>
            </w:r>
          </w:p>
        </w:tc>
      </w:tr>
      <w:tr w:rsidR="00F3684E" w:rsidRPr="007215A6" w14:paraId="1658BDA4" w14:textId="77777777" w:rsidTr="003B708E">
        <w:trPr>
          <w:trHeight w:val="315"/>
        </w:trPr>
        <w:tc>
          <w:tcPr>
            <w:tcW w:w="1111" w:type="pct"/>
            <w:tcBorders>
              <w:top w:val="nil"/>
              <w:left w:val="nil"/>
              <w:bottom w:val="single" w:sz="4" w:space="0" w:color="auto"/>
              <w:right w:val="nil"/>
            </w:tcBorders>
            <w:shd w:val="clear" w:color="auto" w:fill="auto"/>
            <w:noWrap/>
            <w:tcMar>
              <w:top w:w="28" w:type="dxa"/>
              <w:bottom w:w="28" w:type="dxa"/>
            </w:tcMar>
            <w:vAlign w:val="center"/>
            <w:hideMark/>
          </w:tcPr>
          <w:p w14:paraId="6BAF2E9E" w14:textId="77777777" w:rsidR="00F3684E" w:rsidRPr="007215A6" w:rsidRDefault="00F3684E" w:rsidP="003B708E">
            <w:pPr>
              <w:keepNext/>
              <w:keepLines/>
              <w:jc w:val="center"/>
              <w:rPr>
                <w:rFonts w:ascii="Times New Roman" w:hAnsi="Times New Roman" w:cs="Times New Roman"/>
                <w:color w:val="000000"/>
                <w:sz w:val="22"/>
                <w:szCs w:val="22"/>
              </w:rPr>
            </w:pPr>
            <w:proofErr w:type="gramStart"/>
            <w:r w:rsidRPr="007215A6">
              <w:rPr>
                <w:rFonts w:ascii="Times New Roman" w:hAnsi="Times New Roman" w:cs="Times New Roman"/>
                <w:color w:val="000000"/>
                <w:sz w:val="22"/>
                <w:szCs w:val="22"/>
              </w:rPr>
              <w:t>F(</w:t>
            </w:r>
            <w:proofErr w:type="gramEnd"/>
            <w:r w:rsidRPr="007215A6">
              <w:rPr>
                <w:rFonts w:ascii="Times New Roman" w:hAnsi="Times New Roman" w:cs="Times New Roman"/>
                <w:color w:val="000000"/>
                <w:sz w:val="22"/>
                <w:szCs w:val="22"/>
              </w:rPr>
              <w:t>5|4)</w:t>
            </w:r>
          </w:p>
        </w:tc>
        <w:tc>
          <w:tcPr>
            <w:tcW w:w="918" w:type="pct"/>
            <w:tcBorders>
              <w:top w:val="nil"/>
              <w:left w:val="nil"/>
              <w:bottom w:val="single" w:sz="4" w:space="0" w:color="auto"/>
              <w:right w:val="nil"/>
            </w:tcBorders>
            <w:shd w:val="clear" w:color="auto" w:fill="auto"/>
            <w:noWrap/>
            <w:tcMar>
              <w:top w:w="28" w:type="dxa"/>
              <w:bottom w:w="28" w:type="dxa"/>
            </w:tcMar>
            <w:vAlign w:val="center"/>
            <w:hideMark/>
          </w:tcPr>
          <w:p w14:paraId="3A9C4D6C"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93.47</w:t>
            </w:r>
          </w:p>
        </w:tc>
        <w:tc>
          <w:tcPr>
            <w:tcW w:w="144" w:type="pct"/>
            <w:tcBorders>
              <w:top w:val="nil"/>
              <w:left w:val="nil"/>
              <w:bottom w:val="single" w:sz="4" w:space="0" w:color="auto"/>
              <w:right w:val="nil"/>
            </w:tcBorders>
            <w:shd w:val="clear" w:color="auto" w:fill="auto"/>
            <w:noWrap/>
            <w:tcMar>
              <w:top w:w="28" w:type="dxa"/>
              <w:bottom w:w="28" w:type="dxa"/>
            </w:tcMar>
            <w:vAlign w:val="center"/>
            <w:hideMark/>
          </w:tcPr>
          <w:p w14:paraId="195302FA" w14:textId="77777777" w:rsidR="00F3684E" w:rsidRPr="007215A6" w:rsidRDefault="00F3684E" w:rsidP="003B708E">
            <w:pPr>
              <w:keepNext/>
              <w:keepLines/>
              <w:jc w:val="center"/>
              <w:rPr>
                <w:rFonts w:ascii="Times New Roman" w:hAnsi="Times New Roman" w:cs="Times New Roman"/>
                <w:color w:val="000000"/>
                <w:sz w:val="22"/>
                <w:szCs w:val="22"/>
              </w:rPr>
            </w:pPr>
          </w:p>
        </w:tc>
        <w:tc>
          <w:tcPr>
            <w:tcW w:w="1081" w:type="pct"/>
            <w:tcBorders>
              <w:top w:val="nil"/>
              <w:left w:val="nil"/>
              <w:bottom w:val="single" w:sz="4" w:space="0" w:color="auto"/>
              <w:right w:val="nil"/>
            </w:tcBorders>
            <w:shd w:val="clear" w:color="auto" w:fill="auto"/>
            <w:noWrap/>
            <w:tcMar>
              <w:top w:w="28" w:type="dxa"/>
              <w:bottom w:w="28" w:type="dxa"/>
            </w:tcMar>
            <w:vAlign w:val="center"/>
            <w:hideMark/>
          </w:tcPr>
          <w:p w14:paraId="20A5E306"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15.76</w:t>
            </w:r>
          </w:p>
        </w:tc>
        <w:tc>
          <w:tcPr>
            <w:tcW w:w="888" w:type="pct"/>
            <w:tcBorders>
              <w:top w:val="nil"/>
              <w:left w:val="nil"/>
              <w:bottom w:val="single" w:sz="4" w:space="0" w:color="auto"/>
              <w:right w:val="nil"/>
            </w:tcBorders>
            <w:shd w:val="clear" w:color="auto" w:fill="auto"/>
            <w:noWrap/>
            <w:tcMar>
              <w:top w:w="28" w:type="dxa"/>
              <w:bottom w:w="28" w:type="dxa"/>
            </w:tcMar>
            <w:vAlign w:val="center"/>
            <w:hideMark/>
          </w:tcPr>
          <w:p w14:paraId="17032B7C"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12.25</w:t>
            </w:r>
          </w:p>
        </w:tc>
        <w:tc>
          <w:tcPr>
            <w:tcW w:w="858" w:type="pct"/>
            <w:tcBorders>
              <w:top w:val="nil"/>
              <w:left w:val="nil"/>
              <w:bottom w:val="single" w:sz="4" w:space="0" w:color="auto"/>
              <w:right w:val="nil"/>
            </w:tcBorders>
            <w:shd w:val="clear" w:color="auto" w:fill="auto"/>
            <w:noWrap/>
            <w:tcMar>
              <w:top w:w="28" w:type="dxa"/>
              <w:bottom w:w="28" w:type="dxa"/>
            </w:tcMar>
            <w:vAlign w:val="center"/>
            <w:hideMark/>
          </w:tcPr>
          <w:p w14:paraId="6FA7E067"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10.58</w:t>
            </w:r>
          </w:p>
        </w:tc>
      </w:tr>
      <w:tr w:rsidR="00F3684E" w:rsidRPr="007215A6" w14:paraId="12E5BAEF" w14:textId="77777777" w:rsidTr="003B708E">
        <w:trPr>
          <w:trHeight w:val="315"/>
        </w:trPr>
        <w:tc>
          <w:tcPr>
            <w:tcW w:w="1111" w:type="pct"/>
            <w:tcBorders>
              <w:top w:val="nil"/>
              <w:left w:val="nil"/>
              <w:bottom w:val="single" w:sz="4" w:space="0" w:color="auto"/>
              <w:right w:val="nil"/>
            </w:tcBorders>
            <w:shd w:val="clear" w:color="auto" w:fill="auto"/>
            <w:noWrap/>
            <w:tcMar>
              <w:top w:w="28" w:type="dxa"/>
              <w:bottom w:w="28" w:type="dxa"/>
            </w:tcMar>
            <w:vAlign w:val="center"/>
            <w:hideMark/>
          </w:tcPr>
          <w:p w14:paraId="656FF78B" w14:textId="77777777" w:rsidR="00F3684E" w:rsidRPr="007215A6" w:rsidRDefault="00F3684E" w:rsidP="003B708E">
            <w:pPr>
              <w:keepNext/>
              <w:keepLines/>
              <w:jc w:val="center"/>
              <w:rPr>
                <w:rFonts w:ascii="Times New Roman" w:hAnsi="Times New Roman" w:cs="Times New Roman"/>
                <w:b/>
                <w:bCs/>
                <w:color w:val="000000"/>
                <w:sz w:val="22"/>
                <w:szCs w:val="22"/>
              </w:rPr>
            </w:pPr>
            <w:r w:rsidRPr="007215A6">
              <w:rPr>
                <w:rFonts w:ascii="Times New Roman" w:hAnsi="Times New Roman" w:cs="Times New Roman"/>
                <w:b/>
                <w:bCs/>
                <w:color w:val="000000"/>
                <w:sz w:val="22"/>
                <w:szCs w:val="22"/>
              </w:rPr>
              <w:t>Unknown breaks:</w:t>
            </w:r>
          </w:p>
        </w:tc>
        <w:tc>
          <w:tcPr>
            <w:tcW w:w="3889" w:type="pct"/>
            <w:gridSpan w:val="5"/>
            <w:tcBorders>
              <w:top w:val="single" w:sz="4" w:space="0" w:color="auto"/>
              <w:left w:val="nil"/>
              <w:bottom w:val="single" w:sz="4" w:space="0" w:color="auto"/>
              <w:right w:val="nil"/>
            </w:tcBorders>
            <w:shd w:val="clear" w:color="auto" w:fill="auto"/>
            <w:noWrap/>
            <w:tcMar>
              <w:top w:w="28" w:type="dxa"/>
              <w:bottom w:w="28" w:type="dxa"/>
            </w:tcMar>
            <w:vAlign w:val="center"/>
            <w:hideMark/>
          </w:tcPr>
          <w:p w14:paraId="13788DD4" w14:textId="77777777" w:rsidR="00F3684E" w:rsidRPr="007215A6" w:rsidRDefault="00F3684E" w:rsidP="003B708E">
            <w:pPr>
              <w:keepNext/>
              <w:keepLines/>
              <w:jc w:val="center"/>
              <w:rPr>
                <w:rFonts w:ascii="Times New Roman" w:hAnsi="Times New Roman" w:cs="Times New Roman"/>
                <w:color w:val="000000"/>
                <w:sz w:val="22"/>
                <w:szCs w:val="22"/>
              </w:rPr>
            </w:pPr>
            <w:r w:rsidRPr="007215A6">
              <w:rPr>
                <w:rFonts w:ascii="Times New Roman" w:hAnsi="Times New Roman" w:cs="Times New Roman"/>
                <w:color w:val="000000"/>
                <w:sz w:val="22"/>
                <w:szCs w:val="22"/>
              </w:rPr>
              <w:t>2000m8, 2005m5, 2009m6, 2015m6, 2020m3</w:t>
            </w:r>
          </w:p>
        </w:tc>
      </w:tr>
    </w:tbl>
    <w:p w14:paraId="79BD9C9B" w14:textId="039ABB26" w:rsidR="00F3684E" w:rsidRPr="007215A6" w:rsidRDefault="00264623" w:rsidP="00F3684E">
      <w:pPr>
        <w:keepNext/>
        <w:keepLines/>
        <w:jc w:val="both"/>
        <w:rPr>
          <w:rFonts w:ascii="Times New Roman" w:eastAsia="Arial" w:hAnsi="Times New Roman" w:cs="Times New Roman"/>
        </w:rPr>
      </w:pPr>
      <w:r>
        <w:rPr>
          <w:rFonts w:ascii="Times New Roman" w:eastAsia="Arial" w:hAnsi="Times New Roman" w:cs="Times New Roman"/>
        </w:rPr>
        <w:t>Note</w:t>
      </w:r>
      <w:r w:rsidR="00C859FF">
        <w:rPr>
          <w:rFonts w:ascii="Times New Roman" w:eastAsia="Arial" w:hAnsi="Times New Roman" w:cs="Times New Roman"/>
        </w:rPr>
        <w:t>s</w:t>
      </w:r>
      <w:r>
        <w:rPr>
          <w:rFonts w:ascii="Times New Roman" w:eastAsia="Arial" w:hAnsi="Times New Roman" w:cs="Times New Roman"/>
        </w:rPr>
        <w:t xml:space="preserve">: </w:t>
      </w:r>
      <w:r w:rsidR="00F3684E" w:rsidRPr="007215A6">
        <w:rPr>
          <w:rFonts w:ascii="Times New Roman" w:eastAsia="Arial" w:hAnsi="Times New Roman" w:cs="Times New Roman"/>
        </w:rPr>
        <w:t xml:space="preserve">Test statistics and critical values are based on </w:t>
      </w:r>
      <w:proofErr w:type="spellStart"/>
      <w:r w:rsidR="00F3684E" w:rsidRPr="007215A6">
        <w:rPr>
          <w:rFonts w:ascii="Times New Roman" w:eastAsia="Arial" w:hAnsi="Times New Roman" w:cs="Times New Roman"/>
        </w:rPr>
        <w:t>Ditzen</w:t>
      </w:r>
      <w:proofErr w:type="spellEnd"/>
      <w:r w:rsidR="00F3684E" w:rsidRPr="007215A6">
        <w:rPr>
          <w:rFonts w:ascii="Times New Roman" w:eastAsia="Arial" w:hAnsi="Times New Roman" w:cs="Times New Roman"/>
        </w:rPr>
        <w:t xml:space="preserve"> et al. (2021) sequential tests for multiple breaks at unknown breakpoints. </w:t>
      </w:r>
    </w:p>
    <w:p w14:paraId="7A2DE90E" w14:textId="77777777" w:rsidR="00F3684E" w:rsidRPr="00D6728E" w:rsidRDefault="00F3684E" w:rsidP="00F3684E">
      <w:pPr>
        <w:ind w:firstLine="284"/>
        <w:jc w:val="both"/>
        <w:rPr>
          <w:rFonts w:ascii="Montserrat" w:hAnsi="Montserrat"/>
          <w:sz w:val="22"/>
          <w:szCs w:val="22"/>
        </w:rPr>
      </w:pPr>
    </w:p>
    <w:p w14:paraId="4E52BCF0" w14:textId="021CEDAA" w:rsidR="00F3684E" w:rsidRPr="002C09D6" w:rsidRDefault="00F3684E" w:rsidP="00F3684E">
      <w:pPr>
        <w:ind w:firstLine="284"/>
        <w:jc w:val="both"/>
        <w:rPr>
          <w:rFonts w:ascii="Times New Roman" w:hAnsi="Times New Roman" w:cs="Times New Roman"/>
          <w:sz w:val="24"/>
          <w:szCs w:val="24"/>
        </w:rPr>
      </w:pPr>
      <w:r w:rsidRPr="002C09D6">
        <w:rPr>
          <w:rFonts w:ascii="Times New Roman" w:hAnsi="Times New Roman" w:cs="Times New Roman"/>
          <w:sz w:val="24"/>
          <w:szCs w:val="24"/>
        </w:rPr>
        <w:t xml:space="preserve">The results shown in </w:t>
      </w:r>
      <w:r w:rsidRPr="00264623">
        <w:rPr>
          <w:rFonts w:ascii="Times New Roman" w:hAnsi="Times New Roman" w:cs="Times New Roman"/>
          <w:sz w:val="24"/>
          <w:szCs w:val="24"/>
        </w:rPr>
        <w:t xml:space="preserve">Figure </w:t>
      </w:r>
      <w:r w:rsidR="00C77CFD" w:rsidRPr="00264623">
        <w:rPr>
          <w:rFonts w:ascii="Times New Roman" w:hAnsi="Times New Roman" w:cs="Times New Roman"/>
          <w:sz w:val="24"/>
          <w:szCs w:val="24"/>
        </w:rPr>
        <w:t>7</w:t>
      </w:r>
      <w:r w:rsidR="00C77CFD" w:rsidRPr="002C09D6">
        <w:rPr>
          <w:rFonts w:ascii="Times New Roman" w:hAnsi="Times New Roman" w:cs="Times New Roman"/>
          <w:sz w:val="24"/>
          <w:szCs w:val="24"/>
        </w:rPr>
        <w:t xml:space="preserve"> are</w:t>
      </w:r>
      <w:r w:rsidRPr="002C09D6">
        <w:rPr>
          <w:rFonts w:ascii="Times New Roman" w:hAnsi="Times New Roman" w:cs="Times New Roman"/>
          <w:sz w:val="24"/>
          <w:szCs w:val="24"/>
        </w:rPr>
        <w:t xml:space="preserve"> based on the estimation of fixed effects quantile regression in </w:t>
      </w:r>
      <w:r w:rsidR="00CB0421">
        <w:rPr>
          <w:rFonts w:ascii="Times New Roman" w:hAnsi="Times New Roman" w:cs="Times New Roman"/>
          <w:sz w:val="24"/>
          <w:szCs w:val="24"/>
        </w:rPr>
        <w:t>e</w:t>
      </w:r>
      <w:r w:rsidRPr="00CB0421">
        <w:rPr>
          <w:rFonts w:ascii="Times New Roman" w:hAnsi="Times New Roman" w:cs="Times New Roman"/>
          <w:sz w:val="24"/>
          <w:szCs w:val="24"/>
        </w:rPr>
        <w:t xml:space="preserve">quation </w:t>
      </w:r>
      <w:r w:rsidR="00CB0421">
        <w:rPr>
          <w:rFonts w:ascii="Times New Roman" w:hAnsi="Times New Roman" w:cs="Times New Roman"/>
          <w:sz w:val="24"/>
          <w:szCs w:val="24"/>
        </w:rPr>
        <w:t>(</w:t>
      </w:r>
      <w:r w:rsidRPr="00CB0421">
        <w:rPr>
          <w:rFonts w:ascii="Times New Roman" w:hAnsi="Times New Roman" w:cs="Times New Roman"/>
          <w:sz w:val="24"/>
          <w:szCs w:val="24"/>
        </w:rPr>
        <w:t>3</w:t>
      </w:r>
      <w:r w:rsidR="00CB0421">
        <w:rPr>
          <w:rFonts w:ascii="Times New Roman" w:hAnsi="Times New Roman" w:cs="Times New Roman"/>
          <w:sz w:val="24"/>
          <w:szCs w:val="24"/>
        </w:rPr>
        <w:t>)</w:t>
      </w:r>
      <w:r w:rsidRPr="002C09D6">
        <w:rPr>
          <w:rFonts w:ascii="Times New Roman" w:hAnsi="Times New Roman" w:cs="Times New Roman"/>
          <w:sz w:val="24"/>
          <w:szCs w:val="24"/>
        </w:rPr>
        <w:t>. It suggests that there is no significant change in either the direction or the magnitude of rice and fuel price inflation on overall inflation after taking into consideration different subsample periods. In other words, the subsample results are largely consistent with the full sample estimates, with the nonlinear impact of rice and fuel prices on overall inflation mostly similar across periods. The noticeable exception is fuel prices' positive and significant effect across quantiles for the four sub-sample periods between June 2005 and April 2024.</w:t>
      </w:r>
    </w:p>
    <w:p w14:paraId="6E9415AF" w14:textId="4210CFD6" w:rsidR="007A36B6" w:rsidRPr="002C09D6" w:rsidRDefault="007A36B6" w:rsidP="00F3684E">
      <w:pPr>
        <w:ind w:firstLine="284"/>
        <w:jc w:val="both"/>
        <w:rPr>
          <w:rFonts w:ascii="Times New Roman" w:hAnsi="Times New Roman" w:cs="Times New Roman"/>
          <w:sz w:val="24"/>
          <w:szCs w:val="24"/>
        </w:rPr>
      </w:pPr>
    </w:p>
    <w:p w14:paraId="1A504D28" w14:textId="05A65444" w:rsidR="00F3684E" w:rsidRPr="002C09D6" w:rsidRDefault="007A36B6" w:rsidP="007A36B6">
      <w:pPr>
        <w:ind w:firstLine="284"/>
        <w:jc w:val="both"/>
        <w:rPr>
          <w:rFonts w:ascii="Times New Roman" w:hAnsi="Times New Roman" w:cs="Times New Roman"/>
          <w:sz w:val="24"/>
          <w:szCs w:val="24"/>
        </w:rPr>
      </w:pPr>
      <w:r w:rsidRPr="002C09D6">
        <w:rPr>
          <w:rFonts w:ascii="Times New Roman" w:hAnsi="Times New Roman" w:cs="Times New Roman"/>
          <w:sz w:val="24"/>
          <w:szCs w:val="24"/>
        </w:rPr>
        <w:t>Regarding remittances, their significant positive impact on overall inflation is evident for the April 2020 to April 2024 sub-sample period. Ho</w:t>
      </w:r>
      <w:r w:rsidR="00836F38" w:rsidRPr="002C09D6">
        <w:rPr>
          <w:rFonts w:ascii="Times New Roman" w:hAnsi="Times New Roman" w:cs="Times New Roman"/>
          <w:sz w:val="24"/>
          <w:szCs w:val="24"/>
        </w:rPr>
        <w:t>w</w:t>
      </w:r>
      <w:r w:rsidRPr="002C09D6">
        <w:rPr>
          <w:rFonts w:ascii="Times New Roman" w:hAnsi="Times New Roman" w:cs="Times New Roman"/>
          <w:sz w:val="24"/>
          <w:szCs w:val="24"/>
        </w:rPr>
        <w:t xml:space="preserve">ever, we also note that remittances have a zero slope inside the confidence interval across quantiles in most of the other sub-sample periods. Remittances shows a negative and significant effect on inflation across all quantiles for June 2005 to May 2009 sub-sample. Valera, </w:t>
      </w:r>
      <w:proofErr w:type="spellStart"/>
      <w:r w:rsidRPr="002C09D6">
        <w:rPr>
          <w:rFonts w:ascii="Times New Roman" w:hAnsi="Times New Roman" w:cs="Times New Roman"/>
          <w:sz w:val="24"/>
          <w:szCs w:val="24"/>
        </w:rPr>
        <w:t>Balié</w:t>
      </w:r>
      <w:proofErr w:type="spellEnd"/>
      <w:r w:rsidRPr="002C09D6">
        <w:rPr>
          <w:rFonts w:ascii="Times New Roman" w:hAnsi="Times New Roman" w:cs="Times New Roman"/>
          <w:sz w:val="24"/>
          <w:szCs w:val="24"/>
        </w:rPr>
        <w:t>, and Magrini (2022) interpreted such a negative effect as reflecting whether the central bank offsets or sterilizes remittances to prevent inflation.</w:t>
      </w:r>
    </w:p>
    <w:p w14:paraId="7CE88C39" w14:textId="77777777" w:rsidR="004E2B5B" w:rsidRPr="00D6728E" w:rsidRDefault="004E2B5B" w:rsidP="00D6728E">
      <w:pPr>
        <w:jc w:val="both"/>
        <w:rPr>
          <w:rFonts w:ascii="Montserrat" w:hAnsi="Montserrat"/>
          <w:sz w:val="22"/>
          <w:szCs w:val="22"/>
        </w:rPr>
        <w:sectPr w:rsidR="004E2B5B" w:rsidRPr="00D6728E" w:rsidSect="004E2B5B">
          <w:pgSz w:w="11906" w:h="16838" w:code="9"/>
          <w:pgMar w:top="1134" w:right="1440" w:bottom="1440" w:left="1440" w:header="720" w:footer="720" w:gutter="0"/>
          <w:cols w:space="720"/>
          <w:docGrid w:linePitch="360"/>
        </w:sectPr>
      </w:pPr>
    </w:p>
    <w:p w14:paraId="0058724D" w14:textId="625017FD" w:rsidR="004E2B5B" w:rsidRPr="003A4B12" w:rsidRDefault="004E2B5B" w:rsidP="004E2B5B">
      <w:pPr>
        <w:spacing w:line="260" w:lineRule="auto"/>
        <w:jc w:val="center"/>
        <w:rPr>
          <w:rFonts w:ascii="Times New Roman" w:eastAsia="Arial" w:hAnsi="Times New Roman" w:cs="Times New Roman"/>
          <w:b/>
          <w:bCs/>
          <w:sz w:val="10"/>
          <w:szCs w:val="10"/>
        </w:rPr>
      </w:pPr>
      <w:r w:rsidRPr="003A4B12">
        <w:rPr>
          <w:rFonts w:ascii="Times New Roman" w:eastAsia="Arial" w:hAnsi="Times New Roman" w:cs="Times New Roman"/>
          <w:b/>
          <w:bCs/>
          <w:sz w:val="24"/>
          <w:szCs w:val="24"/>
        </w:rPr>
        <w:lastRenderedPageBreak/>
        <w:t>Figure 7</w:t>
      </w:r>
      <w:r w:rsidR="00264623">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Fixed </w:t>
      </w:r>
      <w:r w:rsidR="00264623">
        <w:rPr>
          <w:rFonts w:ascii="Times New Roman" w:eastAsia="Arial" w:hAnsi="Times New Roman" w:cs="Times New Roman"/>
          <w:b/>
          <w:bCs/>
          <w:sz w:val="24"/>
          <w:szCs w:val="24"/>
        </w:rPr>
        <w:t>e</w:t>
      </w:r>
      <w:r w:rsidRPr="003A4B12">
        <w:rPr>
          <w:rFonts w:ascii="Times New Roman" w:eastAsia="Arial" w:hAnsi="Times New Roman" w:cs="Times New Roman"/>
          <w:b/>
          <w:bCs/>
          <w:sz w:val="24"/>
          <w:szCs w:val="24"/>
        </w:rPr>
        <w:t xml:space="preserve">ffects </w:t>
      </w:r>
      <w:r w:rsidR="00264623">
        <w:rPr>
          <w:rFonts w:ascii="Times New Roman" w:eastAsia="Arial" w:hAnsi="Times New Roman" w:cs="Times New Roman"/>
          <w:b/>
          <w:bCs/>
          <w:sz w:val="24"/>
          <w:szCs w:val="24"/>
        </w:rPr>
        <w:t>q</w:t>
      </w:r>
      <w:r w:rsidRPr="003A4B12">
        <w:rPr>
          <w:rFonts w:ascii="Times New Roman" w:eastAsia="Arial" w:hAnsi="Times New Roman" w:cs="Times New Roman"/>
          <w:b/>
          <w:bCs/>
          <w:sz w:val="24"/>
          <w:szCs w:val="24"/>
        </w:rPr>
        <w:t xml:space="preserve">uantile </w:t>
      </w:r>
      <w:r w:rsidR="00264623">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egression </w:t>
      </w:r>
      <w:r w:rsidR="00264623">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esults for </w:t>
      </w:r>
      <w:r w:rsidR="00264623">
        <w:rPr>
          <w:rFonts w:ascii="Times New Roman" w:eastAsia="Arial" w:hAnsi="Times New Roman" w:cs="Times New Roman"/>
          <w:b/>
          <w:bCs/>
          <w:sz w:val="24"/>
          <w:szCs w:val="24"/>
        </w:rPr>
        <w:t>d</w:t>
      </w:r>
      <w:r w:rsidRPr="003A4B12">
        <w:rPr>
          <w:rFonts w:ascii="Times New Roman" w:eastAsia="Arial" w:hAnsi="Times New Roman" w:cs="Times New Roman"/>
          <w:b/>
          <w:bCs/>
          <w:sz w:val="24"/>
          <w:szCs w:val="24"/>
        </w:rPr>
        <w:t xml:space="preserve">ifferent </w:t>
      </w:r>
      <w:r w:rsidR="00264623">
        <w:rPr>
          <w:rFonts w:ascii="Times New Roman" w:eastAsia="Arial" w:hAnsi="Times New Roman" w:cs="Times New Roman"/>
          <w:b/>
          <w:bCs/>
          <w:sz w:val="24"/>
          <w:szCs w:val="24"/>
        </w:rPr>
        <w:t>s</w:t>
      </w:r>
      <w:r w:rsidRPr="003A4B12">
        <w:rPr>
          <w:rFonts w:ascii="Times New Roman" w:eastAsia="Arial" w:hAnsi="Times New Roman" w:cs="Times New Roman"/>
          <w:b/>
          <w:bCs/>
          <w:sz w:val="24"/>
          <w:szCs w:val="24"/>
        </w:rPr>
        <w:t xml:space="preserve">ubsample </w:t>
      </w:r>
      <w:r w:rsidR="00264623">
        <w:rPr>
          <w:rFonts w:ascii="Times New Roman" w:eastAsia="Arial" w:hAnsi="Times New Roman" w:cs="Times New Roman"/>
          <w:b/>
          <w:bCs/>
          <w:sz w:val="24"/>
          <w:szCs w:val="24"/>
        </w:rPr>
        <w:t>p</w:t>
      </w:r>
      <w:r w:rsidRPr="003A4B12">
        <w:rPr>
          <w:rFonts w:ascii="Times New Roman" w:eastAsia="Arial" w:hAnsi="Times New Roman" w:cs="Times New Roman"/>
          <w:b/>
          <w:bCs/>
          <w:sz w:val="24"/>
          <w:szCs w:val="24"/>
        </w:rPr>
        <w:t>eriods</w:t>
      </w:r>
      <w:r w:rsidR="007215A6" w:rsidRPr="003A4B12">
        <w:rPr>
          <w:rFonts w:ascii="Times New Roman" w:eastAsia="Arial" w:hAnsi="Times New Roman" w:cs="Times New Roman"/>
          <w:b/>
          <w:bCs/>
          <w:sz w:val="24"/>
          <w:szCs w:val="24"/>
        </w:rPr>
        <w:br/>
      </w:r>
    </w:p>
    <w:tbl>
      <w:tblPr>
        <w:tblStyle w:val="TableGrid"/>
        <w:tblW w:w="14034" w:type="dxa"/>
        <w:tblInd w:w="-572" w:type="dxa"/>
        <w:tblLook w:val="04A0" w:firstRow="1" w:lastRow="0" w:firstColumn="1" w:lastColumn="0" w:noHBand="0" w:noVBand="1"/>
      </w:tblPr>
      <w:tblGrid>
        <w:gridCol w:w="552"/>
        <w:gridCol w:w="2425"/>
        <w:gridCol w:w="2126"/>
        <w:gridCol w:w="2127"/>
        <w:gridCol w:w="2268"/>
        <w:gridCol w:w="2126"/>
        <w:gridCol w:w="2410"/>
      </w:tblGrid>
      <w:tr w:rsidR="004E2B5B" w:rsidRPr="007215A6" w14:paraId="6121377B" w14:textId="77777777" w:rsidTr="00532745">
        <w:trPr>
          <w:trHeight w:val="306"/>
        </w:trPr>
        <w:tc>
          <w:tcPr>
            <w:tcW w:w="552" w:type="dxa"/>
            <w:tcBorders>
              <w:top w:val="nil"/>
              <w:left w:val="nil"/>
              <w:bottom w:val="single" w:sz="4" w:space="0" w:color="auto"/>
              <w:right w:val="nil"/>
            </w:tcBorders>
          </w:tcPr>
          <w:p w14:paraId="2DE01E12" w14:textId="77777777" w:rsidR="004E2B5B" w:rsidRPr="007215A6" w:rsidRDefault="004E2B5B" w:rsidP="00532745">
            <w:pPr>
              <w:rPr>
                <w:rFonts w:ascii="Times New Roman" w:hAnsi="Times New Roman" w:cs="Times New Roman"/>
                <w:b/>
                <w:bCs/>
                <w:sz w:val="22"/>
                <w:szCs w:val="22"/>
              </w:rPr>
            </w:pPr>
          </w:p>
        </w:tc>
        <w:tc>
          <w:tcPr>
            <w:tcW w:w="2425" w:type="dxa"/>
            <w:tcBorders>
              <w:top w:val="nil"/>
              <w:left w:val="nil"/>
              <w:bottom w:val="single" w:sz="4" w:space="0" w:color="auto"/>
              <w:right w:val="nil"/>
            </w:tcBorders>
          </w:tcPr>
          <w:p w14:paraId="09EE5D40" w14:textId="77777777" w:rsidR="004E2B5B" w:rsidRPr="007215A6" w:rsidRDefault="004E2B5B" w:rsidP="00532745">
            <w:pPr>
              <w:jc w:val="right"/>
              <w:rPr>
                <w:rFonts w:ascii="Times New Roman" w:hAnsi="Times New Roman" w:cs="Times New Roman"/>
                <w:sz w:val="22"/>
                <w:szCs w:val="22"/>
              </w:rPr>
            </w:pPr>
            <w:r w:rsidRPr="007215A6">
              <w:rPr>
                <w:rFonts w:ascii="Times New Roman" w:hAnsi="Times New Roman" w:cs="Times New Roman"/>
                <w:sz w:val="22"/>
                <w:szCs w:val="22"/>
              </w:rPr>
              <w:t>1996m8-2000m7</w:t>
            </w:r>
          </w:p>
        </w:tc>
        <w:tc>
          <w:tcPr>
            <w:tcW w:w="2126" w:type="dxa"/>
            <w:tcBorders>
              <w:top w:val="nil"/>
              <w:left w:val="nil"/>
              <w:bottom w:val="single" w:sz="4" w:space="0" w:color="auto"/>
              <w:right w:val="nil"/>
            </w:tcBorders>
          </w:tcPr>
          <w:p w14:paraId="187C2962" w14:textId="77777777" w:rsidR="004E2B5B" w:rsidRPr="007215A6" w:rsidRDefault="004E2B5B" w:rsidP="00532745">
            <w:pPr>
              <w:jc w:val="right"/>
              <w:rPr>
                <w:rFonts w:ascii="Times New Roman" w:hAnsi="Times New Roman" w:cs="Times New Roman"/>
                <w:sz w:val="22"/>
                <w:szCs w:val="22"/>
              </w:rPr>
            </w:pPr>
            <w:r w:rsidRPr="007215A6">
              <w:rPr>
                <w:rFonts w:ascii="Times New Roman" w:hAnsi="Times New Roman" w:cs="Times New Roman"/>
                <w:sz w:val="22"/>
                <w:szCs w:val="22"/>
              </w:rPr>
              <w:t>2000m9-2005m4</w:t>
            </w:r>
          </w:p>
        </w:tc>
        <w:tc>
          <w:tcPr>
            <w:tcW w:w="2127" w:type="dxa"/>
            <w:tcBorders>
              <w:top w:val="nil"/>
              <w:left w:val="nil"/>
              <w:bottom w:val="single" w:sz="4" w:space="0" w:color="auto"/>
              <w:right w:val="nil"/>
            </w:tcBorders>
          </w:tcPr>
          <w:p w14:paraId="6E4C52DD" w14:textId="77777777" w:rsidR="004E2B5B" w:rsidRPr="007215A6" w:rsidRDefault="004E2B5B" w:rsidP="00532745">
            <w:pPr>
              <w:jc w:val="right"/>
              <w:rPr>
                <w:rFonts w:ascii="Times New Roman" w:hAnsi="Times New Roman" w:cs="Times New Roman"/>
                <w:sz w:val="22"/>
                <w:szCs w:val="22"/>
              </w:rPr>
            </w:pPr>
            <w:r w:rsidRPr="007215A6">
              <w:rPr>
                <w:rFonts w:ascii="Times New Roman" w:hAnsi="Times New Roman" w:cs="Times New Roman"/>
                <w:sz w:val="22"/>
                <w:szCs w:val="22"/>
              </w:rPr>
              <w:t>2005m6-2009m5</w:t>
            </w:r>
          </w:p>
        </w:tc>
        <w:tc>
          <w:tcPr>
            <w:tcW w:w="2268" w:type="dxa"/>
            <w:tcBorders>
              <w:top w:val="nil"/>
              <w:left w:val="nil"/>
              <w:bottom w:val="single" w:sz="4" w:space="0" w:color="auto"/>
              <w:right w:val="nil"/>
            </w:tcBorders>
          </w:tcPr>
          <w:p w14:paraId="0113E652" w14:textId="77777777" w:rsidR="004E2B5B" w:rsidRPr="007215A6" w:rsidRDefault="004E2B5B" w:rsidP="00532745">
            <w:pPr>
              <w:jc w:val="right"/>
              <w:rPr>
                <w:rFonts w:ascii="Times New Roman" w:hAnsi="Times New Roman" w:cs="Times New Roman"/>
                <w:sz w:val="22"/>
                <w:szCs w:val="22"/>
              </w:rPr>
            </w:pPr>
            <w:r w:rsidRPr="007215A6">
              <w:rPr>
                <w:rFonts w:ascii="Times New Roman" w:hAnsi="Times New Roman" w:cs="Times New Roman"/>
                <w:sz w:val="22"/>
                <w:szCs w:val="22"/>
              </w:rPr>
              <w:t>2009m7-2015m5</w:t>
            </w:r>
          </w:p>
        </w:tc>
        <w:tc>
          <w:tcPr>
            <w:tcW w:w="2126" w:type="dxa"/>
            <w:tcBorders>
              <w:top w:val="nil"/>
              <w:left w:val="nil"/>
              <w:bottom w:val="single" w:sz="4" w:space="0" w:color="auto"/>
              <w:right w:val="nil"/>
            </w:tcBorders>
          </w:tcPr>
          <w:p w14:paraId="737778FB" w14:textId="77777777" w:rsidR="004E2B5B" w:rsidRPr="007215A6" w:rsidRDefault="004E2B5B" w:rsidP="00532745">
            <w:pPr>
              <w:jc w:val="right"/>
              <w:rPr>
                <w:rFonts w:ascii="Times New Roman" w:hAnsi="Times New Roman" w:cs="Times New Roman"/>
                <w:sz w:val="22"/>
                <w:szCs w:val="22"/>
              </w:rPr>
            </w:pPr>
            <w:r w:rsidRPr="007215A6">
              <w:rPr>
                <w:rFonts w:ascii="Times New Roman" w:hAnsi="Times New Roman" w:cs="Times New Roman"/>
                <w:sz w:val="22"/>
                <w:szCs w:val="22"/>
              </w:rPr>
              <w:t>2015m7-2020m2</w:t>
            </w:r>
          </w:p>
        </w:tc>
        <w:tc>
          <w:tcPr>
            <w:tcW w:w="2410" w:type="dxa"/>
            <w:tcBorders>
              <w:top w:val="nil"/>
              <w:left w:val="nil"/>
              <w:bottom w:val="single" w:sz="4" w:space="0" w:color="auto"/>
              <w:right w:val="nil"/>
            </w:tcBorders>
          </w:tcPr>
          <w:p w14:paraId="496920EE" w14:textId="77777777" w:rsidR="004E2B5B" w:rsidRPr="007215A6" w:rsidRDefault="004E2B5B" w:rsidP="007215A6">
            <w:pPr>
              <w:jc w:val="center"/>
              <w:rPr>
                <w:rFonts w:ascii="Times New Roman" w:hAnsi="Times New Roman" w:cs="Times New Roman"/>
                <w:sz w:val="22"/>
                <w:szCs w:val="22"/>
              </w:rPr>
            </w:pPr>
            <w:r w:rsidRPr="007215A6">
              <w:rPr>
                <w:rFonts w:ascii="Times New Roman" w:hAnsi="Times New Roman" w:cs="Times New Roman"/>
                <w:sz w:val="22"/>
                <w:szCs w:val="22"/>
              </w:rPr>
              <w:t>2020m4-2024m4</w:t>
            </w:r>
          </w:p>
        </w:tc>
      </w:tr>
      <w:tr w:rsidR="004E2B5B" w:rsidRPr="00D6728E" w14:paraId="73F64D02" w14:textId="77777777" w:rsidTr="00532745">
        <w:trPr>
          <w:cantSplit/>
          <w:trHeight w:val="2730"/>
        </w:trPr>
        <w:tc>
          <w:tcPr>
            <w:tcW w:w="552" w:type="dxa"/>
            <w:tcBorders>
              <w:top w:val="single" w:sz="4" w:space="0" w:color="auto"/>
              <w:left w:val="nil"/>
              <w:bottom w:val="nil"/>
              <w:right w:val="nil"/>
            </w:tcBorders>
            <w:textDirection w:val="btLr"/>
          </w:tcPr>
          <w:p w14:paraId="525A4E89" w14:textId="77777777" w:rsidR="004E2B5B" w:rsidRPr="007215A6" w:rsidRDefault="004E2B5B" w:rsidP="00532745">
            <w:pPr>
              <w:ind w:left="113" w:right="113"/>
              <w:jc w:val="center"/>
              <w:rPr>
                <w:rFonts w:ascii="Times New Roman" w:hAnsi="Times New Roman" w:cs="Times New Roman"/>
                <w:sz w:val="22"/>
                <w:szCs w:val="22"/>
              </w:rPr>
            </w:pPr>
            <w:r w:rsidRPr="007215A6">
              <w:rPr>
                <w:rFonts w:ascii="Times New Roman" w:hAnsi="Times New Roman" w:cs="Times New Roman"/>
                <w:sz w:val="22"/>
                <w:szCs w:val="22"/>
              </w:rPr>
              <w:t>Rice</w:t>
            </w:r>
          </w:p>
        </w:tc>
        <w:tc>
          <w:tcPr>
            <w:tcW w:w="13482" w:type="dxa"/>
            <w:gridSpan w:val="6"/>
            <w:tcBorders>
              <w:top w:val="single" w:sz="4" w:space="0" w:color="auto"/>
              <w:left w:val="nil"/>
              <w:bottom w:val="nil"/>
              <w:right w:val="nil"/>
            </w:tcBorders>
          </w:tcPr>
          <w:p w14:paraId="6D83CA57" w14:textId="77777777" w:rsidR="004E2B5B" w:rsidRPr="00D6728E" w:rsidRDefault="004E2B5B" w:rsidP="00532745">
            <w:pPr>
              <w:rPr>
                <w:rFonts w:ascii="Montserrat" w:hAnsi="Montserrat"/>
                <w:b/>
                <w:bCs/>
              </w:rPr>
            </w:pPr>
            <w:r w:rsidRPr="00D6728E">
              <w:rPr>
                <w:rFonts w:ascii="Montserrat" w:hAnsi="Montserrat"/>
                <w:b/>
                <w:bCs/>
                <w:noProof/>
              </w:rPr>
              <w:drawing>
                <wp:inline distT="0" distB="0" distL="0" distR="0" wp14:anchorId="036D89C1" wp14:editId="1C4A6C76">
                  <wp:extent cx="8423275" cy="16846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aph of a graph&#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8423275" cy="1684655"/>
                          </a:xfrm>
                          <a:prstGeom prst="rect">
                            <a:avLst/>
                          </a:prstGeom>
                        </pic:spPr>
                      </pic:pic>
                    </a:graphicData>
                  </a:graphic>
                </wp:inline>
              </w:drawing>
            </w:r>
          </w:p>
        </w:tc>
      </w:tr>
      <w:tr w:rsidR="004E2B5B" w:rsidRPr="00D6728E" w14:paraId="62522B2D" w14:textId="77777777" w:rsidTr="00532745">
        <w:trPr>
          <w:cantSplit/>
          <w:trHeight w:val="1134"/>
        </w:trPr>
        <w:tc>
          <w:tcPr>
            <w:tcW w:w="552" w:type="dxa"/>
            <w:tcBorders>
              <w:top w:val="nil"/>
              <w:left w:val="nil"/>
              <w:bottom w:val="nil"/>
              <w:right w:val="nil"/>
            </w:tcBorders>
            <w:textDirection w:val="btLr"/>
          </w:tcPr>
          <w:p w14:paraId="4AF54B06" w14:textId="77777777" w:rsidR="004E2B5B" w:rsidRPr="007215A6" w:rsidRDefault="004E2B5B" w:rsidP="00532745">
            <w:pPr>
              <w:ind w:left="113" w:right="113"/>
              <w:jc w:val="center"/>
              <w:rPr>
                <w:rFonts w:ascii="Times New Roman" w:hAnsi="Times New Roman" w:cs="Times New Roman"/>
                <w:sz w:val="22"/>
                <w:szCs w:val="22"/>
              </w:rPr>
            </w:pPr>
            <w:r w:rsidRPr="007215A6">
              <w:rPr>
                <w:rFonts w:ascii="Times New Roman" w:hAnsi="Times New Roman" w:cs="Times New Roman"/>
                <w:sz w:val="22"/>
                <w:szCs w:val="22"/>
              </w:rPr>
              <w:t>Fuel</w:t>
            </w:r>
          </w:p>
        </w:tc>
        <w:tc>
          <w:tcPr>
            <w:tcW w:w="13482" w:type="dxa"/>
            <w:gridSpan w:val="6"/>
            <w:tcBorders>
              <w:top w:val="nil"/>
              <w:left w:val="nil"/>
              <w:bottom w:val="nil"/>
              <w:right w:val="nil"/>
            </w:tcBorders>
          </w:tcPr>
          <w:p w14:paraId="3F4C046A" w14:textId="77777777" w:rsidR="004E2B5B" w:rsidRPr="00D6728E" w:rsidRDefault="004E2B5B" w:rsidP="00532745">
            <w:pPr>
              <w:rPr>
                <w:rFonts w:ascii="Montserrat" w:hAnsi="Montserrat"/>
                <w:b/>
                <w:bCs/>
              </w:rPr>
            </w:pPr>
            <w:r w:rsidRPr="00D6728E">
              <w:rPr>
                <w:rFonts w:ascii="Montserrat" w:hAnsi="Montserrat"/>
                <w:b/>
                <w:bCs/>
                <w:noProof/>
              </w:rPr>
              <w:drawing>
                <wp:inline distT="0" distB="0" distL="0" distR="0" wp14:anchorId="6E2F98F2" wp14:editId="330B70F4">
                  <wp:extent cx="8423275" cy="16846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of a graph&#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8423275" cy="1684655"/>
                          </a:xfrm>
                          <a:prstGeom prst="rect">
                            <a:avLst/>
                          </a:prstGeom>
                        </pic:spPr>
                      </pic:pic>
                    </a:graphicData>
                  </a:graphic>
                </wp:inline>
              </w:drawing>
            </w:r>
          </w:p>
        </w:tc>
      </w:tr>
      <w:tr w:rsidR="004E2B5B" w:rsidRPr="00D6728E" w14:paraId="1957175A" w14:textId="77777777" w:rsidTr="00532745">
        <w:trPr>
          <w:cantSplit/>
          <w:trHeight w:val="2714"/>
        </w:trPr>
        <w:tc>
          <w:tcPr>
            <w:tcW w:w="552" w:type="dxa"/>
            <w:tcBorders>
              <w:top w:val="nil"/>
              <w:left w:val="nil"/>
              <w:bottom w:val="single" w:sz="4" w:space="0" w:color="auto"/>
              <w:right w:val="nil"/>
            </w:tcBorders>
            <w:textDirection w:val="btLr"/>
          </w:tcPr>
          <w:p w14:paraId="054F40EE" w14:textId="77777777" w:rsidR="004E2B5B" w:rsidRPr="007215A6" w:rsidRDefault="004E2B5B" w:rsidP="00532745">
            <w:pPr>
              <w:ind w:left="113" w:right="113"/>
              <w:jc w:val="center"/>
              <w:rPr>
                <w:rFonts w:ascii="Times New Roman" w:hAnsi="Times New Roman" w:cs="Times New Roman"/>
                <w:sz w:val="22"/>
                <w:szCs w:val="22"/>
              </w:rPr>
            </w:pPr>
            <w:r w:rsidRPr="007215A6">
              <w:rPr>
                <w:rFonts w:ascii="Times New Roman" w:hAnsi="Times New Roman" w:cs="Times New Roman"/>
                <w:sz w:val="22"/>
                <w:szCs w:val="22"/>
              </w:rPr>
              <w:t>Remittance</w:t>
            </w:r>
          </w:p>
        </w:tc>
        <w:tc>
          <w:tcPr>
            <w:tcW w:w="13482" w:type="dxa"/>
            <w:gridSpan w:val="6"/>
            <w:tcBorders>
              <w:top w:val="nil"/>
              <w:left w:val="nil"/>
              <w:bottom w:val="single" w:sz="4" w:space="0" w:color="auto"/>
              <w:right w:val="nil"/>
            </w:tcBorders>
          </w:tcPr>
          <w:p w14:paraId="4C7AAD4C" w14:textId="77777777" w:rsidR="004E2B5B" w:rsidRPr="00D6728E" w:rsidRDefault="004E2B5B" w:rsidP="00532745">
            <w:pPr>
              <w:rPr>
                <w:rFonts w:ascii="Montserrat" w:hAnsi="Montserrat"/>
                <w:b/>
                <w:bCs/>
              </w:rPr>
            </w:pPr>
            <w:r w:rsidRPr="00D6728E">
              <w:rPr>
                <w:rFonts w:ascii="Montserrat" w:hAnsi="Montserrat"/>
                <w:b/>
                <w:bCs/>
                <w:noProof/>
              </w:rPr>
              <w:drawing>
                <wp:inline distT="0" distB="0" distL="0" distR="0" wp14:anchorId="58F90FFD" wp14:editId="65E74476">
                  <wp:extent cx="8383300" cy="1676660"/>
                  <wp:effectExtent l="0" t="0" r="0" b="0"/>
                  <wp:docPr id="1199738181" name="Picture 119973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aph of a person and person&#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8383300" cy="1676660"/>
                          </a:xfrm>
                          <a:prstGeom prst="rect">
                            <a:avLst/>
                          </a:prstGeom>
                        </pic:spPr>
                      </pic:pic>
                    </a:graphicData>
                  </a:graphic>
                </wp:inline>
              </w:drawing>
            </w:r>
          </w:p>
        </w:tc>
      </w:tr>
    </w:tbl>
    <w:p w14:paraId="30E20ADB" w14:textId="7BE7054D" w:rsidR="004E2B5B" w:rsidRPr="007215A6" w:rsidRDefault="00565D3A" w:rsidP="004E2B5B">
      <w:pPr>
        <w:ind w:hanging="567"/>
        <w:jc w:val="both"/>
        <w:rPr>
          <w:rFonts w:ascii="Times New Roman" w:eastAsia="Arial" w:hAnsi="Times New Roman" w:cs="Times New Roman"/>
        </w:rPr>
        <w:sectPr w:rsidR="004E2B5B" w:rsidRPr="007215A6" w:rsidSect="004E2B5B">
          <w:pgSz w:w="16838" w:h="11906" w:orient="landscape" w:code="9"/>
          <w:pgMar w:top="1276" w:right="1440" w:bottom="1440" w:left="1440" w:header="720" w:footer="720" w:gutter="0"/>
          <w:cols w:space="720"/>
          <w:docGrid w:linePitch="360"/>
        </w:sectPr>
      </w:pPr>
      <w:r>
        <w:rPr>
          <w:rFonts w:ascii="Times New Roman" w:eastAsia="Arial" w:hAnsi="Times New Roman" w:cs="Times New Roman"/>
        </w:rPr>
        <w:t xml:space="preserve">Note: </w:t>
      </w:r>
      <w:r w:rsidR="004E2B5B" w:rsidRPr="007215A6">
        <w:rPr>
          <w:rFonts w:ascii="Times New Roman" w:eastAsia="Arial" w:hAnsi="Times New Roman" w:cs="Times New Roman"/>
        </w:rPr>
        <w:t>Gray shaded area is the 95% confidence interval around the point estimates.</w:t>
      </w:r>
    </w:p>
    <w:p w14:paraId="2047298F" w14:textId="1B639AEF" w:rsidR="004E2B5B" w:rsidRPr="00C859FF" w:rsidRDefault="00C859FF" w:rsidP="00C859FF">
      <w:pPr>
        <w:rPr>
          <w:rFonts w:ascii="Times New Roman" w:hAnsi="Times New Roman" w:cs="Times New Roman"/>
          <w:b/>
          <w:bCs/>
          <w:sz w:val="24"/>
          <w:szCs w:val="24"/>
        </w:rPr>
      </w:pPr>
      <w:bookmarkStart w:id="17" w:name="_Toc197460323"/>
      <w:r w:rsidRPr="00C859FF">
        <w:rPr>
          <w:rFonts w:ascii="Times New Roman" w:hAnsi="Times New Roman" w:cs="Times New Roman"/>
          <w:b/>
          <w:bCs/>
          <w:iCs/>
          <w:sz w:val="24"/>
          <w:szCs w:val="24"/>
        </w:rPr>
        <w:lastRenderedPageBreak/>
        <w:t>4.5.2</w:t>
      </w:r>
      <w:r w:rsidR="004E2B5B" w:rsidRPr="00C859FF">
        <w:rPr>
          <w:rFonts w:ascii="Times New Roman" w:hAnsi="Times New Roman" w:cs="Times New Roman"/>
          <w:b/>
          <w:bCs/>
          <w:sz w:val="24"/>
          <w:szCs w:val="24"/>
        </w:rPr>
        <w:t xml:space="preserve"> Alternative measures of rice surplus and deficit</w:t>
      </w:r>
      <w:bookmarkEnd w:id="17"/>
      <w:r w:rsidR="004E2B5B" w:rsidRPr="00C859FF">
        <w:rPr>
          <w:rFonts w:ascii="Times New Roman" w:hAnsi="Times New Roman" w:cs="Times New Roman"/>
          <w:b/>
          <w:bCs/>
          <w:sz w:val="24"/>
          <w:szCs w:val="24"/>
        </w:rPr>
        <w:t xml:space="preserve"> </w:t>
      </w:r>
    </w:p>
    <w:p w14:paraId="65122272" w14:textId="77777777" w:rsidR="004E2B5B" w:rsidRPr="00D6728E" w:rsidRDefault="004E2B5B" w:rsidP="004E2B5B">
      <w:pPr>
        <w:ind w:firstLine="284"/>
        <w:jc w:val="both"/>
        <w:rPr>
          <w:rFonts w:ascii="Montserrat" w:hAnsi="Montserrat"/>
          <w:sz w:val="22"/>
          <w:szCs w:val="22"/>
        </w:rPr>
      </w:pPr>
    </w:p>
    <w:p w14:paraId="03C064E8" w14:textId="59FE36D8" w:rsidR="004E2B5B" w:rsidRPr="002C09D6" w:rsidRDefault="004E2B5B" w:rsidP="002C09D6">
      <w:pPr>
        <w:autoSpaceDE w:val="0"/>
        <w:autoSpaceDN w:val="0"/>
        <w:adjustRightInd w:val="0"/>
        <w:jc w:val="both"/>
        <w:rPr>
          <w:rFonts w:ascii="Times New Roman" w:hAnsi="Times New Roman" w:cs="Times New Roman"/>
          <w:sz w:val="24"/>
          <w:szCs w:val="24"/>
        </w:rPr>
      </w:pPr>
      <w:r w:rsidRPr="002C09D6">
        <w:rPr>
          <w:rFonts w:ascii="Times New Roman" w:hAnsi="Times New Roman" w:cs="Times New Roman"/>
          <w:sz w:val="24"/>
          <w:szCs w:val="24"/>
        </w:rPr>
        <w:t xml:space="preserve">Recall that our earlier </w:t>
      </w:r>
      <w:r w:rsidRPr="002C09D6">
        <w:rPr>
          <w:rFonts w:ascii="Times New Roman" w:hAnsi="Times New Roman" w:cs="Times New Roman"/>
          <w:color w:val="000000"/>
          <w:sz w:val="24"/>
          <w:szCs w:val="24"/>
        </w:rPr>
        <w:t xml:space="preserve">calculation of the </w:t>
      </w:r>
      <w:r w:rsidRPr="002C09D6">
        <w:rPr>
          <w:rFonts w:ascii="Times New Roman" w:hAnsi="Times New Roman" w:cs="Times New Roman"/>
          <w:sz w:val="24"/>
          <w:szCs w:val="24"/>
        </w:rPr>
        <w:t xml:space="preserve">rice self-sufficiency levels across provinces relies on the NBR ratio in </w:t>
      </w:r>
      <w:r w:rsidR="00CB0421">
        <w:rPr>
          <w:rFonts w:ascii="Times New Roman" w:hAnsi="Times New Roman" w:cs="Times New Roman"/>
          <w:sz w:val="24"/>
          <w:szCs w:val="24"/>
        </w:rPr>
        <w:t>e</w:t>
      </w:r>
      <w:r w:rsidRPr="00CB0421">
        <w:rPr>
          <w:rFonts w:ascii="Times New Roman" w:hAnsi="Times New Roman" w:cs="Times New Roman"/>
          <w:sz w:val="24"/>
          <w:szCs w:val="24"/>
        </w:rPr>
        <w:t xml:space="preserve">quation </w:t>
      </w:r>
      <w:r w:rsidR="00CB0421">
        <w:rPr>
          <w:rFonts w:ascii="Times New Roman" w:hAnsi="Times New Roman" w:cs="Times New Roman"/>
          <w:sz w:val="24"/>
          <w:szCs w:val="24"/>
        </w:rPr>
        <w:t>(</w:t>
      </w:r>
      <w:r w:rsidRPr="00CB0421">
        <w:rPr>
          <w:rFonts w:ascii="Times New Roman" w:hAnsi="Times New Roman" w:cs="Times New Roman"/>
          <w:sz w:val="24"/>
          <w:szCs w:val="24"/>
        </w:rPr>
        <w:t>5</w:t>
      </w:r>
      <w:r w:rsidR="00CB0421">
        <w:rPr>
          <w:rFonts w:ascii="Times New Roman" w:hAnsi="Times New Roman" w:cs="Times New Roman"/>
          <w:sz w:val="24"/>
          <w:szCs w:val="24"/>
        </w:rPr>
        <w:t>)</w:t>
      </w:r>
      <w:r w:rsidRPr="002C09D6">
        <w:rPr>
          <w:rFonts w:ascii="Times New Roman" w:hAnsi="Times New Roman" w:cs="Times New Roman"/>
          <w:sz w:val="24"/>
          <w:szCs w:val="24"/>
        </w:rPr>
        <w:t>. One limitation of this measure is that the average rice production share and rice consumption share data are available for one period only based on the 2015 FIES. Thus, this approach does not consider the possibility that some rice deficit provinces in 2015 ha</w:t>
      </w:r>
      <w:r w:rsidR="00927E1B" w:rsidRPr="002C09D6">
        <w:rPr>
          <w:rFonts w:ascii="Times New Roman" w:hAnsi="Times New Roman" w:cs="Times New Roman"/>
          <w:sz w:val="24"/>
          <w:szCs w:val="24"/>
        </w:rPr>
        <w:t>ve</w:t>
      </w:r>
      <w:r w:rsidRPr="002C09D6">
        <w:rPr>
          <w:rFonts w:ascii="Times New Roman" w:hAnsi="Times New Roman" w:cs="Times New Roman"/>
          <w:sz w:val="24"/>
          <w:szCs w:val="24"/>
        </w:rPr>
        <w:t xml:space="preserve"> transformed into rice surplus after a few years. </w:t>
      </w:r>
    </w:p>
    <w:p w14:paraId="06EBC491" w14:textId="77777777" w:rsidR="004E2B5B" w:rsidRPr="002C09D6" w:rsidRDefault="004E2B5B" w:rsidP="004E2B5B">
      <w:pPr>
        <w:autoSpaceDE w:val="0"/>
        <w:autoSpaceDN w:val="0"/>
        <w:adjustRightInd w:val="0"/>
        <w:ind w:firstLine="720"/>
        <w:jc w:val="both"/>
        <w:rPr>
          <w:rFonts w:ascii="Times New Roman" w:hAnsi="Times New Roman" w:cs="Times New Roman"/>
          <w:sz w:val="24"/>
          <w:szCs w:val="24"/>
        </w:rPr>
      </w:pPr>
    </w:p>
    <w:p w14:paraId="1DE0AF91" w14:textId="77777777" w:rsidR="004E2B5B" w:rsidRPr="002C09D6" w:rsidRDefault="004E2B5B" w:rsidP="004E2B5B">
      <w:pPr>
        <w:ind w:firstLine="284"/>
        <w:jc w:val="both"/>
        <w:rPr>
          <w:rFonts w:ascii="Times New Roman" w:hAnsi="Times New Roman" w:cs="Times New Roman"/>
          <w:sz w:val="24"/>
          <w:szCs w:val="24"/>
        </w:rPr>
      </w:pPr>
      <w:r w:rsidRPr="002C09D6">
        <w:rPr>
          <w:rFonts w:ascii="Times New Roman" w:hAnsi="Times New Roman" w:cs="Times New Roman"/>
          <w:sz w:val="24"/>
          <w:szCs w:val="24"/>
        </w:rPr>
        <w:t xml:space="preserve">To resolve this issue, we create an indicative measure of rice self-sufficiency that offers another way of grouping rice surplus and deficit provinces using 2023 data. Following Clapp (2017), the self-sufficiency ratio </w:t>
      </w:r>
      <w:proofErr w:type="spellStart"/>
      <w:r w:rsidRPr="002C09D6">
        <w:rPr>
          <w:rFonts w:ascii="Times New Roman" w:hAnsi="Times New Roman" w:cs="Times New Roman"/>
          <w:i/>
          <w:iCs/>
          <w:sz w:val="24"/>
          <w:szCs w:val="24"/>
        </w:rPr>
        <w:t>ssr</w:t>
      </w:r>
      <w:proofErr w:type="spellEnd"/>
      <w:r w:rsidRPr="002C09D6">
        <w:rPr>
          <w:rFonts w:ascii="Times New Roman" w:hAnsi="Times New Roman" w:cs="Times New Roman"/>
          <w:sz w:val="24"/>
          <w:szCs w:val="24"/>
        </w:rPr>
        <w:t xml:space="preserve"> at the national level can be expressed more formally with a simple mathematical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521"/>
      </w:tblGrid>
      <w:tr w:rsidR="004E2B5B" w:rsidRPr="00D6728E" w14:paraId="32BFF2A8" w14:textId="77777777" w:rsidTr="00532745">
        <w:trPr>
          <w:trHeight w:val="69"/>
          <w:jc w:val="center"/>
        </w:trPr>
        <w:tc>
          <w:tcPr>
            <w:tcW w:w="0" w:type="auto"/>
            <w:vAlign w:val="center"/>
          </w:tcPr>
          <w:p w14:paraId="4FBC0CB1" w14:textId="77777777" w:rsidR="004E2B5B" w:rsidRPr="00D6728E" w:rsidRDefault="004E2B5B" w:rsidP="00532745">
            <w:pPr>
              <w:rPr>
                <w:rFonts w:ascii="Montserrat" w:hAnsi="Montserrat"/>
                <w:sz w:val="22"/>
                <w:szCs w:val="22"/>
              </w:rPr>
            </w:pPr>
            <m:oMathPara>
              <m:oMath>
                <m:r>
                  <w:rPr>
                    <w:rFonts w:ascii="Cambria Math" w:hAnsi="Cambria Math"/>
                    <w:sz w:val="22"/>
                    <w:szCs w:val="22"/>
                  </w:rPr>
                  <m:t>ssr =</m:t>
                </m:r>
                <m:f>
                  <m:fPr>
                    <m:ctrlPr>
                      <w:rPr>
                        <w:rFonts w:ascii="Cambria Math" w:hAnsi="Cambria Math"/>
                        <w:i/>
                        <w:sz w:val="22"/>
                        <w:szCs w:val="22"/>
                      </w:rPr>
                    </m:ctrlPr>
                  </m:fPr>
                  <m:num>
                    <m:r>
                      <w:rPr>
                        <w:rFonts w:ascii="Cambria Math" w:hAnsi="Cambria Math"/>
                        <w:sz w:val="22"/>
                        <w:szCs w:val="22"/>
                      </w:rPr>
                      <m:t>vp</m:t>
                    </m:r>
                  </m:num>
                  <m:den>
                    <m:r>
                      <w:rPr>
                        <w:rFonts w:ascii="Cambria Math" w:hAnsi="Cambria Math"/>
                        <w:sz w:val="22"/>
                        <w:szCs w:val="22"/>
                      </w:rPr>
                      <m:t>vp+m-x</m:t>
                    </m:r>
                  </m:den>
                </m:f>
              </m:oMath>
            </m:oMathPara>
          </w:p>
        </w:tc>
        <w:tc>
          <w:tcPr>
            <w:tcW w:w="1521" w:type="dxa"/>
            <w:vAlign w:val="center"/>
          </w:tcPr>
          <w:p w14:paraId="7C3FB2EC" w14:textId="77777777" w:rsidR="004E2B5B" w:rsidRPr="00D6728E" w:rsidRDefault="004E2B5B" w:rsidP="00C859FF">
            <w:pPr>
              <w:pStyle w:val="ListParagraph"/>
              <w:numPr>
                <w:ilvl w:val="0"/>
                <w:numId w:val="34"/>
              </w:numPr>
              <w:spacing w:after="0" w:line="240" w:lineRule="auto"/>
              <w:jc w:val="center"/>
              <w:rPr>
                <w:rFonts w:ascii="Montserrat" w:hAnsi="Montserrat" w:cs="Segoe UI"/>
              </w:rPr>
            </w:pPr>
          </w:p>
        </w:tc>
      </w:tr>
    </w:tbl>
    <w:p w14:paraId="08CCF8AB" w14:textId="77777777" w:rsidR="004E2B5B" w:rsidRPr="00D6728E" w:rsidRDefault="004E2B5B" w:rsidP="004E2B5B">
      <w:pPr>
        <w:jc w:val="both"/>
        <w:rPr>
          <w:rFonts w:ascii="Montserrat" w:hAnsi="Montserrat"/>
          <w:sz w:val="22"/>
          <w:szCs w:val="22"/>
        </w:rPr>
      </w:pPr>
    </w:p>
    <w:p w14:paraId="3A6C5F3C" w14:textId="1D37CCD9" w:rsidR="004E2B5B" w:rsidRPr="002C09D6" w:rsidRDefault="004E2B5B" w:rsidP="004E2B5B">
      <w:pPr>
        <w:autoSpaceDE w:val="0"/>
        <w:autoSpaceDN w:val="0"/>
        <w:adjustRightInd w:val="0"/>
        <w:jc w:val="both"/>
        <w:rPr>
          <w:rFonts w:ascii="Times New Roman" w:hAnsi="Times New Roman" w:cs="Times New Roman"/>
          <w:sz w:val="24"/>
          <w:szCs w:val="24"/>
        </w:rPr>
      </w:pPr>
      <w:r w:rsidRPr="002C09D6">
        <w:rPr>
          <w:rFonts w:ascii="Times New Roman" w:hAnsi="Times New Roman" w:cs="Times New Roman"/>
          <w:sz w:val="24"/>
          <w:szCs w:val="24"/>
        </w:rPr>
        <w:t xml:space="preserve">where </w:t>
      </w:r>
      <w:proofErr w:type="spellStart"/>
      <w:r w:rsidRPr="002C09D6">
        <w:rPr>
          <w:rFonts w:ascii="Times New Roman" w:hAnsi="Times New Roman" w:cs="Times New Roman"/>
          <w:sz w:val="24"/>
          <w:szCs w:val="24"/>
        </w:rPr>
        <w:t>v</w:t>
      </w:r>
      <w:r w:rsidRPr="002C09D6">
        <w:rPr>
          <w:rFonts w:ascii="Times New Roman" w:hAnsi="Times New Roman" w:cs="Times New Roman"/>
          <w:i/>
          <w:iCs/>
          <w:sz w:val="24"/>
          <w:szCs w:val="24"/>
        </w:rPr>
        <w:t>p</w:t>
      </w:r>
      <w:proofErr w:type="spellEnd"/>
      <w:r w:rsidRPr="002C09D6">
        <w:rPr>
          <w:rFonts w:ascii="Times New Roman" w:hAnsi="Times New Roman" w:cs="Times New Roman"/>
          <w:sz w:val="24"/>
          <w:szCs w:val="24"/>
        </w:rPr>
        <w:t xml:space="preserve"> denotes the domestic volume of milled rice production, </w:t>
      </w:r>
      <w:r w:rsidRPr="002C09D6">
        <w:rPr>
          <w:rFonts w:ascii="Times New Roman" w:hAnsi="Times New Roman" w:cs="Times New Roman"/>
          <w:i/>
          <w:iCs/>
          <w:sz w:val="24"/>
          <w:szCs w:val="24"/>
        </w:rPr>
        <w:t>m</w:t>
      </w:r>
      <w:r w:rsidRPr="002C09D6">
        <w:rPr>
          <w:rFonts w:ascii="Times New Roman" w:hAnsi="Times New Roman" w:cs="Times New Roman"/>
          <w:sz w:val="24"/>
          <w:szCs w:val="24"/>
        </w:rPr>
        <w:t xml:space="preserve"> denotes imports</w:t>
      </w:r>
      <w:r w:rsidR="00927E1B" w:rsidRPr="002C09D6">
        <w:rPr>
          <w:rFonts w:ascii="Times New Roman" w:hAnsi="Times New Roman" w:cs="Times New Roman"/>
          <w:sz w:val="24"/>
          <w:szCs w:val="24"/>
        </w:rPr>
        <w:t>,</w:t>
      </w:r>
      <w:r w:rsidRPr="002C09D6">
        <w:rPr>
          <w:rFonts w:ascii="Times New Roman" w:hAnsi="Times New Roman" w:cs="Times New Roman"/>
          <w:sz w:val="24"/>
          <w:szCs w:val="24"/>
        </w:rPr>
        <w:t xml:space="preserve"> and </w:t>
      </w:r>
      <w:r w:rsidRPr="002C09D6">
        <w:rPr>
          <w:rFonts w:ascii="Times New Roman" w:hAnsi="Times New Roman" w:cs="Times New Roman"/>
          <w:i/>
          <w:iCs/>
          <w:sz w:val="24"/>
          <w:szCs w:val="24"/>
        </w:rPr>
        <w:t>x</w:t>
      </w:r>
      <w:r w:rsidRPr="002C09D6">
        <w:rPr>
          <w:rFonts w:ascii="Times New Roman" w:hAnsi="Times New Roman" w:cs="Times New Roman"/>
          <w:sz w:val="24"/>
          <w:szCs w:val="24"/>
        </w:rPr>
        <w:t xml:space="preserve"> denotes exports. </w:t>
      </w:r>
      <w:proofErr w:type="gramStart"/>
      <w:r w:rsidRPr="002C09D6">
        <w:rPr>
          <w:rFonts w:ascii="Times New Roman" w:hAnsi="Times New Roman" w:cs="Times New Roman"/>
          <w:sz w:val="24"/>
          <w:szCs w:val="24"/>
        </w:rPr>
        <w:t>An</w:t>
      </w:r>
      <w:proofErr w:type="gramEnd"/>
      <w:r w:rsidRPr="002C09D6">
        <w:rPr>
          <w:rFonts w:ascii="Times New Roman" w:hAnsi="Times New Roman" w:cs="Times New Roman"/>
          <w:sz w:val="24"/>
          <w:szCs w:val="24"/>
        </w:rPr>
        <w:t xml:space="preserve"> </w:t>
      </w:r>
      <w:proofErr w:type="spellStart"/>
      <w:r w:rsidRPr="002C09D6">
        <w:rPr>
          <w:rFonts w:ascii="Times New Roman" w:hAnsi="Times New Roman" w:cs="Times New Roman"/>
          <w:i/>
          <w:iCs/>
          <w:sz w:val="24"/>
          <w:szCs w:val="24"/>
        </w:rPr>
        <w:t>ssr</w:t>
      </w:r>
      <w:proofErr w:type="spellEnd"/>
      <w:r w:rsidRPr="002C09D6">
        <w:rPr>
          <w:rFonts w:ascii="Times New Roman" w:hAnsi="Times New Roman" w:cs="Times New Roman"/>
          <w:sz w:val="24"/>
          <w:szCs w:val="24"/>
        </w:rPr>
        <w:t xml:space="preserve"> of one indicates that the country is self-sufficient. </w:t>
      </w:r>
      <w:proofErr w:type="gramStart"/>
      <w:r w:rsidRPr="002C09D6">
        <w:rPr>
          <w:rFonts w:ascii="Times New Roman" w:hAnsi="Times New Roman" w:cs="Times New Roman"/>
          <w:sz w:val="24"/>
          <w:szCs w:val="24"/>
        </w:rPr>
        <w:t>An</w:t>
      </w:r>
      <w:proofErr w:type="gramEnd"/>
      <w:r w:rsidRPr="002C09D6">
        <w:rPr>
          <w:rFonts w:ascii="Times New Roman" w:hAnsi="Times New Roman" w:cs="Times New Roman"/>
          <w:sz w:val="24"/>
          <w:szCs w:val="24"/>
        </w:rPr>
        <w:t xml:space="preserve"> </w:t>
      </w:r>
      <w:proofErr w:type="spellStart"/>
      <w:r w:rsidRPr="002C09D6">
        <w:rPr>
          <w:rFonts w:ascii="Times New Roman" w:hAnsi="Times New Roman" w:cs="Times New Roman"/>
          <w:i/>
          <w:iCs/>
          <w:sz w:val="24"/>
          <w:szCs w:val="24"/>
        </w:rPr>
        <w:t>ssr</w:t>
      </w:r>
      <w:proofErr w:type="spellEnd"/>
      <w:r w:rsidRPr="002C09D6">
        <w:rPr>
          <w:rFonts w:ascii="Times New Roman" w:hAnsi="Times New Roman" w:cs="Times New Roman"/>
          <w:sz w:val="24"/>
          <w:szCs w:val="24"/>
        </w:rPr>
        <w:t xml:space="preserve"> lesser and greater than one indicates deficiency and surplus, respectively.</w:t>
      </w:r>
    </w:p>
    <w:p w14:paraId="6A8E5397" w14:textId="77777777" w:rsidR="004E2B5B" w:rsidRPr="002C09D6" w:rsidRDefault="004E2B5B" w:rsidP="004E2B5B">
      <w:pPr>
        <w:autoSpaceDE w:val="0"/>
        <w:autoSpaceDN w:val="0"/>
        <w:adjustRightInd w:val="0"/>
        <w:jc w:val="both"/>
        <w:rPr>
          <w:rFonts w:ascii="Times New Roman" w:hAnsi="Times New Roman" w:cs="Times New Roman"/>
          <w:sz w:val="24"/>
          <w:szCs w:val="24"/>
        </w:rPr>
      </w:pPr>
    </w:p>
    <w:p w14:paraId="7129BD0A" w14:textId="088ADB1B" w:rsidR="004E2B5B" w:rsidRPr="002C09D6" w:rsidRDefault="004E2B5B" w:rsidP="004E2B5B">
      <w:pPr>
        <w:autoSpaceDE w:val="0"/>
        <w:autoSpaceDN w:val="0"/>
        <w:adjustRightInd w:val="0"/>
        <w:ind w:firstLine="284"/>
        <w:jc w:val="both"/>
        <w:rPr>
          <w:rFonts w:ascii="Times New Roman" w:hAnsi="Times New Roman" w:cs="Times New Roman"/>
          <w:sz w:val="24"/>
          <w:szCs w:val="24"/>
        </w:rPr>
      </w:pPr>
      <w:r w:rsidRPr="002C09D6">
        <w:rPr>
          <w:rFonts w:ascii="Times New Roman" w:hAnsi="Times New Roman" w:cs="Times New Roman"/>
          <w:sz w:val="24"/>
          <w:szCs w:val="24"/>
        </w:rPr>
        <w:t xml:space="preserve">Analogous to </w:t>
      </w:r>
      <w:r w:rsidR="00CB0421">
        <w:rPr>
          <w:rFonts w:ascii="Times New Roman" w:hAnsi="Times New Roman" w:cs="Times New Roman"/>
          <w:sz w:val="24"/>
          <w:szCs w:val="24"/>
        </w:rPr>
        <w:t>e</w:t>
      </w:r>
      <w:r w:rsidRPr="00CB0421">
        <w:rPr>
          <w:rFonts w:ascii="Times New Roman" w:hAnsi="Times New Roman" w:cs="Times New Roman"/>
          <w:sz w:val="24"/>
          <w:szCs w:val="24"/>
        </w:rPr>
        <w:t xml:space="preserve">quation </w:t>
      </w:r>
      <w:r w:rsidR="00CB0421">
        <w:rPr>
          <w:rFonts w:ascii="Times New Roman" w:hAnsi="Times New Roman" w:cs="Times New Roman"/>
          <w:sz w:val="24"/>
          <w:szCs w:val="24"/>
        </w:rPr>
        <w:t>(</w:t>
      </w:r>
      <w:r w:rsidRPr="00CB0421">
        <w:rPr>
          <w:rFonts w:ascii="Times New Roman" w:hAnsi="Times New Roman" w:cs="Times New Roman"/>
          <w:sz w:val="24"/>
          <w:szCs w:val="24"/>
        </w:rPr>
        <w:t>9</w:t>
      </w:r>
      <w:r w:rsidR="00CB0421">
        <w:rPr>
          <w:rFonts w:ascii="Times New Roman" w:hAnsi="Times New Roman" w:cs="Times New Roman"/>
          <w:sz w:val="24"/>
          <w:szCs w:val="24"/>
        </w:rPr>
        <w:t>)</w:t>
      </w:r>
      <w:r w:rsidRPr="002C09D6">
        <w:rPr>
          <w:rFonts w:ascii="Times New Roman" w:hAnsi="Times New Roman" w:cs="Times New Roman"/>
          <w:sz w:val="24"/>
          <w:szCs w:val="24"/>
        </w:rPr>
        <w:t xml:space="preserve">, a provincial self-sufficiency indicator </w:t>
      </w:r>
      <w:r w:rsidR="006D618B" w:rsidRPr="002C09D6">
        <w:rPr>
          <w:rFonts w:ascii="Times New Roman" w:hAnsi="Times New Roman" w:cs="Times New Roman"/>
          <w:sz w:val="24"/>
          <w:szCs w:val="24"/>
        </w:rPr>
        <w:t xml:space="preserve">using 2023 data </w:t>
      </w:r>
      <w:r w:rsidRPr="002C09D6">
        <w:rPr>
          <w:rFonts w:ascii="Times New Roman" w:hAnsi="Times New Roman" w:cs="Times New Roman"/>
          <w:sz w:val="24"/>
          <w:szCs w:val="24"/>
        </w:rPr>
        <w:t xml:space="preserve">can be created based on the following procedures. First, the per capita rice availability </w:t>
      </w:r>
      <w:r w:rsidR="006D618B" w:rsidRPr="002C09D6">
        <w:rPr>
          <w:rFonts w:ascii="Times New Roman" w:hAnsi="Times New Roman" w:cs="Times New Roman"/>
          <w:sz w:val="24"/>
          <w:szCs w:val="24"/>
        </w:rPr>
        <w:t xml:space="preserve">is computed </w:t>
      </w:r>
      <w:r w:rsidRPr="002C09D6">
        <w:rPr>
          <w:rFonts w:ascii="Times New Roman" w:hAnsi="Times New Roman" w:cs="Times New Roman"/>
          <w:sz w:val="24"/>
          <w:szCs w:val="24"/>
        </w:rPr>
        <w:t xml:space="preserve">from the paddy production data, which were converted to milled rice equivalent using an appropriate milling recovery rate. The total milled rice equivalent in kilograms was divided by the projected population </w:t>
      </w:r>
      <w:r w:rsidR="006D618B" w:rsidRPr="002C09D6">
        <w:rPr>
          <w:rFonts w:ascii="Times New Roman" w:hAnsi="Times New Roman" w:cs="Times New Roman"/>
          <w:sz w:val="24"/>
          <w:szCs w:val="24"/>
        </w:rPr>
        <w:t xml:space="preserve">in 2023 </w:t>
      </w:r>
      <w:r w:rsidRPr="002C09D6">
        <w:rPr>
          <w:rFonts w:ascii="Times New Roman" w:hAnsi="Times New Roman" w:cs="Times New Roman"/>
          <w:sz w:val="24"/>
          <w:szCs w:val="24"/>
        </w:rPr>
        <w:t>to calculate the per capita rice availability. Second, we estimate the provincial per capita rice utilization to have a basis for comparing the provincial per capita rice availability in creating the rice self-sufficiency index per province. The provincial per capita rice use is estimated by dividing the 2023 per capita rice consumption with 0.9 because food use comprises only 90</w:t>
      </w:r>
      <w:r w:rsidR="004468B0">
        <w:rPr>
          <w:rFonts w:ascii="Times New Roman" w:hAnsi="Times New Roman" w:cs="Times New Roman"/>
          <w:sz w:val="24"/>
          <w:szCs w:val="24"/>
        </w:rPr>
        <w:t>%</w:t>
      </w:r>
      <w:r w:rsidRPr="002C09D6">
        <w:rPr>
          <w:rFonts w:ascii="Times New Roman" w:hAnsi="Times New Roman" w:cs="Times New Roman"/>
          <w:sz w:val="24"/>
          <w:szCs w:val="24"/>
        </w:rPr>
        <w:t xml:space="preserve"> of the total rice use. The data required for </w:t>
      </w:r>
      <w:proofErr w:type="spellStart"/>
      <w:r w:rsidRPr="002C09D6">
        <w:rPr>
          <w:rFonts w:ascii="Times New Roman" w:hAnsi="Times New Roman" w:cs="Times New Roman"/>
          <w:i/>
          <w:iCs/>
          <w:sz w:val="24"/>
          <w:szCs w:val="24"/>
        </w:rPr>
        <w:t>ssr</w:t>
      </w:r>
      <w:r w:rsidR="00927E1B" w:rsidRPr="002C09D6">
        <w:rPr>
          <w:rFonts w:ascii="Times New Roman" w:hAnsi="Times New Roman" w:cs="Times New Roman"/>
          <w:sz w:val="24"/>
          <w:szCs w:val="24"/>
        </w:rPr>
        <w:t>'</w:t>
      </w:r>
      <w:r w:rsidRPr="002C09D6">
        <w:rPr>
          <w:rFonts w:ascii="Times New Roman" w:hAnsi="Times New Roman" w:cs="Times New Roman"/>
          <w:sz w:val="24"/>
          <w:szCs w:val="24"/>
        </w:rPr>
        <w:t>s</w:t>
      </w:r>
      <w:proofErr w:type="spellEnd"/>
      <w:r w:rsidRPr="002C09D6">
        <w:rPr>
          <w:rFonts w:ascii="Times New Roman" w:hAnsi="Times New Roman" w:cs="Times New Roman"/>
          <w:sz w:val="24"/>
          <w:szCs w:val="24"/>
        </w:rPr>
        <w:t xml:space="preserve"> calculation are obtained from the PSA.</w:t>
      </w:r>
    </w:p>
    <w:p w14:paraId="69462C21" w14:textId="77777777" w:rsidR="004E2B5B" w:rsidRPr="002C09D6" w:rsidRDefault="004E2B5B" w:rsidP="004E2B5B">
      <w:pPr>
        <w:autoSpaceDE w:val="0"/>
        <w:autoSpaceDN w:val="0"/>
        <w:adjustRightInd w:val="0"/>
        <w:ind w:firstLine="720"/>
        <w:jc w:val="both"/>
        <w:rPr>
          <w:rFonts w:ascii="Times New Roman" w:hAnsi="Times New Roman" w:cs="Times New Roman"/>
          <w:sz w:val="24"/>
          <w:szCs w:val="24"/>
        </w:rPr>
      </w:pPr>
    </w:p>
    <w:p w14:paraId="4417E5CC" w14:textId="214F12B2" w:rsidR="004E2B5B" w:rsidRPr="002C09D6" w:rsidRDefault="004E2B5B" w:rsidP="004E2B5B">
      <w:pPr>
        <w:ind w:firstLine="284"/>
        <w:jc w:val="both"/>
        <w:rPr>
          <w:rFonts w:ascii="Times New Roman" w:hAnsi="Times New Roman" w:cs="Times New Roman"/>
          <w:sz w:val="24"/>
          <w:szCs w:val="24"/>
        </w:rPr>
      </w:pPr>
      <w:r w:rsidRPr="002C09D6">
        <w:rPr>
          <w:rFonts w:ascii="Times New Roman" w:hAnsi="Times New Roman" w:cs="Times New Roman"/>
          <w:sz w:val="24"/>
          <w:szCs w:val="24"/>
        </w:rPr>
        <w:t xml:space="preserve">Accordingly, we calculate a provincial self-sufficiency index by dividing the per capita rice availability with the estimated per capita rice use. The resulting index was then used to identify a new set of deficit provinces with </w:t>
      </w:r>
      <w:proofErr w:type="gramStart"/>
      <w:r w:rsidRPr="002C09D6">
        <w:rPr>
          <w:rFonts w:ascii="Times New Roman" w:hAnsi="Times New Roman" w:cs="Times New Roman"/>
          <w:sz w:val="24"/>
          <w:szCs w:val="24"/>
        </w:rPr>
        <w:t>an</w:t>
      </w:r>
      <w:proofErr w:type="gramEnd"/>
      <w:r w:rsidRPr="002C09D6">
        <w:rPr>
          <w:rFonts w:ascii="Times New Roman" w:hAnsi="Times New Roman" w:cs="Times New Roman"/>
          <w:sz w:val="24"/>
          <w:szCs w:val="24"/>
        </w:rPr>
        <w:t xml:space="preserve"> </w:t>
      </w:r>
      <w:proofErr w:type="spellStart"/>
      <w:r w:rsidRPr="002C09D6">
        <w:rPr>
          <w:rFonts w:ascii="Times New Roman" w:hAnsi="Times New Roman" w:cs="Times New Roman"/>
          <w:i/>
          <w:iCs/>
          <w:sz w:val="24"/>
          <w:szCs w:val="24"/>
        </w:rPr>
        <w:t>ssr</w:t>
      </w:r>
      <w:proofErr w:type="spellEnd"/>
      <w:r w:rsidRPr="002C09D6">
        <w:rPr>
          <w:rFonts w:ascii="Times New Roman" w:hAnsi="Times New Roman" w:cs="Times New Roman"/>
          <w:sz w:val="24"/>
          <w:szCs w:val="24"/>
        </w:rPr>
        <w:t xml:space="preserve"> range of 0.00 – 0.99 and surplus provinces with </w:t>
      </w:r>
      <w:proofErr w:type="gramStart"/>
      <w:r w:rsidRPr="002C09D6">
        <w:rPr>
          <w:rFonts w:ascii="Times New Roman" w:hAnsi="Times New Roman" w:cs="Times New Roman"/>
          <w:sz w:val="24"/>
          <w:szCs w:val="24"/>
        </w:rPr>
        <w:t>an</w:t>
      </w:r>
      <w:proofErr w:type="gramEnd"/>
      <w:r w:rsidRPr="002C09D6">
        <w:rPr>
          <w:rFonts w:ascii="Times New Roman" w:hAnsi="Times New Roman" w:cs="Times New Roman"/>
          <w:sz w:val="24"/>
          <w:szCs w:val="24"/>
        </w:rPr>
        <w:t xml:space="preserve"> </w:t>
      </w:r>
      <w:proofErr w:type="spellStart"/>
      <w:r w:rsidRPr="002C09D6">
        <w:rPr>
          <w:rFonts w:ascii="Times New Roman" w:hAnsi="Times New Roman" w:cs="Times New Roman"/>
          <w:i/>
          <w:iCs/>
          <w:sz w:val="24"/>
          <w:szCs w:val="24"/>
        </w:rPr>
        <w:t>ssr</w:t>
      </w:r>
      <w:proofErr w:type="spellEnd"/>
      <w:r w:rsidRPr="002C09D6">
        <w:rPr>
          <w:rFonts w:ascii="Times New Roman" w:hAnsi="Times New Roman" w:cs="Times New Roman"/>
          <w:sz w:val="24"/>
          <w:szCs w:val="24"/>
        </w:rPr>
        <w:t xml:space="preserve"> of &gt; 1.00. The estimates generated based on these rice self-sufficiency measures confirm the results displayed in Figure 5. Results for the </w:t>
      </w:r>
      <w:proofErr w:type="spellStart"/>
      <w:r w:rsidRPr="002C09D6">
        <w:rPr>
          <w:rFonts w:ascii="Times New Roman" w:hAnsi="Times New Roman" w:cs="Times New Roman"/>
          <w:i/>
          <w:iCs/>
          <w:sz w:val="24"/>
          <w:szCs w:val="24"/>
        </w:rPr>
        <w:t>ssr</w:t>
      </w:r>
      <w:proofErr w:type="spellEnd"/>
      <w:r w:rsidRPr="002C09D6">
        <w:rPr>
          <w:rFonts w:ascii="Times New Roman" w:hAnsi="Times New Roman" w:cs="Times New Roman"/>
          <w:sz w:val="24"/>
          <w:szCs w:val="24"/>
        </w:rPr>
        <w:t xml:space="preserve"> indices by province and quantile regression are not reported here to conserve space, but these are available upon request.</w:t>
      </w:r>
    </w:p>
    <w:p w14:paraId="63D7ADF5" w14:textId="77777777" w:rsidR="004E2B5B" w:rsidRPr="00D6728E" w:rsidRDefault="004E2B5B" w:rsidP="004E2B5B">
      <w:pPr>
        <w:jc w:val="both"/>
        <w:rPr>
          <w:rFonts w:ascii="Montserrat" w:hAnsi="Montserrat"/>
          <w:sz w:val="22"/>
          <w:szCs w:val="22"/>
        </w:rPr>
      </w:pPr>
    </w:p>
    <w:p w14:paraId="64396A97" w14:textId="470370AC" w:rsidR="004E2B5B" w:rsidRPr="00C859FF" w:rsidRDefault="00C859FF" w:rsidP="00C859FF">
      <w:pPr>
        <w:rPr>
          <w:rFonts w:ascii="Times New Roman" w:hAnsi="Times New Roman" w:cs="Times New Roman"/>
          <w:b/>
          <w:bCs/>
          <w:iCs/>
          <w:sz w:val="24"/>
          <w:szCs w:val="24"/>
        </w:rPr>
      </w:pPr>
      <w:bookmarkStart w:id="18" w:name="_Toc197460324"/>
      <w:r w:rsidRPr="00C859FF">
        <w:rPr>
          <w:rFonts w:ascii="Times New Roman" w:hAnsi="Times New Roman" w:cs="Times New Roman"/>
          <w:b/>
          <w:bCs/>
          <w:iCs/>
          <w:sz w:val="24"/>
          <w:szCs w:val="24"/>
        </w:rPr>
        <w:t>4.5.3</w:t>
      </w:r>
      <w:r w:rsidR="004E2B5B" w:rsidRPr="00C859FF">
        <w:rPr>
          <w:rFonts w:ascii="Times New Roman" w:hAnsi="Times New Roman" w:cs="Times New Roman"/>
          <w:b/>
          <w:bCs/>
          <w:iCs/>
          <w:sz w:val="24"/>
          <w:szCs w:val="24"/>
        </w:rPr>
        <w:t xml:space="preserve"> Alternative model specifications and quarterly frequency</w:t>
      </w:r>
      <w:bookmarkEnd w:id="18"/>
    </w:p>
    <w:p w14:paraId="09BB13DA" w14:textId="77777777" w:rsidR="004E2B5B" w:rsidRPr="00D6728E" w:rsidRDefault="004E2B5B" w:rsidP="004E2B5B">
      <w:pPr>
        <w:ind w:firstLine="284"/>
        <w:jc w:val="both"/>
        <w:rPr>
          <w:rFonts w:ascii="Montserrat" w:hAnsi="Montserrat"/>
          <w:sz w:val="22"/>
          <w:szCs w:val="22"/>
        </w:rPr>
      </w:pPr>
    </w:p>
    <w:p w14:paraId="593232B2" w14:textId="27B1767A" w:rsidR="00C77CFD" w:rsidRDefault="004E2B5B" w:rsidP="00C859FF">
      <w:pPr>
        <w:jc w:val="both"/>
        <w:rPr>
          <w:rFonts w:ascii="Times New Roman" w:eastAsia="Arial" w:hAnsi="Times New Roman" w:cs="Times New Roman"/>
          <w:b/>
          <w:bCs/>
          <w:sz w:val="24"/>
          <w:szCs w:val="24"/>
        </w:rPr>
      </w:pPr>
      <w:r w:rsidRPr="002C09D6">
        <w:rPr>
          <w:rFonts w:ascii="Times New Roman" w:hAnsi="Times New Roman" w:cs="Times New Roman"/>
          <w:sz w:val="24"/>
          <w:szCs w:val="24"/>
        </w:rPr>
        <w:t xml:space="preserve">We consider three alternative model specifications in the next set of robustness tests. First, we address the reverse causality issue by using up to four lags of rice prices, fuel prices, remittances, and overall inflation. Results of the Dumitrescu-Hurlin (2012) panel causality test in </w:t>
      </w:r>
      <w:r w:rsidRPr="004468B0">
        <w:rPr>
          <w:rFonts w:ascii="Times New Roman" w:hAnsi="Times New Roman" w:cs="Times New Roman"/>
          <w:sz w:val="24"/>
          <w:szCs w:val="24"/>
        </w:rPr>
        <w:t>Table 6</w:t>
      </w:r>
      <w:r w:rsidRPr="002C09D6">
        <w:rPr>
          <w:rFonts w:ascii="Times New Roman" w:hAnsi="Times New Roman" w:cs="Times New Roman"/>
          <w:sz w:val="24"/>
          <w:szCs w:val="24"/>
        </w:rPr>
        <w:t xml:space="preserve"> indicate that overall inflation Granger causes rice and fuel prices. Second, we include the Thailand 5</w:t>
      </w:r>
      <w:r w:rsidR="004468B0">
        <w:rPr>
          <w:rFonts w:ascii="Times New Roman" w:hAnsi="Times New Roman" w:cs="Times New Roman"/>
          <w:sz w:val="24"/>
          <w:szCs w:val="24"/>
        </w:rPr>
        <w:t>%</w:t>
      </w:r>
      <w:r w:rsidRPr="002C09D6">
        <w:rPr>
          <w:rFonts w:ascii="Times New Roman" w:hAnsi="Times New Roman" w:cs="Times New Roman"/>
          <w:sz w:val="24"/>
          <w:szCs w:val="24"/>
        </w:rPr>
        <w:t xml:space="preserve"> broken rice export prices to reduce concerns about omitted variables. The third approach is to check whether a model different from fixed effects quantile regression leads to the same conclusions about the influence of drivers of inflation. We use the simultaneous quantile regression (SQR) model. Li and Wu (2011) explained that the </w:t>
      </w:r>
      <w:r w:rsidR="00C859FF" w:rsidRPr="002C09D6">
        <w:rPr>
          <w:rFonts w:ascii="Times New Roman" w:hAnsi="Times New Roman" w:cs="Times New Roman"/>
          <w:sz w:val="24"/>
          <w:szCs w:val="24"/>
        </w:rPr>
        <w:t>SQR model produces better estimates for multiple quantiles simultaneously compared to individually generated quantile functions. Figure 8 displays that the estimates obtained using</w:t>
      </w:r>
      <w:r w:rsidR="00C859FF">
        <w:rPr>
          <w:rFonts w:ascii="Times New Roman" w:hAnsi="Times New Roman" w:cs="Times New Roman"/>
          <w:sz w:val="24"/>
          <w:szCs w:val="24"/>
        </w:rPr>
        <w:t xml:space="preserve"> </w:t>
      </w:r>
      <w:r w:rsidR="00C77CFD">
        <w:rPr>
          <w:rFonts w:ascii="Times New Roman" w:eastAsia="Arial" w:hAnsi="Times New Roman" w:cs="Times New Roman"/>
          <w:b/>
          <w:bCs/>
          <w:sz w:val="24"/>
          <w:szCs w:val="24"/>
        </w:rPr>
        <w:br w:type="page"/>
      </w:r>
    </w:p>
    <w:p w14:paraId="07755FE3" w14:textId="4C099C5E" w:rsidR="004E2B5B" w:rsidRDefault="004E2B5B" w:rsidP="0085566D">
      <w:pPr>
        <w:spacing w:line="260" w:lineRule="auto"/>
        <w:jc w:val="center"/>
        <w:rPr>
          <w:rFonts w:ascii="Times New Roman" w:eastAsia="Arial" w:hAnsi="Times New Roman" w:cs="Times New Roman"/>
          <w:b/>
          <w:bCs/>
          <w:sz w:val="24"/>
          <w:szCs w:val="24"/>
        </w:rPr>
      </w:pPr>
      <w:r w:rsidRPr="003A4B12">
        <w:rPr>
          <w:rFonts w:ascii="Times New Roman" w:eastAsia="Arial" w:hAnsi="Times New Roman" w:cs="Times New Roman"/>
          <w:b/>
          <w:bCs/>
          <w:sz w:val="24"/>
          <w:szCs w:val="24"/>
        </w:rPr>
        <w:lastRenderedPageBreak/>
        <w:t>Figure 8</w:t>
      </w:r>
      <w:r w:rsidR="009D14B5">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Alternative </w:t>
      </w:r>
      <w:r w:rsidR="009D14B5">
        <w:rPr>
          <w:rFonts w:ascii="Times New Roman" w:eastAsia="Arial" w:hAnsi="Times New Roman" w:cs="Times New Roman"/>
          <w:b/>
          <w:bCs/>
          <w:sz w:val="24"/>
          <w:szCs w:val="24"/>
        </w:rPr>
        <w:t>m</w:t>
      </w:r>
      <w:r w:rsidRPr="003A4B12">
        <w:rPr>
          <w:rFonts w:ascii="Times New Roman" w:eastAsia="Arial" w:hAnsi="Times New Roman" w:cs="Times New Roman"/>
          <w:b/>
          <w:bCs/>
          <w:sz w:val="24"/>
          <w:szCs w:val="24"/>
        </w:rPr>
        <w:t xml:space="preserve">odel </w:t>
      </w:r>
      <w:r w:rsidR="009D14B5">
        <w:rPr>
          <w:rFonts w:ascii="Times New Roman" w:eastAsia="Arial" w:hAnsi="Times New Roman" w:cs="Times New Roman"/>
          <w:b/>
          <w:bCs/>
          <w:sz w:val="24"/>
          <w:szCs w:val="24"/>
        </w:rPr>
        <w:t>s</w:t>
      </w:r>
      <w:r w:rsidRPr="003A4B12">
        <w:rPr>
          <w:rFonts w:ascii="Times New Roman" w:eastAsia="Arial" w:hAnsi="Times New Roman" w:cs="Times New Roman"/>
          <w:b/>
          <w:bCs/>
          <w:sz w:val="24"/>
          <w:szCs w:val="24"/>
        </w:rPr>
        <w:t xml:space="preserve">pecifications and </w:t>
      </w:r>
      <w:r w:rsidR="009D14B5">
        <w:rPr>
          <w:rFonts w:ascii="Times New Roman" w:eastAsia="Arial" w:hAnsi="Times New Roman" w:cs="Times New Roman"/>
          <w:b/>
          <w:bCs/>
          <w:sz w:val="24"/>
          <w:szCs w:val="24"/>
        </w:rPr>
        <w:t>q</w:t>
      </w:r>
      <w:r w:rsidRPr="003A4B12">
        <w:rPr>
          <w:rFonts w:ascii="Times New Roman" w:eastAsia="Arial" w:hAnsi="Times New Roman" w:cs="Times New Roman"/>
          <w:b/>
          <w:bCs/>
          <w:sz w:val="24"/>
          <w:szCs w:val="24"/>
        </w:rPr>
        <w:t xml:space="preserve">uarterly </w:t>
      </w:r>
      <w:r w:rsidR="009D14B5">
        <w:rPr>
          <w:rFonts w:ascii="Times New Roman" w:eastAsia="Arial" w:hAnsi="Times New Roman" w:cs="Times New Roman"/>
          <w:b/>
          <w:bCs/>
          <w:sz w:val="24"/>
          <w:szCs w:val="24"/>
        </w:rPr>
        <w:t>d</w:t>
      </w:r>
      <w:r w:rsidRPr="003A4B12">
        <w:rPr>
          <w:rFonts w:ascii="Times New Roman" w:eastAsia="Arial" w:hAnsi="Times New Roman" w:cs="Times New Roman"/>
          <w:b/>
          <w:bCs/>
          <w:sz w:val="24"/>
          <w:szCs w:val="24"/>
        </w:rPr>
        <w:t xml:space="preserve">ata </w:t>
      </w:r>
      <w:r w:rsidR="009D14B5">
        <w:rPr>
          <w:rFonts w:ascii="Times New Roman" w:eastAsia="Arial" w:hAnsi="Times New Roman" w:cs="Times New Roman"/>
          <w:b/>
          <w:bCs/>
          <w:sz w:val="24"/>
          <w:szCs w:val="24"/>
        </w:rPr>
        <w:t>f</w:t>
      </w:r>
      <w:r w:rsidRPr="003A4B12">
        <w:rPr>
          <w:rFonts w:ascii="Times New Roman" w:eastAsia="Arial" w:hAnsi="Times New Roman" w:cs="Times New Roman"/>
          <w:b/>
          <w:bCs/>
          <w:sz w:val="24"/>
          <w:szCs w:val="24"/>
        </w:rPr>
        <w:t>requenc</w:t>
      </w:r>
      <w:r w:rsidR="0085566D" w:rsidRPr="003A4B12">
        <w:rPr>
          <w:rFonts w:ascii="Times New Roman" w:eastAsia="Arial" w:hAnsi="Times New Roman" w:cs="Times New Roman"/>
          <w:b/>
          <w:bCs/>
          <w:sz w:val="24"/>
          <w:szCs w:val="24"/>
        </w:rPr>
        <w:t>y</w:t>
      </w:r>
    </w:p>
    <w:p w14:paraId="11A81D5A" w14:textId="77777777" w:rsidR="009D14B5" w:rsidRPr="003A4B12" w:rsidRDefault="009D14B5" w:rsidP="0085566D">
      <w:pPr>
        <w:spacing w:line="260" w:lineRule="auto"/>
        <w:jc w:val="center"/>
        <w:rPr>
          <w:rFonts w:ascii="Times New Roman" w:eastAsia="Arial" w:hAnsi="Times New Roman" w:cs="Times New Roman"/>
          <w:b/>
          <w:bCs/>
          <w:sz w:val="24"/>
          <w:szCs w:val="24"/>
        </w:rPr>
      </w:pPr>
    </w:p>
    <w:tbl>
      <w:tblPr>
        <w:tblStyle w:val="TableGridLight"/>
        <w:tblW w:w="1041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071"/>
        <w:gridCol w:w="3150"/>
        <w:gridCol w:w="3494"/>
      </w:tblGrid>
      <w:tr w:rsidR="004E2B5B" w:rsidRPr="007215A6" w14:paraId="777D2C1C" w14:textId="77777777" w:rsidTr="00532745">
        <w:tc>
          <w:tcPr>
            <w:tcW w:w="704" w:type="dxa"/>
            <w:tcBorders>
              <w:top w:val="single" w:sz="4" w:space="0" w:color="auto"/>
              <w:bottom w:val="single" w:sz="4" w:space="0" w:color="auto"/>
            </w:tcBorders>
          </w:tcPr>
          <w:p w14:paraId="3CEC456E" w14:textId="77777777" w:rsidR="004E2B5B" w:rsidRPr="007215A6" w:rsidRDefault="004E2B5B" w:rsidP="00532745">
            <w:pPr>
              <w:snapToGrid w:val="0"/>
              <w:rPr>
                <w:rFonts w:ascii="Times New Roman" w:hAnsi="Times New Roman" w:cs="Times New Roman"/>
                <w:sz w:val="22"/>
                <w:szCs w:val="22"/>
              </w:rPr>
            </w:pPr>
          </w:p>
        </w:tc>
        <w:tc>
          <w:tcPr>
            <w:tcW w:w="3071" w:type="dxa"/>
            <w:tcBorders>
              <w:top w:val="single" w:sz="4" w:space="0" w:color="auto"/>
              <w:bottom w:val="single" w:sz="4" w:space="0" w:color="auto"/>
            </w:tcBorders>
          </w:tcPr>
          <w:p w14:paraId="4F306F1E" w14:textId="77777777" w:rsidR="004E2B5B" w:rsidRPr="007215A6" w:rsidRDefault="004E2B5B" w:rsidP="00532745">
            <w:pPr>
              <w:snapToGrid w:val="0"/>
              <w:spacing w:line="276" w:lineRule="auto"/>
              <w:jc w:val="center"/>
              <w:rPr>
                <w:rFonts w:ascii="Times New Roman" w:hAnsi="Times New Roman" w:cs="Times New Roman"/>
                <w:sz w:val="22"/>
                <w:szCs w:val="22"/>
              </w:rPr>
            </w:pPr>
            <w:r w:rsidRPr="007215A6">
              <w:rPr>
                <w:rFonts w:ascii="Times New Roman" w:hAnsi="Times New Roman" w:cs="Times New Roman"/>
                <w:sz w:val="22"/>
                <w:szCs w:val="22"/>
              </w:rPr>
              <w:t>Rice price</w:t>
            </w:r>
          </w:p>
        </w:tc>
        <w:tc>
          <w:tcPr>
            <w:tcW w:w="3150" w:type="dxa"/>
            <w:tcBorders>
              <w:top w:val="single" w:sz="4" w:space="0" w:color="auto"/>
              <w:bottom w:val="single" w:sz="4" w:space="0" w:color="auto"/>
            </w:tcBorders>
          </w:tcPr>
          <w:p w14:paraId="1023A9CB" w14:textId="77777777" w:rsidR="004E2B5B" w:rsidRPr="007215A6" w:rsidRDefault="004E2B5B" w:rsidP="00532745">
            <w:pPr>
              <w:snapToGrid w:val="0"/>
              <w:spacing w:line="276" w:lineRule="auto"/>
              <w:jc w:val="center"/>
              <w:rPr>
                <w:rFonts w:ascii="Times New Roman" w:hAnsi="Times New Roman" w:cs="Times New Roman"/>
                <w:sz w:val="22"/>
                <w:szCs w:val="22"/>
              </w:rPr>
            </w:pPr>
            <w:r w:rsidRPr="007215A6">
              <w:rPr>
                <w:rFonts w:ascii="Times New Roman" w:hAnsi="Times New Roman" w:cs="Times New Roman"/>
                <w:sz w:val="22"/>
                <w:szCs w:val="22"/>
              </w:rPr>
              <w:t>Fuel price</w:t>
            </w:r>
          </w:p>
        </w:tc>
        <w:tc>
          <w:tcPr>
            <w:tcW w:w="3494" w:type="dxa"/>
            <w:tcBorders>
              <w:top w:val="single" w:sz="4" w:space="0" w:color="auto"/>
              <w:bottom w:val="single" w:sz="4" w:space="0" w:color="auto"/>
            </w:tcBorders>
          </w:tcPr>
          <w:p w14:paraId="433586B2" w14:textId="77777777" w:rsidR="004E2B5B" w:rsidRPr="007215A6" w:rsidRDefault="004E2B5B" w:rsidP="00532745">
            <w:pPr>
              <w:snapToGrid w:val="0"/>
              <w:spacing w:line="276" w:lineRule="auto"/>
              <w:jc w:val="center"/>
              <w:rPr>
                <w:rFonts w:ascii="Times New Roman" w:hAnsi="Times New Roman" w:cs="Times New Roman"/>
                <w:sz w:val="22"/>
                <w:szCs w:val="22"/>
              </w:rPr>
            </w:pPr>
            <w:r w:rsidRPr="007215A6">
              <w:rPr>
                <w:rFonts w:ascii="Times New Roman" w:hAnsi="Times New Roman" w:cs="Times New Roman"/>
                <w:sz w:val="22"/>
                <w:szCs w:val="22"/>
              </w:rPr>
              <w:t>Remittance</w:t>
            </w:r>
          </w:p>
        </w:tc>
      </w:tr>
      <w:tr w:rsidR="004E2B5B" w:rsidRPr="00D6728E" w14:paraId="5D99B326" w14:textId="77777777" w:rsidTr="00532745">
        <w:trPr>
          <w:trHeight w:val="3157"/>
        </w:trPr>
        <w:tc>
          <w:tcPr>
            <w:tcW w:w="704" w:type="dxa"/>
            <w:tcBorders>
              <w:top w:val="single" w:sz="4" w:space="0" w:color="auto"/>
            </w:tcBorders>
            <w:textDirection w:val="btLr"/>
          </w:tcPr>
          <w:p w14:paraId="18121906" w14:textId="77777777" w:rsidR="004E2B5B" w:rsidRPr="007215A6" w:rsidRDefault="004E2B5B" w:rsidP="00532745">
            <w:pPr>
              <w:snapToGrid w:val="0"/>
              <w:ind w:left="113" w:right="113"/>
              <w:jc w:val="center"/>
              <w:rPr>
                <w:rFonts w:ascii="Times New Roman" w:hAnsi="Times New Roman" w:cs="Times New Roman"/>
                <w:sz w:val="22"/>
                <w:szCs w:val="22"/>
              </w:rPr>
            </w:pPr>
            <w:r w:rsidRPr="007215A6">
              <w:rPr>
                <w:rFonts w:ascii="Times New Roman" w:hAnsi="Times New Roman" w:cs="Times New Roman"/>
                <w:sz w:val="22"/>
                <w:szCs w:val="22"/>
              </w:rPr>
              <w:t xml:space="preserve">   (a) Four lags</w:t>
            </w:r>
          </w:p>
        </w:tc>
        <w:tc>
          <w:tcPr>
            <w:tcW w:w="9715" w:type="dxa"/>
            <w:gridSpan w:val="3"/>
            <w:vMerge w:val="restart"/>
            <w:tcBorders>
              <w:top w:val="single" w:sz="4" w:space="0" w:color="auto"/>
            </w:tcBorders>
          </w:tcPr>
          <w:p w14:paraId="0956AF8F" w14:textId="77777777" w:rsidR="004E2B5B" w:rsidRPr="00D6728E" w:rsidRDefault="004E2B5B" w:rsidP="00532745">
            <w:pPr>
              <w:snapToGrid w:val="0"/>
              <w:spacing w:line="276" w:lineRule="auto"/>
            </w:pPr>
            <w:r w:rsidRPr="00D6728E">
              <w:rPr>
                <w:noProof/>
              </w:rPr>
              <w:drawing>
                <wp:inline distT="0" distB="0" distL="0" distR="0" wp14:anchorId="743A3DC1" wp14:editId="795FFB9D">
                  <wp:extent cx="5943296" cy="396430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1.png"/>
                          <pic:cNvPicPr/>
                        </pic:nvPicPr>
                        <pic:blipFill>
                          <a:blip r:embed="rId27">
                            <a:extLst>
                              <a:ext uri="{28A0092B-C50C-407E-A947-70E740481C1C}">
                                <a14:useLocalDpi xmlns:a14="http://schemas.microsoft.com/office/drawing/2010/main" val="0"/>
                              </a:ext>
                            </a:extLst>
                          </a:blip>
                          <a:stretch>
                            <a:fillRect/>
                          </a:stretch>
                        </pic:blipFill>
                        <pic:spPr>
                          <a:xfrm>
                            <a:off x="0" y="0"/>
                            <a:ext cx="5943296" cy="3964304"/>
                          </a:xfrm>
                          <a:prstGeom prst="rect">
                            <a:avLst/>
                          </a:prstGeom>
                        </pic:spPr>
                      </pic:pic>
                    </a:graphicData>
                  </a:graphic>
                </wp:inline>
              </w:drawing>
            </w:r>
          </w:p>
        </w:tc>
      </w:tr>
      <w:tr w:rsidR="004E2B5B" w:rsidRPr="00D6728E" w14:paraId="58E89648" w14:textId="77777777" w:rsidTr="00532745">
        <w:trPr>
          <w:trHeight w:val="3018"/>
        </w:trPr>
        <w:tc>
          <w:tcPr>
            <w:tcW w:w="704" w:type="dxa"/>
            <w:tcBorders>
              <w:bottom w:val="single" w:sz="4" w:space="0" w:color="auto"/>
            </w:tcBorders>
            <w:textDirection w:val="btLr"/>
          </w:tcPr>
          <w:p w14:paraId="6C7AAD77" w14:textId="77777777" w:rsidR="004E2B5B" w:rsidRPr="007215A6" w:rsidRDefault="004E2B5B" w:rsidP="00532745">
            <w:pPr>
              <w:snapToGrid w:val="0"/>
              <w:ind w:left="113" w:right="113"/>
              <w:rPr>
                <w:rFonts w:ascii="Times New Roman" w:hAnsi="Times New Roman" w:cs="Times New Roman"/>
                <w:sz w:val="22"/>
                <w:szCs w:val="22"/>
              </w:rPr>
            </w:pPr>
            <w:r w:rsidRPr="007215A6">
              <w:rPr>
                <w:rFonts w:ascii="Times New Roman" w:hAnsi="Times New Roman" w:cs="Times New Roman"/>
                <w:sz w:val="22"/>
                <w:szCs w:val="22"/>
              </w:rPr>
              <w:t xml:space="preserve">         (b) Global rice price shock</w:t>
            </w:r>
          </w:p>
        </w:tc>
        <w:tc>
          <w:tcPr>
            <w:tcW w:w="9715" w:type="dxa"/>
            <w:gridSpan w:val="3"/>
            <w:vMerge/>
            <w:tcBorders>
              <w:bottom w:val="single" w:sz="4" w:space="0" w:color="auto"/>
            </w:tcBorders>
          </w:tcPr>
          <w:p w14:paraId="395DA751" w14:textId="77777777" w:rsidR="004E2B5B" w:rsidRPr="00D6728E" w:rsidRDefault="004E2B5B" w:rsidP="00532745">
            <w:pPr>
              <w:snapToGrid w:val="0"/>
              <w:spacing w:line="276" w:lineRule="auto"/>
            </w:pPr>
          </w:p>
        </w:tc>
      </w:tr>
      <w:tr w:rsidR="004E2B5B" w:rsidRPr="00D6728E" w14:paraId="1EAE7457" w14:textId="77777777" w:rsidTr="00532745">
        <w:trPr>
          <w:trHeight w:val="3006"/>
        </w:trPr>
        <w:tc>
          <w:tcPr>
            <w:tcW w:w="704" w:type="dxa"/>
            <w:tcBorders>
              <w:top w:val="single" w:sz="4" w:space="0" w:color="auto"/>
            </w:tcBorders>
            <w:textDirection w:val="btLr"/>
          </w:tcPr>
          <w:p w14:paraId="6DDA2969" w14:textId="4B14BED4" w:rsidR="004E2B5B" w:rsidRPr="007215A6" w:rsidRDefault="004E2B5B" w:rsidP="00532745">
            <w:pPr>
              <w:snapToGrid w:val="0"/>
              <w:ind w:left="113" w:right="113"/>
              <w:jc w:val="center"/>
              <w:rPr>
                <w:rFonts w:ascii="Times New Roman" w:hAnsi="Times New Roman" w:cs="Times New Roman"/>
                <w:sz w:val="22"/>
                <w:szCs w:val="22"/>
              </w:rPr>
            </w:pPr>
            <w:r w:rsidRPr="007215A6">
              <w:rPr>
                <w:rFonts w:ascii="Times New Roman" w:hAnsi="Times New Roman" w:cs="Times New Roman"/>
                <w:sz w:val="22"/>
                <w:szCs w:val="22"/>
              </w:rPr>
              <w:t>(c) Simultaneous quantile regression</w:t>
            </w:r>
          </w:p>
        </w:tc>
        <w:tc>
          <w:tcPr>
            <w:tcW w:w="9715" w:type="dxa"/>
            <w:gridSpan w:val="3"/>
            <w:vMerge w:val="restart"/>
            <w:tcBorders>
              <w:top w:val="single" w:sz="4" w:space="0" w:color="auto"/>
            </w:tcBorders>
          </w:tcPr>
          <w:p w14:paraId="65739881" w14:textId="77777777" w:rsidR="004E2B5B" w:rsidRPr="00D6728E" w:rsidRDefault="004E2B5B" w:rsidP="00532745">
            <w:pPr>
              <w:snapToGrid w:val="0"/>
              <w:spacing w:line="276" w:lineRule="auto"/>
            </w:pPr>
            <w:r w:rsidRPr="00D6728E">
              <w:rPr>
                <w:noProof/>
              </w:rPr>
              <w:drawing>
                <wp:inline distT="0" distB="0" distL="0" distR="0" wp14:anchorId="7244A274" wp14:editId="19F38DD8">
                  <wp:extent cx="5996940" cy="381454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2.png"/>
                          <pic:cNvPicPr/>
                        </pic:nvPicPr>
                        <pic:blipFill>
                          <a:blip r:embed="rId28">
                            <a:extLst>
                              <a:ext uri="{28A0092B-C50C-407E-A947-70E740481C1C}">
                                <a14:useLocalDpi xmlns:a14="http://schemas.microsoft.com/office/drawing/2010/main" val="0"/>
                              </a:ext>
                            </a:extLst>
                          </a:blip>
                          <a:stretch>
                            <a:fillRect/>
                          </a:stretch>
                        </pic:blipFill>
                        <pic:spPr>
                          <a:xfrm>
                            <a:off x="0" y="0"/>
                            <a:ext cx="6001564" cy="3817490"/>
                          </a:xfrm>
                          <a:prstGeom prst="rect">
                            <a:avLst/>
                          </a:prstGeom>
                        </pic:spPr>
                      </pic:pic>
                    </a:graphicData>
                  </a:graphic>
                </wp:inline>
              </w:drawing>
            </w:r>
          </w:p>
        </w:tc>
      </w:tr>
      <w:tr w:rsidR="004E2B5B" w:rsidRPr="00D6728E" w14:paraId="1E6EE206" w14:textId="77777777" w:rsidTr="00532745">
        <w:trPr>
          <w:trHeight w:val="1134"/>
        </w:trPr>
        <w:tc>
          <w:tcPr>
            <w:tcW w:w="704" w:type="dxa"/>
            <w:tcBorders>
              <w:bottom w:val="single" w:sz="4" w:space="0" w:color="auto"/>
            </w:tcBorders>
            <w:textDirection w:val="btLr"/>
          </w:tcPr>
          <w:p w14:paraId="25B20187" w14:textId="75E9A72D" w:rsidR="004E2B5B" w:rsidRPr="007215A6" w:rsidRDefault="0085566D" w:rsidP="00532745">
            <w:pPr>
              <w:snapToGrid w:val="0"/>
              <w:ind w:left="113" w:right="113"/>
              <w:jc w:val="center"/>
              <w:rPr>
                <w:rFonts w:ascii="Times New Roman" w:hAnsi="Times New Roman" w:cs="Times New Roman"/>
                <w:sz w:val="22"/>
                <w:szCs w:val="22"/>
              </w:rPr>
            </w:pPr>
            <w:r w:rsidRPr="007215A6">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83B5894" wp14:editId="7EDBB475">
                      <wp:simplePos x="0" y="0"/>
                      <wp:positionH relativeFrom="column">
                        <wp:posOffset>-46990</wp:posOffset>
                      </wp:positionH>
                      <wp:positionV relativeFrom="paragraph">
                        <wp:posOffset>-1914999</wp:posOffset>
                      </wp:positionV>
                      <wp:extent cx="6605270" cy="25400"/>
                      <wp:effectExtent l="0" t="0" r="24130" b="31750"/>
                      <wp:wrapNone/>
                      <wp:docPr id="1224167353" name="Straight Connector 2"/>
                      <wp:cNvGraphicFramePr/>
                      <a:graphic xmlns:a="http://schemas.openxmlformats.org/drawingml/2006/main">
                        <a:graphicData uri="http://schemas.microsoft.com/office/word/2010/wordprocessingShape">
                          <wps:wsp>
                            <wps:cNvCnPr/>
                            <wps:spPr>
                              <a:xfrm flipV="1">
                                <a:off x="0" y="0"/>
                                <a:ext cx="6605270" cy="25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ADDF24" id="Straight Connector 2"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50.8pt" to="516.4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" strokecolor="black [3213]">
                      <v:stroke joinstyle="miter"/>
                    </v:line>
                  </w:pict>
                </mc:Fallback>
              </mc:AlternateContent>
            </w:r>
            <w:r w:rsidR="004E2B5B" w:rsidRPr="007215A6">
              <w:rPr>
                <w:rFonts w:ascii="Times New Roman" w:hAnsi="Times New Roman" w:cs="Times New Roman"/>
                <w:sz w:val="22"/>
                <w:szCs w:val="22"/>
              </w:rPr>
              <w:t>(d) Quarterly frequency</w:t>
            </w:r>
          </w:p>
        </w:tc>
        <w:tc>
          <w:tcPr>
            <w:tcW w:w="9715" w:type="dxa"/>
            <w:gridSpan w:val="3"/>
            <w:vMerge/>
            <w:tcBorders>
              <w:bottom w:val="single" w:sz="4" w:space="0" w:color="auto"/>
            </w:tcBorders>
          </w:tcPr>
          <w:p w14:paraId="38F15C4E" w14:textId="77777777" w:rsidR="004E2B5B" w:rsidRPr="00D6728E" w:rsidRDefault="004E2B5B" w:rsidP="00532745">
            <w:pPr>
              <w:snapToGrid w:val="0"/>
              <w:spacing w:line="276" w:lineRule="auto"/>
            </w:pPr>
          </w:p>
        </w:tc>
      </w:tr>
    </w:tbl>
    <w:p w14:paraId="1EE1B0CF" w14:textId="04BF5018" w:rsidR="004E2B5B" w:rsidRPr="007215A6" w:rsidRDefault="009D14B5" w:rsidP="004E2B5B">
      <w:pPr>
        <w:ind w:hanging="567"/>
        <w:jc w:val="both"/>
        <w:rPr>
          <w:rFonts w:ascii="Times New Roman" w:eastAsia="Arial" w:hAnsi="Times New Roman" w:cs="Times New Roman"/>
        </w:rPr>
      </w:pPr>
      <w:r>
        <w:rPr>
          <w:rFonts w:ascii="Times New Roman" w:eastAsia="Arial" w:hAnsi="Times New Roman" w:cs="Times New Roman"/>
        </w:rPr>
        <w:t xml:space="preserve">Note: </w:t>
      </w:r>
      <w:r w:rsidR="004E2B5B" w:rsidRPr="007215A6">
        <w:rPr>
          <w:rFonts w:ascii="Times New Roman" w:eastAsia="Arial" w:hAnsi="Times New Roman" w:cs="Times New Roman"/>
        </w:rPr>
        <w:t>Gray shaded area is the 95% confidence interval around the point estimates.</w:t>
      </w:r>
    </w:p>
    <w:p w14:paraId="5348CA9E" w14:textId="77777777" w:rsidR="004E2B5B" w:rsidRPr="00D6728E" w:rsidRDefault="004E2B5B" w:rsidP="004E2B5B">
      <w:pPr>
        <w:jc w:val="both"/>
        <w:rPr>
          <w:rFonts w:ascii="Montserrat" w:eastAsia="Arial" w:hAnsi="Montserrat" w:cs="Times New Roman"/>
        </w:rPr>
      </w:pPr>
    </w:p>
    <w:p w14:paraId="2F05EEA0" w14:textId="3A3E7C92" w:rsidR="00503380" w:rsidRPr="002C09D6" w:rsidRDefault="00503380" w:rsidP="0085566D">
      <w:pPr>
        <w:jc w:val="both"/>
        <w:rPr>
          <w:rFonts w:ascii="Times New Roman" w:hAnsi="Times New Roman" w:cs="Times New Roman"/>
          <w:sz w:val="24"/>
          <w:szCs w:val="24"/>
        </w:rPr>
      </w:pPr>
      <w:r w:rsidRPr="002C09D6">
        <w:rPr>
          <w:rFonts w:ascii="Times New Roman" w:hAnsi="Times New Roman" w:cs="Times New Roman"/>
          <w:sz w:val="24"/>
          <w:szCs w:val="24"/>
        </w:rPr>
        <w:lastRenderedPageBreak/>
        <w:t xml:space="preserve">these three specifications are </w:t>
      </w:r>
      <w:proofErr w:type="gramStart"/>
      <w:r w:rsidRPr="002C09D6">
        <w:rPr>
          <w:rFonts w:ascii="Times New Roman" w:hAnsi="Times New Roman" w:cs="Times New Roman"/>
          <w:sz w:val="24"/>
          <w:szCs w:val="24"/>
        </w:rPr>
        <w:t>similar to</w:t>
      </w:r>
      <w:proofErr w:type="gramEnd"/>
      <w:r w:rsidRPr="002C09D6">
        <w:rPr>
          <w:rFonts w:ascii="Times New Roman" w:hAnsi="Times New Roman" w:cs="Times New Roman"/>
          <w:sz w:val="24"/>
          <w:szCs w:val="24"/>
        </w:rPr>
        <w:t xml:space="preserve"> those obtained using the fixed effects quantile regression, confirming the validity of the baseline results.</w:t>
      </w:r>
    </w:p>
    <w:p w14:paraId="6E8B1CDD" w14:textId="69DF35E1" w:rsidR="0085566D" w:rsidRPr="002C09D6" w:rsidRDefault="0085566D" w:rsidP="0085566D">
      <w:pPr>
        <w:jc w:val="both"/>
        <w:rPr>
          <w:rFonts w:ascii="Times New Roman" w:hAnsi="Times New Roman" w:cs="Times New Roman"/>
          <w:sz w:val="24"/>
          <w:szCs w:val="24"/>
        </w:rPr>
      </w:pPr>
    </w:p>
    <w:p w14:paraId="3322F2A6" w14:textId="2E1F6CC0" w:rsidR="0085566D" w:rsidRPr="00D6728E" w:rsidRDefault="0085566D" w:rsidP="0085566D">
      <w:pPr>
        <w:ind w:firstLine="284"/>
        <w:jc w:val="both"/>
        <w:rPr>
          <w:rFonts w:ascii="Montserrat" w:hAnsi="Montserrat"/>
          <w:sz w:val="22"/>
          <w:szCs w:val="22"/>
        </w:rPr>
      </w:pPr>
      <w:r w:rsidRPr="002C09D6">
        <w:rPr>
          <w:rFonts w:ascii="Times New Roman" w:hAnsi="Times New Roman" w:cs="Times New Roman"/>
          <w:sz w:val="24"/>
          <w:szCs w:val="24"/>
        </w:rPr>
        <w:t>Our next set of robustness test tests deals with data frequency. Thus far, we have utilized monthly data and showed that rising rice and fuel prices have a greater impact when overall inflation is high. We then checked whether this differentiation is sensitive to quarterly data. The results are shown in Figure 8. Consistent with our findings from monthly data, the inflationary impact of rice and fuel prices remains stronger when overall inflation is higher. Therefore, the main conclusion is that the importance of rice and fuel prices in driving inflation holds regardless of data frequency.</w:t>
      </w:r>
    </w:p>
    <w:p w14:paraId="69EE8203" w14:textId="77777777" w:rsidR="00503380" w:rsidRPr="00D6728E" w:rsidRDefault="00503380" w:rsidP="00503380"/>
    <w:p w14:paraId="2A91EBF0" w14:textId="0417E120" w:rsidR="004E2B5B" w:rsidRPr="00C859FF" w:rsidRDefault="00C859FF" w:rsidP="00C859FF">
      <w:pPr>
        <w:rPr>
          <w:rFonts w:ascii="Times New Roman" w:hAnsi="Times New Roman" w:cs="Times New Roman"/>
          <w:b/>
          <w:bCs/>
          <w:sz w:val="24"/>
          <w:szCs w:val="24"/>
        </w:rPr>
      </w:pPr>
      <w:bookmarkStart w:id="19" w:name="_Toc197460325"/>
      <w:r w:rsidRPr="00C859FF">
        <w:rPr>
          <w:rFonts w:ascii="Times New Roman" w:hAnsi="Times New Roman" w:cs="Times New Roman"/>
          <w:b/>
          <w:bCs/>
          <w:sz w:val="24"/>
          <w:szCs w:val="24"/>
        </w:rPr>
        <w:t>4.6</w:t>
      </w:r>
      <w:r w:rsidR="004E2B5B" w:rsidRPr="00C859FF">
        <w:rPr>
          <w:rFonts w:ascii="Times New Roman" w:hAnsi="Times New Roman" w:cs="Times New Roman"/>
          <w:b/>
          <w:bCs/>
          <w:sz w:val="24"/>
          <w:szCs w:val="24"/>
        </w:rPr>
        <w:t xml:space="preserve"> International </w:t>
      </w:r>
      <w:r w:rsidRPr="00C859FF">
        <w:rPr>
          <w:rFonts w:ascii="Times New Roman" w:hAnsi="Times New Roman" w:cs="Times New Roman"/>
          <w:b/>
          <w:bCs/>
          <w:sz w:val="24"/>
          <w:szCs w:val="24"/>
        </w:rPr>
        <w:t>c</w:t>
      </w:r>
      <w:r w:rsidR="004E2B5B" w:rsidRPr="00C859FF">
        <w:rPr>
          <w:rFonts w:ascii="Times New Roman" w:hAnsi="Times New Roman" w:cs="Times New Roman"/>
          <w:b/>
          <w:bCs/>
          <w:sz w:val="24"/>
          <w:szCs w:val="24"/>
        </w:rPr>
        <w:t>omparison with Indonesia, India and Thailand</w:t>
      </w:r>
      <w:bookmarkEnd w:id="19"/>
      <w:r w:rsidR="004E2B5B" w:rsidRPr="00C859FF">
        <w:rPr>
          <w:rFonts w:ascii="Times New Roman" w:hAnsi="Times New Roman" w:cs="Times New Roman"/>
          <w:b/>
          <w:bCs/>
          <w:sz w:val="24"/>
          <w:szCs w:val="24"/>
        </w:rPr>
        <w:t xml:space="preserve"> </w:t>
      </w:r>
    </w:p>
    <w:p w14:paraId="3B15162D" w14:textId="77777777" w:rsidR="004E2B5B" w:rsidRPr="00D6728E" w:rsidRDefault="004E2B5B" w:rsidP="004E2B5B">
      <w:pPr>
        <w:ind w:firstLine="360"/>
        <w:jc w:val="both"/>
        <w:rPr>
          <w:rFonts w:ascii="Montserrat" w:hAnsi="Montserrat"/>
          <w:sz w:val="22"/>
          <w:szCs w:val="22"/>
        </w:rPr>
      </w:pPr>
    </w:p>
    <w:p w14:paraId="33009AD5" w14:textId="081F85D5" w:rsidR="004E2B5B" w:rsidRPr="002C09D6" w:rsidRDefault="004E2B5B" w:rsidP="002C09D6">
      <w:pPr>
        <w:jc w:val="both"/>
        <w:rPr>
          <w:rFonts w:ascii="Times New Roman" w:hAnsi="Times New Roman" w:cs="Times New Roman"/>
          <w:sz w:val="24"/>
          <w:szCs w:val="24"/>
        </w:rPr>
      </w:pPr>
      <w:r w:rsidRPr="00C859FF">
        <w:rPr>
          <w:rFonts w:ascii="Times New Roman" w:hAnsi="Times New Roman" w:cs="Times New Roman"/>
          <w:spacing w:val="-2"/>
          <w:sz w:val="24"/>
          <w:szCs w:val="24"/>
        </w:rPr>
        <w:t>Figure 9</w:t>
      </w:r>
      <w:r w:rsidRPr="002C09D6">
        <w:rPr>
          <w:rFonts w:ascii="Times New Roman" w:hAnsi="Times New Roman" w:cs="Times New Roman"/>
          <w:spacing w:val="-2"/>
          <w:sz w:val="24"/>
          <w:szCs w:val="24"/>
        </w:rPr>
        <w:t xml:space="preserve"> presents the results of the international comparison of the four emerging markets. Despite differences in sample periods,</w:t>
      </w:r>
      <w:r w:rsidRPr="002C09D6">
        <w:rPr>
          <w:rFonts w:ascii="Times New Roman" w:hAnsi="Times New Roman" w:cs="Times New Roman"/>
          <w:sz w:val="24"/>
          <w:szCs w:val="24"/>
        </w:rPr>
        <w:t xml:space="preserve"> the results remain consistent with the findings for the Philippines, suggesting a nonlinear impact of rice and fuel prices on overall inflation. The more substantial impact of rice or fuel prices is associated with more significant increases in overall inflation at the higher quantiles than in the lower ones. While the nonlinear impact of remittances remains, it induces more inflation in the lower quantiles than in the upper quantiles.</w:t>
      </w:r>
    </w:p>
    <w:p w14:paraId="3940B918" w14:textId="77777777" w:rsidR="004E2B5B" w:rsidRPr="002C09D6" w:rsidRDefault="004E2B5B" w:rsidP="004E2B5B">
      <w:pPr>
        <w:ind w:firstLine="360"/>
        <w:jc w:val="both"/>
        <w:rPr>
          <w:rFonts w:ascii="Times New Roman" w:hAnsi="Times New Roman" w:cs="Times New Roman"/>
          <w:sz w:val="24"/>
          <w:szCs w:val="24"/>
        </w:rPr>
      </w:pPr>
    </w:p>
    <w:p w14:paraId="793064C3" w14:textId="3C5DE165" w:rsidR="004E2B5B" w:rsidRPr="002C09D6" w:rsidRDefault="004E2B5B" w:rsidP="004E2B5B">
      <w:pPr>
        <w:ind w:firstLine="360"/>
        <w:jc w:val="both"/>
        <w:rPr>
          <w:rFonts w:ascii="Times New Roman" w:hAnsi="Times New Roman" w:cs="Times New Roman"/>
          <w:sz w:val="24"/>
          <w:szCs w:val="24"/>
        </w:rPr>
      </w:pPr>
      <w:r w:rsidRPr="002C09D6">
        <w:rPr>
          <w:rFonts w:ascii="Times New Roman" w:hAnsi="Times New Roman" w:cs="Times New Roman"/>
          <w:sz w:val="24"/>
          <w:szCs w:val="24"/>
        </w:rPr>
        <w:t>However, we did observe some differences in impact dynamics across the three countries. The significant positive impact of rice prices on overall inflation was also noticeable for Indonesia and Thailand, but the nonlinear effect in Indonesia mimics that of the Philippines. This is not surprising considering that Indonesia and the Philippines are traditional rice importers, with rice constituting a substantial share of total consumption. The significant positive impact of rice prices on overall inflation in Thailand is rather similar across all quantiles. Rice prices in India displayed a significant positive impact on overall inflation only at the lower quantiles.</w:t>
      </w:r>
      <w:r w:rsidR="006D618B" w:rsidRPr="002C09D6">
        <w:rPr>
          <w:rFonts w:ascii="Times New Roman" w:hAnsi="Times New Roman" w:cs="Times New Roman"/>
          <w:sz w:val="24"/>
          <w:szCs w:val="24"/>
        </w:rPr>
        <w:t xml:space="preserve"> </w:t>
      </w:r>
      <w:r w:rsidRPr="002C09D6">
        <w:rPr>
          <w:rFonts w:ascii="Times New Roman" w:hAnsi="Times New Roman" w:cs="Times New Roman"/>
          <w:sz w:val="24"/>
          <w:szCs w:val="24"/>
        </w:rPr>
        <w:t xml:space="preserve">Notably, the effect of fuel prices on overall inflation is positive and significant across all quantiles for all countries. However, the relatively higher inflationary effect of fuel prices in Indonesia and Thailand. </w:t>
      </w:r>
    </w:p>
    <w:p w14:paraId="50968AA5" w14:textId="77777777" w:rsidR="004E2B5B" w:rsidRPr="002C09D6" w:rsidRDefault="004E2B5B" w:rsidP="004E2B5B">
      <w:pPr>
        <w:ind w:firstLine="360"/>
        <w:jc w:val="both"/>
        <w:rPr>
          <w:rFonts w:ascii="Times New Roman" w:hAnsi="Times New Roman" w:cs="Times New Roman"/>
          <w:sz w:val="24"/>
          <w:szCs w:val="24"/>
        </w:rPr>
      </w:pPr>
    </w:p>
    <w:p w14:paraId="3A51B4E2" w14:textId="52019B46" w:rsidR="004E2B5B" w:rsidRPr="00D6728E" w:rsidRDefault="004E2B5B" w:rsidP="004E2B5B">
      <w:pPr>
        <w:ind w:firstLine="360"/>
        <w:jc w:val="both"/>
        <w:rPr>
          <w:rFonts w:ascii="Montserrat" w:hAnsi="Montserrat"/>
          <w:sz w:val="22"/>
          <w:szCs w:val="22"/>
        </w:rPr>
      </w:pPr>
      <w:r w:rsidRPr="002C09D6">
        <w:rPr>
          <w:rFonts w:ascii="Times New Roman" w:hAnsi="Times New Roman" w:cs="Times New Roman"/>
          <w:sz w:val="24"/>
          <w:szCs w:val="24"/>
        </w:rPr>
        <w:t>Turning to remittances, it showed a nonlinear impact on the Philippine overall inflation like the baseline results, with positive and significant being more pronounced in most quantiles. Finally, the remittance effect on overall inflation displays asymmetries for India,</w:t>
      </w:r>
      <w:r w:rsidR="006D618B" w:rsidRPr="002C09D6">
        <w:rPr>
          <w:rFonts w:ascii="Times New Roman" w:hAnsi="Times New Roman" w:cs="Times New Roman"/>
          <w:sz w:val="24"/>
          <w:szCs w:val="24"/>
        </w:rPr>
        <w:t xml:space="preserve"> </w:t>
      </w:r>
      <w:r w:rsidRPr="002C09D6">
        <w:rPr>
          <w:rFonts w:ascii="Times New Roman" w:hAnsi="Times New Roman" w:cs="Times New Roman"/>
          <w:sz w:val="24"/>
          <w:szCs w:val="24"/>
        </w:rPr>
        <w:t>Indonesia, and Thailand, where such inflows positively impact inflation in the lower quantiles while negative in the upper quantiles.</w:t>
      </w:r>
    </w:p>
    <w:p w14:paraId="331B32B8" w14:textId="22E3FF14" w:rsidR="004E2B5B" w:rsidRPr="00D6728E" w:rsidRDefault="004E2B5B" w:rsidP="006B3610">
      <w:pPr>
        <w:ind w:firstLine="426"/>
        <w:jc w:val="both"/>
        <w:rPr>
          <w:rFonts w:ascii="Montserrat" w:hAnsi="Montserrat"/>
          <w:sz w:val="22"/>
          <w:szCs w:val="22"/>
        </w:rPr>
      </w:pPr>
    </w:p>
    <w:p w14:paraId="467C6DE5" w14:textId="3AF93789" w:rsidR="008462CD" w:rsidRPr="00C859FF" w:rsidRDefault="00C859FF" w:rsidP="00C859FF">
      <w:pPr>
        <w:rPr>
          <w:rFonts w:ascii="Times New Roman" w:hAnsi="Times New Roman" w:cs="Times New Roman"/>
          <w:b/>
          <w:bCs/>
          <w:sz w:val="24"/>
          <w:szCs w:val="24"/>
        </w:rPr>
      </w:pPr>
      <w:bookmarkStart w:id="20" w:name="_Toc197460326"/>
      <w:r w:rsidRPr="00C859FF">
        <w:rPr>
          <w:rFonts w:ascii="Times New Roman" w:hAnsi="Times New Roman" w:cs="Times New Roman"/>
          <w:b/>
          <w:bCs/>
          <w:sz w:val="24"/>
          <w:szCs w:val="24"/>
        </w:rPr>
        <w:t>5</w:t>
      </w:r>
      <w:r w:rsidR="008462CD" w:rsidRPr="00C859FF">
        <w:rPr>
          <w:rFonts w:ascii="Times New Roman" w:hAnsi="Times New Roman" w:cs="Times New Roman"/>
          <w:b/>
          <w:bCs/>
          <w:sz w:val="24"/>
          <w:szCs w:val="24"/>
        </w:rPr>
        <w:t>. Conclusion</w:t>
      </w:r>
      <w:bookmarkEnd w:id="20"/>
    </w:p>
    <w:p w14:paraId="2E90D2F1" w14:textId="77777777" w:rsidR="008462CD" w:rsidRPr="00D6728E" w:rsidRDefault="008462CD" w:rsidP="008462CD">
      <w:pPr>
        <w:ind w:firstLine="426"/>
        <w:jc w:val="both"/>
        <w:rPr>
          <w:rFonts w:ascii="Montserrat" w:hAnsi="Montserrat"/>
          <w:sz w:val="22"/>
          <w:szCs w:val="22"/>
        </w:rPr>
      </w:pPr>
    </w:p>
    <w:p w14:paraId="70F324A2" w14:textId="11FF9F6B" w:rsidR="00D6728E" w:rsidRDefault="008462CD" w:rsidP="00F40D65">
      <w:pPr>
        <w:jc w:val="both"/>
        <w:rPr>
          <w:rFonts w:ascii="Times New Roman" w:hAnsi="Times New Roman" w:cs="Times New Roman"/>
          <w:sz w:val="24"/>
          <w:szCs w:val="24"/>
        </w:rPr>
      </w:pPr>
      <w:r w:rsidRPr="002C09D6">
        <w:rPr>
          <w:rFonts w:ascii="Times New Roman" w:hAnsi="Times New Roman" w:cs="Times New Roman"/>
          <w:sz w:val="24"/>
          <w:szCs w:val="24"/>
        </w:rPr>
        <w:t xml:space="preserve">Understanding the sensitivity of inflation to food and energy prices has been a key challenge faced by policymakers. Economists have usually tackled this question with inflation models using aggregate data that may be uninformative because of the bias from the impact of endogenous monetary policy. This paper asked how our answers to this question become more informative if we jointly account for price heterogeneity and state-dependent effects within a panel setting with data spanning 74 provinces in the Philippines from August 1996 to April 2024. Our analysis shows a significant nonlinearity in the impact of rice and fuel prices on inflation at different inflation states. Notably, a pronounced positive and stronger impact of rice and fuel prices was observed during periods of higher inflation, as confirmed by the fixed effects quantile regression framework. These results suggest that the cost-push effect of rice or </w:t>
      </w:r>
      <w:r w:rsidRPr="002C09D6">
        <w:rPr>
          <w:rFonts w:ascii="Times New Roman" w:hAnsi="Times New Roman" w:cs="Times New Roman"/>
          <w:sz w:val="24"/>
          <w:szCs w:val="24"/>
        </w:rPr>
        <w:lastRenderedPageBreak/>
        <w:t>fuel price changes across provinces with different economic conditions and sensitivities to monetary policy may play a dominant role in driving inflation during times of higher inflation.</w:t>
      </w:r>
    </w:p>
    <w:p w14:paraId="61B8067C" w14:textId="60327743" w:rsidR="009D14B5" w:rsidRDefault="009D14B5" w:rsidP="00F40D65">
      <w:pPr>
        <w:jc w:val="both"/>
        <w:rPr>
          <w:rFonts w:ascii="Times New Roman" w:hAnsi="Times New Roman" w:cs="Times New Roman"/>
          <w:sz w:val="24"/>
          <w:szCs w:val="24"/>
        </w:rPr>
      </w:pPr>
    </w:p>
    <w:p w14:paraId="56B8ED47" w14:textId="77777777" w:rsidR="009D14B5" w:rsidRPr="002C09D6" w:rsidRDefault="009D14B5" w:rsidP="009D14B5">
      <w:pPr>
        <w:ind w:firstLine="426"/>
        <w:jc w:val="both"/>
        <w:rPr>
          <w:rFonts w:ascii="Times New Roman" w:hAnsi="Times New Roman" w:cs="Times New Roman"/>
          <w:sz w:val="24"/>
          <w:szCs w:val="24"/>
        </w:rPr>
      </w:pPr>
      <w:r w:rsidRPr="002C09D6">
        <w:rPr>
          <w:rFonts w:ascii="Times New Roman" w:hAnsi="Times New Roman" w:cs="Times New Roman"/>
          <w:sz w:val="24"/>
          <w:szCs w:val="24"/>
        </w:rPr>
        <w:t xml:space="preserve">Moreover, we extend our investigation to analyze the consequences of rice </w:t>
      </w:r>
      <w:proofErr w:type="spellStart"/>
      <w:r w:rsidRPr="002C09D6">
        <w:rPr>
          <w:rFonts w:ascii="Times New Roman" w:hAnsi="Times New Roman" w:cs="Times New Roman"/>
          <w:sz w:val="24"/>
          <w:szCs w:val="24"/>
        </w:rPr>
        <w:t>tarrification</w:t>
      </w:r>
      <w:proofErr w:type="spellEnd"/>
      <w:r w:rsidRPr="002C09D6">
        <w:rPr>
          <w:rFonts w:ascii="Times New Roman" w:hAnsi="Times New Roman" w:cs="Times New Roman"/>
          <w:sz w:val="24"/>
          <w:szCs w:val="24"/>
        </w:rPr>
        <w:t xml:space="preserve">, the monetary policy shift to inflation targeting, and the association with poverty and rice self-sufficiency. Our evaluation shows the important role of rice tariffication and inflation targeting in mitigating the impact effect of rice and fuel prices, both during lower and higher inflation. </w:t>
      </w:r>
      <w:proofErr w:type="gramStart"/>
      <w:r w:rsidRPr="002C09D6">
        <w:rPr>
          <w:rFonts w:ascii="Times New Roman" w:hAnsi="Times New Roman" w:cs="Times New Roman"/>
          <w:sz w:val="24"/>
          <w:szCs w:val="24"/>
        </w:rPr>
        <w:t>In light of</w:t>
      </w:r>
      <w:proofErr w:type="gramEnd"/>
      <w:r w:rsidRPr="002C09D6">
        <w:rPr>
          <w:rFonts w:ascii="Times New Roman" w:hAnsi="Times New Roman" w:cs="Times New Roman"/>
          <w:sz w:val="24"/>
          <w:szCs w:val="24"/>
        </w:rPr>
        <w:t xml:space="preserve"> our findings, it also becomes apparent that a central bank like the Philippines operating within an inflation targeting regime has gained from complementing it with the use of a rice tariffication policy that softened the impact of higher rice price inflation in provinces where poverty is higher, and rice supply is not sufficient.</w:t>
      </w:r>
    </w:p>
    <w:p w14:paraId="0F73907E" w14:textId="77777777" w:rsidR="009D14B5" w:rsidRPr="002C09D6" w:rsidRDefault="009D14B5" w:rsidP="009D14B5">
      <w:pPr>
        <w:ind w:firstLine="426"/>
        <w:jc w:val="both"/>
        <w:rPr>
          <w:rFonts w:ascii="Times New Roman" w:hAnsi="Times New Roman" w:cs="Times New Roman"/>
          <w:sz w:val="24"/>
          <w:szCs w:val="24"/>
        </w:rPr>
      </w:pPr>
    </w:p>
    <w:p w14:paraId="5F7AE120" w14:textId="77777777" w:rsidR="009D14B5" w:rsidRPr="002C09D6" w:rsidRDefault="009D14B5" w:rsidP="009D14B5">
      <w:pPr>
        <w:ind w:firstLine="426"/>
        <w:jc w:val="both"/>
        <w:rPr>
          <w:rFonts w:ascii="Times New Roman" w:hAnsi="Times New Roman" w:cs="Times New Roman"/>
          <w:sz w:val="24"/>
          <w:szCs w:val="24"/>
        </w:rPr>
      </w:pPr>
      <w:r w:rsidRPr="002C09D6">
        <w:rPr>
          <w:rFonts w:ascii="Times New Roman" w:hAnsi="Times New Roman" w:cs="Times New Roman"/>
          <w:sz w:val="24"/>
          <w:szCs w:val="24"/>
        </w:rPr>
        <w:t xml:space="preserve">To gain an insightful angle through an international comparison, we have quantitatively verified the significant nonlinear impact of rice and fuel prices on geographically disaggregated inflation in most cases in Indonesia, Thailand, and India. Finally, we also consider remittances and show that its nonlinear impact on Philippine inflation is positive and significant in most quantiles. In contrast, our analysis demonstrates a significant asymmetry in the impact of remittances on inflation in India, Indonesia, and Thailand. That is, remittance impact on inflation in these three countries is positively (negatively) associated with periods of low (high) inflation.  </w:t>
      </w:r>
    </w:p>
    <w:p w14:paraId="081B810A" w14:textId="77777777" w:rsidR="009D14B5" w:rsidRPr="002C09D6" w:rsidRDefault="009D14B5" w:rsidP="009D14B5">
      <w:pPr>
        <w:ind w:firstLine="426"/>
        <w:jc w:val="both"/>
        <w:rPr>
          <w:rFonts w:ascii="Times New Roman" w:hAnsi="Times New Roman" w:cs="Times New Roman"/>
          <w:sz w:val="24"/>
          <w:szCs w:val="24"/>
        </w:rPr>
      </w:pPr>
    </w:p>
    <w:p w14:paraId="22320C24" w14:textId="77777777" w:rsidR="009D14B5" w:rsidRDefault="009D14B5" w:rsidP="009D14B5">
      <w:pPr>
        <w:ind w:firstLine="426"/>
        <w:jc w:val="both"/>
        <w:rPr>
          <w:rFonts w:ascii="Times New Roman" w:hAnsi="Times New Roman" w:cs="Times New Roman"/>
          <w:sz w:val="24"/>
          <w:szCs w:val="24"/>
        </w:rPr>
      </w:pPr>
      <w:r w:rsidRPr="002C09D6">
        <w:rPr>
          <w:rFonts w:ascii="Times New Roman" w:hAnsi="Times New Roman" w:cs="Times New Roman"/>
          <w:sz w:val="24"/>
          <w:szCs w:val="24"/>
        </w:rPr>
        <w:t xml:space="preserve">The findings have potentially significant implications for academic discourse and policy formulation. </w:t>
      </w:r>
      <w:proofErr w:type="gramStart"/>
      <w:r w:rsidRPr="002C09D6">
        <w:rPr>
          <w:rFonts w:ascii="Times New Roman" w:hAnsi="Times New Roman" w:cs="Times New Roman"/>
          <w:sz w:val="24"/>
          <w:szCs w:val="24"/>
        </w:rPr>
        <w:t>In particular, our</w:t>
      </w:r>
      <w:proofErr w:type="gramEnd"/>
      <w:r w:rsidRPr="002C09D6">
        <w:rPr>
          <w:rFonts w:ascii="Times New Roman" w:hAnsi="Times New Roman" w:cs="Times New Roman"/>
          <w:sz w:val="24"/>
          <w:szCs w:val="24"/>
        </w:rPr>
        <w:t xml:space="preserve"> empirical analysis underscores the importance of considering the changing economic conditions and regional sensitivities to monetary and food policies when assessing the impact of rice or fuel prices on inflation across geographical locations of a country. From a policy perspective, it appears that inflation targeting regime has the potential to mitigate inflation in times of high inflation when supported by the coordinated effort from the use of rice tariffication that eased restrictions on rice trade to help lower rice prices and overall inflation. It is noteworthy that there are many cereals that we did not consider in this study. An avenue for future research is to assess the relative impacts of different cereals on the Philippine inflation.</w:t>
      </w:r>
    </w:p>
    <w:p w14:paraId="1BD7DBB9" w14:textId="77777777" w:rsidR="009D14B5" w:rsidRDefault="009D14B5" w:rsidP="00F40D65">
      <w:pPr>
        <w:jc w:val="both"/>
        <w:rPr>
          <w:rFonts w:ascii="Times New Roman" w:hAnsi="Times New Roman" w:cs="Times New Roman"/>
          <w:sz w:val="24"/>
          <w:szCs w:val="24"/>
        </w:rPr>
      </w:pPr>
    </w:p>
    <w:p w14:paraId="3A719A6D" w14:textId="77777777" w:rsidR="009D14B5" w:rsidRDefault="009D14B5" w:rsidP="00F40D65">
      <w:pPr>
        <w:jc w:val="both"/>
        <w:rPr>
          <w:rFonts w:ascii="Times New Roman" w:hAnsi="Times New Roman" w:cs="Times New Roman"/>
          <w:sz w:val="24"/>
          <w:szCs w:val="24"/>
        </w:rPr>
      </w:pPr>
    </w:p>
    <w:p w14:paraId="6636A000" w14:textId="77777777" w:rsidR="009D14B5" w:rsidRDefault="009D14B5" w:rsidP="00F40D65">
      <w:pPr>
        <w:jc w:val="both"/>
        <w:rPr>
          <w:rFonts w:ascii="Times New Roman" w:hAnsi="Times New Roman" w:cs="Times New Roman"/>
          <w:sz w:val="24"/>
          <w:szCs w:val="24"/>
        </w:rPr>
      </w:pPr>
    </w:p>
    <w:p w14:paraId="3421E468" w14:textId="77777777" w:rsidR="009D14B5" w:rsidRDefault="009D14B5" w:rsidP="00F40D65">
      <w:pPr>
        <w:jc w:val="both"/>
        <w:rPr>
          <w:rFonts w:ascii="Times New Roman" w:hAnsi="Times New Roman" w:cs="Times New Roman"/>
          <w:sz w:val="24"/>
          <w:szCs w:val="24"/>
        </w:rPr>
      </w:pPr>
    </w:p>
    <w:p w14:paraId="62C35F48" w14:textId="77777777" w:rsidR="009D14B5" w:rsidRDefault="009D14B5" w:rsidP="00F40D65">
      <w:pPr>
        <w:jc w:val="both"/>
        <w:rPr>
          <w:rFonts w:ascii="Times New Roman" w:hAnsi="Times New Roman" w:cs="Times New Roman"/>
          <w:sz w:val="24"/>
          <w:szCs w:val="24"/>
        </w:rPr>
      </w:pPr>
    </w:p>
    <w:p w14:paraId="71062547" w14:textId="77777777" w:rsidR="009D14B5" w:rsidRDefault="009D14B5" w:rsidP="00F40D65">
      <w:pPr>
        <w:jc w:val="both"/>
        <w:rPr>
          <w:rFonts w:ascii="Times New Roman" w:hAnsi="Times New Roman" w:cs="Times New Roman"/>
          <w:sz w:val="24"/>
          <w:szCs w:val="24"/>
        </w:rPr>
      </w:pPr>
    </w:p>
    <w:p w14:paraId="7C885D8D" w14:textId="77777777" w:rsidR="009D14B5" w:rsidRDefault="009D14B5" w:rsidP="00F40D65">
      <w:pPr>
        <w:jc w:val="both"/>
        <w:rPr>
          <w:rFonts w:ascii="Times New Roman" w:hAnsi="Times New Roman" w:cs="Times New Roman"/>
          <w:sz w:val="24"/>
          <w:szCs w:val="24"/>
        </w:rPr>
      </w:pPr>
    </w:p>
    <w:p w14:paraId="40261A5F" w14:textId="77777777" w:rsidR="009D14B5" w:rsidRDefault="009D14B5" w:rsidP="00F40D65">
      <w:pPr>
        <w:jc w:val="both"/>
        <w:rPr>
          <w:rFonts w:ascii="Times New Roman" w:hAnsi="Times New Roman" w:cs="Times New Roman"/>
          <w:sz w:val="24"/>
          <w:szCs w:val="24"/>
        </w:rPr>
      </w:pPr>
    </w:p>
    <w:p w14:paraId="76C4750D" w14:textId="77777777" w:rsidR="009D14B5" w:rsidRDefault="009D14B5" w:rsidP="00F40D65">
      <w:pPr>
        <w:jc w:val="both"/>
        <w:rPr>
          <w:rFonts w:ascii="Times New Roman" w:hAnsi="Times New Roman" w:cs="Times New Roman"/>
          <w:sz w:val="24"/>
          <w:szCs w:val="24"/>
        </w:rPr>
      </w:pPr>
    </w:p>
    <w:p w14:paraId="68B16DA2" w14:textId="77777777" w:rsidR="009D14B5" w:rsidRDefault="009D14B5" w:rsidP="00F40D65">
      <w:pPr>
        <w:jc w:val="both"/>
        <w:rPr>
          <w:rFonts w:ascii="Times New Roman" w:hAnsi="Times New Roman" w:cs="Times New Roman"/>
          <w:sz w:val="24"/>
          <w:szCs w:val="24"/>
        </w:rPr>
      </w:pPr>
    </w:p>
    <w:p w14:paraId="779F4AF8" w14:textId="77777777" w:rsidR="009D14B5" w:rsidRDefault="009D14B5" w:rsidP="00F40D65">
      <w:pPr>
        <w:jc w:val="both"/>
        <w:rPr>
          <w:rFonts w:ascii="Times New Roman" w:hAnsi="Times New Roman" w:cs="Times New Roman"/>
          <w:sz w:val="24"/>
          <w:szCs w:val="24"/>
        </w:rPr>
      </w:pPr>
    </w:p>
    <w:p w14:paraId="74C90F7A" w14:textId="77777777" w:rsidR="009D14B5" w:rsidRDefault="009D14B5" w:rsidP="00F40D65">
      <w:pPr>
        <w:jc w:val="both"/>
        <w:rPr>
          <w:rFonts w:ascii="Times New Roman" w:hAnsi="Times New Roman" w:cs="Times New Roman"/>
          <w:sz w:val="24"/>
          <w:szCs w:val="24"/>
        </w:rPr>
      </w:pPr>
    </w:p>
    <w:p w14:paraId="4684C1B1" w14:textId="77777777" w:rsidR="009D14B5" w:rsidRDefault="009D14B5" w:rsidP="00F40D65">
      <w:pPr>
        <w:jc w:val="both"/>
        <w:rPr>
          <w:rFonts w:ascii="Times New Roman" w:hAnsi="Times New Roman" w:cs="Times New Roman"/>
          <w:sz w:val="24"/>
          <w:szCs w:val="24"/>
        </w:rPr>
      </w:pPr>
    </w:p>
    <w:p w14:paraId="0752AC67" w14:textId="77777777" w:rsidR="009D14B5" w:rsidRDefault="009D14B5" w:rsidP="00F40D65">
      <w:pPr>
        <w:jc w:val="both"/>
        <w:rPr>
          <w:rFonts w:ascii="Times New Roman" w:hAnsi="Times New Roman" w:cs="Times New Roman"/>
          <w:sz w:val="24"/>
          <w:szCs w:val="24"/>
        </w:rPr>
      </w:pPr>
    </w:p>
    <w:p w14:paraId="406232A9" w14:textId="77777777" w:rsidR="009D14B5" w:rsidRDefault="009D14B5" w:rsidP="00F40D65">
      <w:pPr>
        <w:jc w:val="both"/>
        <w:rPr>
          <w:rFonts w:ascii="Times New Roman" w:hAnsi="Times New Roman" w:cs="Times New Roman"/>
          <w:sz w:val="24"/>
          <w:szCs w:val="24"/>
        </w:rPr>
      </w:pPr>
    </w:p>
    <w:p w14:paraId="7BC234FC" w14:textId="77777777" w:rsidR="009D14B5" w:rsidRDefault="009D14B5" w:rsidP="00F40D65">
      <w:pPr>
        <w:jc w:val="both"/>
        <w:rPr>
          <w:rFonts w:ascii="Times New Roman" w:hAnsi="Times New Roman" w:cs="Times New Roman"/>
          <w:sz w:val="24"/>
          <w:szCs w:val="24"/>
        </w:rPr>
      </w:pPr>
    </w:p>
    <w:p w14:paraId="2BF6329F" w14:textId="77777777" w:rsidR="009D14B5" w:rsidRDefault="009D14B5" w:rsidP="00F40D65">
      <w:pPr>
        <w:jc w:val="both"/>
        <w:rPr>
          <w:rFonts w:ascii="Times New Roman" w:hAnsi="Times New Roman" w:cs="Times New Roman"/>
          <w:sz w:val="24"/>
          <w:szCs w:val="24"/>
        </w:rPr>
      </w:pPr>
    </w:p>
    <w:p w14:paraId="65923572" w14:textId="77777777" w:rsidR="009D14B5" w:rsidRPr="00F40D65" w:rsidRDefault="009D14B5" w:rsidP="00F40D65">
      <w:pPr>
        <w:jc w:val="both"/>
        <w:rPr>
          <w:rFonts w:ascii="Times New Roman" w:hAnsi="Times New Roman" w:cs="Times New Roman"/>
          <w:sz w:val="24"/>
          <w:szCs w:val="24"/>
        </w:rPr>
      </w:pPr>
    </w:p>
    <w:p w14:paraId="06E2B944" w14:textId="77777777" w:rsidR="00D6728E" w:rsidRDefault="00D6728E" w:rsidP="004E2B5B">
      <w:pPr>
        <w:jc w:val="center"/>
        <w:rPr>
          <w:rFonts w:ascii="Montserrat" w:eastAsia="Arial" w:hAnsi="Montserrat" w:cs="Times New Roman"/>
          <w:b/>
          <w:bCs/>
          <w:sz w:val="22"/>
          <w:szCs w:val="22"/>
        </w:rPr>
      </w:pPr>
    </w:p>
    <w:p w14:paraId="5EB1E097" w14:textId="1D9908EF" w:rsidR="004E2B5B" w:rsidRPr="003A4B12" w:rsidRDefault="004E2B5B" w:rsidP="004E2B5B">
      <w:pPr>
        <w:jc w:val="center"/>
        <w:rPr>
          <w:rFonts w:ascii="Times New Roman" w:hAnsi="Times New Roman" w:cs="Times New Roman"/>
          <w:sz w:val="24"/>
          <w:szCs w:val="24"/>
        </w:rPr>
      </w:pPr>
      <w:r w:rsidRPr="003A4B12">
        <w:rPr>
          <w:rFonts w:ascii="Times New Roman" w:eastAsia="Arial" w:hAnsi="Times New Roman" w:cs="Times New Roman"/>
          <w:b/>
          <w:bCs/>
          <w:sz w:val="24"/>
          <w:szCs w:val="24"/>
        </w:rPr>
        <w:lastRenderedPageBreak/>
        <w:t>Figure 9</w:t>
      </w:r>
      <w:r w:rsidR="009D14B5">
        <w:rPr>
          <w:rFonts w:ascii="Times New Roman" w:eastAsia="Arial" w:hAnsi="Times New Roman" w:cs="Times New Roman"/>
          <w:b/>
          <w:bCs/>
          <w:sz w:val="24"/>
          <w:szCs w:val="24"/>
        </w:rPr>
        <w:t>:</w:t>
      </w:r>
      <w:r w:rsidRPr="003A4B12">
        <w:rPr>
          <w:rFonts w:ascii="Times New Roman" w:eastAsia="Arial" w:hAnsi="Times New Roman" w:cs="Times New Roman"/>
          <w:b/>
          <w:bCs/>
          <w:sz w:val="24"/>
          <w:szCs w:val="24"/>
        </w:rPr>
        <w:t xml:space="preserve"> International </w:t>
      </w:r>
      <w:r w:rsidR="009D14B5">
        <w:rPr>
          <w:rFonts w:ascii="Times New Roman" w:eastAsia="Arial" w:hAnsi="Times New Roman" w:cs="Times New Roman"/>
          <w:b/>
          <w:bCs/>
          <w:sz w:val="24"/>
          <w:szCs w:val="24"/>
        </w:rPr>
        <w:t>c</w:t>
      </w:r>
      <w:r w:rsidRPr="003A4B12">
        <w:rPr>
          <w:rFonts w:ascii="Times New Roman" w:eastAsia="Arial" w:hAnsi="Times New Roman" w:cs="Times New Roman"/>
          <w:b/>
          <w:bCs/>
          <w:sz w:val="24"/>
          <w:szCs w:val="24"/>
        </w:rPr>
        <w:t xml:space="preserve">omparison of </w:t>
      </w:r>
      <w:r w:rsidR="009D14B5">
        <w:rPr>
          <w:rFonts w:ascii="Times New Roman" w:eastAsia="Arial" w:hAnsi="Times New Roman" w:cs="Times New Roman"/>
          <w:b/>
          <w:bCs/>
          <w:sz w:val="24"/>
          <w:szCs w:val="24"/>
        </w:rPr>
        <w:t>f</w:t>
      </w:r>
      <w:r w:rsidRPr="003A4B12">
        <w:rPr>
          <w:rFonts w:ascii="Times New Roman" w:eastAsia="Arial" w:hAnsi="Times New Roman" w:cs="Times New Roman"/>
          <w:b/>
          <w:bCs/>
          <w:sz w:val="24"/>
          <w:szCs w:val="24"/>
        </w:rPr>
        <w:t xml:space="preserve">ixed </w:t>
      </w:r>
      <w:r w:rsidR="009D14B5">
        <w:rPr>
          <w:rFonts w:ascii="Times New Roman" w:eastAsia="Arial" w:hAnsi="Times New Roman" w:cs="Times New Roman"/>
          <w:b/>
          <w:bCs/>
          <w:sz w:val="24"/>
          <w:szCs w:val="24"/>
        </w:rPr>
        <w:t>e</w:t>
      </w:r>
      <w:r w:rsidRPr="003A4B12">
        <w:rPr>
          <w:rFonts w:ascii="Times New Roman" w:eastAsia="Arial" w:hAnsi="Times New Roman" w:cs="Times New Roman"/>
          <w:b/>
          <w:bCs/>
          <w:sz w:val="24"/>
          <w:szCs w:val="24"/>
        </w:rPr>
        <w:t xml:space="preserve">ffects </w:t>
      </w:r>
      <w:r w:rsidR="009D14B5">
        <w:rPr>
          <w:rFonts w:ascii="Times New Roman" w:eastAsia="Arial" w:hAnsi="Times New Roman" w:cs="Times New Roman"/>
          <w:b/>
          <w:bCs/>
          <w:sz w:val="24"/>
          <w:szCs w:val="24"/>
        </w:rPr>
        <w:t>q</w:t>
      </w:r>
      <w:r w:rsidRPr="003A4B12">
        <w:rPr>
          <w:rFonts w:ascii="Times New Roman" w:eastAsia="Arial" w:hAnsi="Times New Roman" w:cs="Times New Roman"/>
          <w:b/>
          <w:bCs/>
          <w:sz w:val="24"/>
          <w:szCs w:val="24"/>
        </w:rPr>
        <w:t xml:space="preserve">uantile </w:t>
      </w:r>
      <w:r w:rsidR="009D14B5">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 xml:space="preserve">egression </w:t>
      </w:r>
      <w:r w:rsidR="009D14B5">
        <w:rPr>
          <w:rFonts w:ascii="Times New Roman" w:eastAsia="Arial" w:hAnsi="Times New Roman" w:cs="Times New Roman"/>
          <w:b/>
          <w:bCs/>
          <w:sz w:val="24"/>
          <w:szCs w:val="24"/>
        </w:rPr>
        <w:t>r</w:t>
      </w:r>
      <w:r w:rsidRPr="003A4B12">
        <w:rPr>
          <w:rFonts w:ascii="Times New Roman" w:eastAsia="Arial" w:hAnsi="Times New Roman" w:cs="Times New Roman"/>
          <w:b/>
          <w:bCs/>
          <w:sz w:val="24"/>
          <w:szCs w:val="24"/>
        </w:rPr>
        <w:t>esults</w:t>
      </w:r>
    </w:p>
    <w:p w14:paraId="080466C5" w14:textId="77777777" w:rsidR="004E2B5B" w:rsidRPr="007215A6" w:rsidRDefault="004E2B5B" w:rsidP="004E2B5B">
      <w:pPr>
        <w:snapToGrid w:val="0"/>
        <w:ind w:left="-567"/>
        <w:rPr>
          <w:rFonts w:ascii="Times New Roman" w:hAnsi="Times New Roman" w:cs="Times New Roman"/>
          <w:sz w:val="22"/>
          <w:szCs w:val="22"/>
        </w:rPr>
      </w:pPr>
    </w:p>
    <w:tbl>
      <w:tblPr>
        <w:tblStyle w:val="TableGrid"/>
        <w:tblW w:w="101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845"/>
        <w:gridCol w:w="2972"/>
        <w:gridCol w:w="3366"/>
      </w:tblGrid>
      <w:tr w:rsidR="004E2B5B" w:rsidRPr="007215A6" w14:paraId="792B8F0E" w14:textId="77777777" w:rsidTr="0026312D">
        <w:trPr>
          <w:trHeight w:val="311"/>
        </w:trPr>
        <w:tc>
          <w:tcPr>
            <w:tcW w:w="998" w:type="dxa"/>
            <w:tcBorders>
              <w:bottom w:val="single" w:sz="4" w:space="0" w:color="auto"/>
            </w:tcBorders>
          </w:tcPr>
          <w:p w14:paraId="2BE7488B" w14:textId="77777777" w:rsidR="004E2B5B" w:rsidRPr="007215A6" w:rsidRDefault="004E2B5B" w:rsidP="00532745">
            <w:pPr>
              <w:snapToGrid w:val="0"/>
              <w:rPr>
                <w:rFonts w:ascii="Times New Roman" w:hAnsi="Times New Roman" w:cs="Times New Roman"/>
                <w:sz w:val="22"/>
                <w:szCs w:val="22"/>
              </w:rPr>
            </w:pPr>
          </w:p>
        </w:tc>
        <w:tc>
          <w:tcPr>
            <w:tcW w:w="2845" w:type="dxa"/>
            <w:tcBorders>
              <w:bottom w:val="single" w:sz="4" w:space="0" w:color="auto"/>
            </w:tcBorders>
          </w:tcPr>
          <w:p w14:paraId="62D6C014" w14:textId="77777777" w:rsidR="004E2B5B" w:rsidRPr="007215A6" w:rsidRDefault="004E2B5B" w:rsidP="00532745">
            <w:pPr>
              <w:snapToGrid w:val="0"/>
              <w:jc w:val="center"/>
              <w:rPr>
                <w:rFonts w:ascii="Times New Roman" w:hAnsi="Times New Roman" w:cs="Times New Roman"/>
                <w:sz w:val="22"/>
                <w:szCs w:val="22"/>
              </w:rPr>
            </w:pPr>
            <w:r w:rsidRPr="007215A6">
              <w:rPr>
                <w:rFonts w:ascii="Times New Roman" w:hAnsi="Times New Roman" w:cs="Times New Roman"/>
                <w:sz w:val="22"/>
                <w:szCs w:val="22"/>
              </w:rPr>
              <w:t>Rice price</w:t>
            </w:r>
          </w:p>
        </w:tc>
        <w:tc>
          <w:tcPr>
            <w:tcW w:w="2972" w:type="dxa"/>
            <w:tcBorders>
              <w:bottom w:val="single" w:sz="4" w:space="0" w:color="auto"/>
            </w:tcBorders>
          </w:tcPr>
          <w:p w14:paraId="6393B952" w14:textId="77777777" w:rsidR="004E2B5B" w:rsidRPr="007215A6" w:rsidRDefault="004E2B5B" w:rsidP="00532745">
            <w:pPr>
              <w:snapToGrid w:val="0"/>
              <w:jc w:val="center"/>
              <w:rPr>
                <w:rFonts w:ascii="Times New Roman" w:hAnsi="Times New Roman" w:cs="Times New Roman"/>
                <w:sz w:val="22"/>
                <w:szCs w:val="22"/>
              </w:rPr>
            </w:pPr>
            <w:r w:rsidRPr="007215A6">
              <w:rPr>
                <w:rFonts w:ascii="Times New Roman" w:hAnsi="Times New Roman" w:cs="Times New Roman"/>
                <w:sz w:val="22"/>
                <w:szCs w:val="22"/>
              </w:rPr>
              <w:t>Fuel price</w:t>
            </w:r>
          </w:p>
        </w:tc>
        <w:tc>
          <w:tcPr>
            <w:tcW w:w="3366" w:type="dxa"/>
            <w:tcBorders>
              <w:bottom w:val="single" w:sz="4" w:space="0" w:color="auto"/>
            </w:tcBorders>
          </w:tcPr>
          <w:p w14:paraId="35397ADF" w14:textId="77777777" w:rsidR="004E2B5B" w:rsidRPr="007215A6" w:rsidRDefault="004E2B5B" w:rsidP="00532745">
            <w:pPr>
              <w:snapToGrid w:val="0"/>
              <w:jc w:val="center"/>
              <w:rPr>
                <w:rFonts w:ascii="Times New Roman" w:hAnsi="Times New Roman" w:cs="Times New Roman"/>
                <w:sz w:val="22"/>
                <w:szCs w:val="22"/>
              </w:rPr>
            </w:pPr>
            <w:r w:rsidRPr="007215A6">
              <w:rPr>
                <w:rFonts w:ascii="Times New Roman" w:hAnsi="Times New Roman" w:cs="Times New Roman"/>
                <w:sz w:val="22"/>
                <w:szCs w:val="22"/>
              </w:rPr>
              <w:t>Remittance</w:t>
            </w:r>
          </w:p>
        </w:tc>
      </w:tr>
      <w:tr w:rsidR="004E2B5B" w:rsidRPr="00D6728E" w14:paraId="7894A882" w14:textId="77777777" w:rsidTr="0026312D">
        <w:trPr>
          <w:cantSplit/>
          <w:trHeight w:val="2126"/>
        </w:trPr>
        <w:tc>
          <w:tcPr>
            <w:tcW w:w="998" w:type="dxa"/>
            <w:tcBorders>
              <w:top w:val="single" w:sz="4" w:space="0" w:color="auto"/>
            </w:tcBorders>
            <w:textDirection w:val="btLr"/>
          </w:tcPr>
          <w:p w14:paraId="171C0852" w14:textId="77777777" w:rsidR="004E2B5B" w:rsidRPr="007215A6" w:rsidRDefault="004E2B5B" w:rsidP="00532745">
            <w:pPr>
              <w:snapToGrid w:val="0"/>
              <w:ind w:left="113" w:right="113"/>
              <w:rPr>
                <w:rFonts w:ascii="Times New Roman" w:hAnsi="Times New Roman" w:cs="Times New Roman"/>
                <w:sz w:val="22"/>
                <w:szCs w:val="22"/>
              </w:rPr>
            </w:pPr>
            <w:r w:rsidRPr="007215A6">
              <w:rPr>
                <w:rFonts w:ascii="Times New Roman" w:hAnsi="Times New Roman" w:cs="Times New Roman"/>
                <w:sz w:val="22"/>
                <w:szCs w:val="22"/>
              </w:rPr>
              <w:t xml:space="preserve">             Indonesia</w:t>
            </w:r>
          </w:p>
        </w:tc>
        <w:tc>
          <w:tcPr>
            <w:tcW w:w="9183" w:type="dxa"/>
            <w:gridSpan w:val="3"/>
            <w:vMerge w:val="restart"/>
            <w:tcBorders>
              <w:top w:val="single" w:sz="4" w:space="0" w:color="auto"/>
            </w:tcBorders>
          </w:tcPr>
          <w:p w14:paraId="2977EB8F" w14:textId="77777777" w:rsidR="004E2B5B" w:rsidRPr="00D6728E" w:rsidRDefault="004E2B5B" w:rsidP="00532745">
            <w:pPr>
              <w:snapToGrid w:val="0"/>
              <w:rPr>
                <w:rFonts w:ascii="Montserrat" w:hAnsi="Montserrat"/>
              </w:rPr>
            </w:pPr>
            <w:r w:rsidRPr="00D6728E">
              <w:rPr>
                <w:rFonts w:ascii="Montserrat" w:hAnsi="Montserrat"/>
                <w:noProof/>
                <w14:ligatures w14:val="standardContextual"/>
              </w:rPr>
              <w:drawing>
                <wp:inline distT="0" distB="0" distL="0" distR="0" wp14:anchorId="4994422D" wp14:editId="57BB9FBF">
                  <wp:extent cx="5656123" cy="2636721"/>
                  <wp:effectExtent l="0" t="0" r="1905" b="0"/>
                  <wp:docPr id="2135661287" name="Picture 213566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9.1.png"/>
                          <pic:cNvPicPr/>
                        </pic:nvPicPr>
                        <pic:blipFill>
                          <a:blip r:embed="rId29">
                            <a:extLst>
                              <a:ext uri="{28A0092B-C50C-407E-A947-70E740481C1C}">
                                <a14:useLocalDpi xmlns:a14="http://schemas.microsoft.com/office/drawing/2010/main" val="0"/>
                              </a:ext>
                            </a:extLst>
                          </a:blip>
                          <a:stretch>
                            <a:fillRect/>
                          </a:stretch>
                        </pic:blipFill>
                        <pic:spPr bwMode="auto">
                          <a:xfrm>
                            <a:off x="0" y="0"/>
                            <a:ext cx="5656123" cy="2636721"/>
                          </a:xfrm>
                          <a:prstGeom prst="rect">
                            <a:avLst/>
                          </a:prstGeom>
                          <a:ln>
                            <a:noFill/>
                          </a:ln>
                          <a:extLst>
                            <a:ext uri="{53640926-AAD7-44D8-BBD7-CCE9431645EC}">
                              <a14:shadowObscured xmlns:a14="http://schemas.microsoft.com/office/drawing/2010/main"/>
                            </a:ext>
                          </a:extLst>
                        </pic:spPr>
                      </pic:pic>
                    </a:graphicData>
                  </a:graphic>
                </wp:inline>
              </w:drawing>
            </w:r>
          </w:p>
        </w:tc>
      </w:tr>
      <w:tr w:rsidR="004E2B5B" w:rsidRPr="00D6728E" w14:paraId="0FBE6228" w14:textId="77777777" w:rsidTr="0026312D">
        <w:trPr>
          <w:cantSplit/>
          <w:trHeight w:val="1986"/>
        </w:trPr>
        <w:tc>
          <w:tcPr>
            <w:tcW w:w="998" w:type="dxa"/>
            <w:textDirection w:val="btLr"/>
          </w:tcPr>
          <w:p w14:paraId="7A118214" w14:textId="7554258C" w:rsidR="004E2B5B" w:rsidRPr="007215A6" w:rsidRDefault="004E2B5B" w:rsidP="00532745">
            <w:pPr>
              <w:snapToGrid w:val="0"/>
              <w:ind w:left="113" w:right="113"/>
              <w:rPr>
                <w:rFonts w:ascii="Times New Roman" w:hAnsi="Times New Roman" w:cs="Times New Roman"/>
                <w:sz w:val="22"/>
                <w:szCs w:val="22"/>
              </w:rPr>
            </w:pPr>
            <w:r w:rsidRPr="007215A6">
              <w:rPr>
                <w:rFonts w:ascii="Times New Roman" w:hAnsi="Times New Roman" w:cs="Times New Roman"/>
                <w:sz w:val="22"/>
                <w:szCs w:val="22"/>
              </w:rPr>
              <w:t xml:space="preserve">         Philippines</w:t>
            </w:r>
          </w:p>
        </w:tc>
        <w:tc>
          <w:tcPr>
            <w:tcW w:w="9183" w:type="dxa"/>
            <w:gridSpan w:val="3"/>
            <w:vMerge/>
          </w:tcPr>
          <w:p w14:paraId="0CB8270A" w14:textId="77777777" w:rsidR="004E2B5B" w:rsidRPr="00D6728E" w:rsidRDefault="004E2B5B" w:rsidP="00532745">
            <w:pPr>
              <w:snapToGrid w:val="0"/>
              <w:rPr>
                <w:rFonts w:ascii="Montserrat" w:hAnsi="Montserrat"/>
              </w:rPr>
            </w:pPr>
          </w:p>
        </w:tc>
      </w:tr>
      <w:tr w:rsidR="004E2B5B" w:rsidRPr="00D6728E" w14:paraId="7197DD18" w14:textId="77777777" w:rsidTr="0026312D">
        <w:trPr>
          <w:cantSplit/>
          <w:trHeight w:val="1986"/>
        </w:trPr>
        <w:tc>
          <w:tcPr>
            <w:tcW w:w="998" w:type="dxa"/>
            <w:textDirection w:val="btLr"/>
          </w:tcPr>
          <w:p w14:paraId="15C862DD" w14:textId="77777777" w:rsidR="004E2B5B" w:rsidRPr="007215A6" w:rsidRDefault="004E2B5B" w:rsidP="00532745">
            <w:pPr>
              <w:snapToGrid w:val="0"/>
              <w:ind w:left="113" w:right="113"/>
              <w:jc w:val="center"/>
              <w:rPr>
                <w:rFonts w:ascii="Times New Roman" w:hAnsi="Times New Roman" w:cs="Times New Roman"/>
                <w:sz w:val="22"/>
                <w:szCs w:val="22"/>
              </w:rPr>
            </w:pPr>
            <w:r w:rsidRPr="007215A6">
              <w:rPr>
                <w:rFonts w:ascii="Times New Roman" w:hAnsi="Times New Roman" w:cs="Times New Roman"/>
                <w:sz w:val="22"/>
                <w:szCs w:val="22"/>
              </w:rPr>
              <w:t>India</w:t>
            </w:r>
          </w:p>
        </w:tc>
        <w:tc>
          <w:tcPr>
            <w:tcW w:w="9183" w:type="dxa"/>
            <w:gridSpan w:val="3"/>
            <w:vMerge w:val="restart"/>
          </w:tcPr>
          <w:p w14:paraId="438572F4" w14:textId="77777777" w:rsidR="004E2B5B" w:rsidRPr="00D6728E" w:rsidRDefault="004E2B5B" w:rsidP="00532745">
            <w:pPr>
              <w:snapToGrid w:val="0"/>
              <w:rPr>
                <w:rFonts w:ascii="Montserrat" w:hAnsi="Montserrat"/>
              </w:rPr>
            </w:pPr>
            <w:r w:rsidRPr="00D6728E">
              <w:rPr>
                <w:rFonts w:ascii="Montserrat" w:hAnsi="Montserrat"/>
                <w:noProof/>
                <w14:ligatures w14:val="standardContextual"/>
              </w:rPr>
              <w:drawing>
                <wp:inline distT="0" distB="0" distL="0" distR="0" wp14:anchorId="53EC55B3" wp14:editId="2CA0A2C6">
                  <wp:extent cx="5688281" cy="2606452"/>
                  <wp:effectExtent l="0" t="0" r="8255" b="3810"/>
                  <wp:docPr id="1938014067" name="Picture 193801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9.2.png"/>
                          <pic:cNvPicPr/>
                        </pic:nvPicPr>
                        <pic:blipFill>
                          <a:blip r:embed="rId30">
                            <a:extLst>
                              <a:ext uri="{28A0092B-C50C-407E-A947-70E740481C1C}">
                                <a14:useLocalDpi xmlns:a14="http://schemas.microsoft.com/office/drawing/2010/main" val="0"/>
                              </a:ext>
                            </a:extLst>
                          </a:blip>
                          <a:stretch>
                            <a:fillRect/>
                          </a:stretch>
                        </pic:blipFill>
                        <pic:spPr bwMode="auto">
                          <a:xfrm>
                            <a:off x="0" y="0"/>
                            <a:ext cx="5694231" cy="2609178"/>
                          </a:xfrm>
                          <a:prstGeom prst="rect">
                            <a:avLst/>
                          </a:prstGeom>
                          <a:ln>
                            <a:noFill/>
                          </a:ln>
                          <a:extLst>
                            <a:ext uri="{53640926-AAD7-44D8-BBD7-CCE9431645EC}">
                              <a14:shadowObscured xmlns:a14="http://schemas.microsoft.com/office/drawing/2010/main"/>
                            </a:ext>
                          </a:extLst>
                        </pic:spPr>
                      </pic:pic>
                    </a:graphicData>
                  </a:graphic>
                </wp:inline>
              </w:drawing>
            </w:r>
          </w:p>
        </w:tc>
      </w:tr>
      <w:tr w:rsidR="004E2B5B" w:rsidRPr="00D6728E" w14:paraId="0CD06132" w14:textId="77777777" w:rsidTr="0026312D">
        <w:trPr>
          <w:cantSplit/>
          <w:trHeight w:val="2246"/>
        </w:trPr>
        <w:tc>
          <w:tcPr>
            <w:tcW w:w="998" w:type="dxa"/>
            <w:tcBorders>
              <w:bottom w:val="single" w:sz="4" w:space="0" w:color="auto"/>
            </w:tcBorders>
            <w:textDirection w:val="btLr"/>
          </w:tcPr>
          <w:p w14:paraId="6A09D57B" w14:textId="77777777" w:rsidR="004E2B5B" w:rsidRPr="007215A6" w:rsidRDefault="004E2B5B" w:rsidP="00532745">
            <w:pPr>
              <w:snapToGrid w:val="0"/>
              <w:ind w:left="113" w:right="113"/>
              <w:jc w:val="center"/>
              <w:rPr>
                <w:rFonts w:ascii="Times New Roman" w:hAnsi="Times New Roman" w:cs="Times New Roman"/>
                <w:sz w:val="22"/>
                <w:szCs w:val="22"/>
              </w:rPr>
            </w:pPr>
            <w:r w:rsidRPr="007215A6">
              <w:rPr>
                <w:rFonts w:ascii="Times New Roman" w:hAnsi="Times New Roman" w:cs="Times New Roman"/>
                <w:sz w:val="22"/>
                <w:szCs w:val="22"/>
              </w:rPr>
              <w:t xml:space="preserve">  Thailand</w:t>
            </w:r>
          </w:p>
        </w:tc>
        <w:tc>
          <w:tcPr>
            <w:tcW w:w="9183" w:type="dxa"/>
            <w:gridSpan w:val="3"/>
            <w:vMerge/>
            <w:tcBorders>
              <w:bottom w:val="single" w:sz="4" w:space="0" w:color="auto"/>
            </w:tcBorders>
          </w:tcPr>
          <w:p w14:paraId="164FC1F4" w14:textId="77777777" w:rsidR="004E2B5B" w:rsidRPr="00D6728E" w:rsidRDefault="004E2B5B" w:rsidP="00532745">
            <w:pPr>
              <w:snapToGrid w:val="0"/>
              <w:rPr>
                <w:rFonts w:ascii="Montserrat" w:hAnsi="Montserrat"/>
              </w:rPr>
            </w:pPr>
          </w:p>
        </w:tc>
      </w:tr>
    </w:tbl>
    <w:p w14:paraId="312D6D71" w14:textId="6EE860CE" w:rsidR="004E2B5B" w:rsidRPr="007215A6" w:rsidRDefault="009D14B5" w:rsidP="004E2B5B">
      <w:pPr>
        <w:snapToGrid w:val="0"/>
        <w:ind w:left="709" w:hanging="1276"/>
        <w:rPr>
          <w:rFonts w:ascii="Times New Roman" w:hAnsi="Times New Roman" w:cs="Times New Roman"/>
        </w:rPr>
      </w:pPr>
      <w:r>
        <w:rPr>
          <w:rFonts w:ascii="Times New Roman" w:eastAsia="Arial" w:hAnsi="Times New Roman" w:cs="Times New Roman"/>
        </w:rPr>
        <w:t xml:space="preserve">Note: </w:t>
      </w:r>
      <w:r w:rsidR="00167E37" w:rsidRPr="007215A6">
        <w:rPr>
          <w:rFonts w:ascii="Times New Roman" w:eastAsia="Arial" w:hAnsi="Times New Roman" w:cs="Times New Roman"/>
        </w:rPr>
        <w:t>Gray shaded area is the 95% confidence interval around the point estimates.</w:t>
      </w:r>
    </w:p>
    <w:p w14:paraId="36CC5D52" w14:textId="77777777" w:rsidR="004E2B5B" w:rsidRPr="00D6728E" w:rsidRDefault="004E2B5B" w:rsidP="004E2B5B">
      <w:pPr>
        <w:jc w:val="both"/>
        <w:rPr>
          <w:rFonts w:ascii="Montserrat" w:hAnsi="Montserrat"/>
          <w:sz w:val="22"/>
          <w:szCs w:val="22"/>
        </w:rPr>
      </w:pPr>
    </w:p>
    <w:p w14:paraId="5924E163" w14:textId="77777777" w:rsidR="004E2B5B" w:rsidRPr="00D6728E" w:rsidRDefault="004E2B5B" w:rsidP="004E2B5B">
      <w:pPr>
        <w:jc w:val="both"/>
        <w:rPr>
          <w:rFonts w:ascii="Montserrat" w:hAnsi="Montserrat"/>
          <w:sz w:val="22"/>
          <w:szCs w:val="22"/>
        </w:rPr>
      </w:pPr>
    </w:p>
    <w:p w14:paraId="76E7818E" w14:textId="77777777" w:rsidR="004E2B5B" w:rsidRDefault="004E2B5B" w:rsidP="004E2B5B">
      <w:pPr>
        <w:keepNext/>
        <w:keepLines/>
        <w:ind w:firstLine="425"/>
        <w:jc w:val="both"/>
        <w:rPr>
          <w:rFonts w:ascii="Montserrat" w:hAnsi="Montserrat"/>
          <w:sz w:val="22"/>
          <w:szCs w:val="22"/>
        </w:rPr>
      </w:pPr>
    </w:p>
    <w:p w14:paraId="16747017" w14:textId="77777777" w:rsidR="009D14B5" w:rsidRDefault="009D14B5" w:rsidP="004E2B5B">
      <w:pPr>
        <w:keepNext/>
        <w:keepLines/>
        <w:ind w:firstLine="425"/>
        <w:jc w:val="both"/>
        <w:rPr>
          <w:rFonts w:ascii="Montserrat" w:hAnsi="Montserrat"/>
          <w:sz w:val="22"/>
          <w:szCs w:val="22"/>
        </w:rPr>
      </w:pPr>
    </w:p>
    <w:p w14:paraId="1E75FA6A" w14:textId="77777777" w:rsidR="009D14B5" w:rsidRDefault="009D14B5" w:rsidP="004E2B5B">
      <w:pPr>
        <w:keepNext/>
        <w:keepLines/>
        <w:ind w:firstLine="425"/>
        <w:jc w:val="both"/>
        <w:rPr>
          <w:rFonts w:ascii="Montserrat" w:hAnsi="Montserrat"/>
          <w:sz w:val="22"/>
          <w:szCs w:val="22"/>
        </w:rPr>
      </w:pPr>
    </w:p>
    <w:p w14:paraId="32B77BAA" w14:textId="77777777" w:rsidR="009D14B5" w:rsidRDefault="009D14B5" w:rsidP="004E2B5B">
      <w:pPr>
        <w:keepNext/>
        <w:keepLines/>
        <w:ind w:firstLine="425"/>
        <w:jc w:val="both"/>
        <w:rPr>
          <w:rFonts w:ascii="Montserrat" w:hAnsi="Montserrat"/>
          <w:sz w:val="22"/>
          <w:szCs w:val="22"/>
        </w:rPr>
      </w:pPr>
    </w:p>
    <w:p w14:paraId="70DFA5D8" w14:textId="77777777" w:rsidR="009D14B5" w:rsidRDefault="009D14B5" w:rsidP="004E2B5B">
      <w:pPr>
        <w:keepNext/>
        <w:keepLines/>
        <w:ind w:firstLine="425"/>
        <w:jc w:val="both"/>
        <w:rPr>
          <w:rFonts w:ascii="Montserrat" w:hAnsi="Montserrat"/>
          <w:sz w:val="22"/>
          <w:szCs w:val="22"/>
        </w:rPr>
      </w:pPr>
    </w:p>
    <w:p w14:paraId="4E97F15E" w14:textId="77777777" w:rsidR="009D14B5" w:rsidRDefault="009D14B5" w:rsidP="004E2B5B">
      <w:pPr>
        <w:keepNext/>
        <w:keepLines/>
        <w:ind w:firstLine="425"/>
        <w:jc w:val="both"/>
        <w:rPr>
          <w:rFonts w:ascii="Montserrat" w:hAnsi="Montserrat"/>
          <w:sz w:val="22"/>
          <w:szCs w:val="22"/>
        </w:rPr>
      </w:pPr>
    </w:p>
    <w:p w14:paraId="14D59EDE" w14:textId="77777777" w:rsidR="009D14B5" w:rsidRDefault="009D14B5" w:rsidP="004E2B5B">
      <w:pPr>
        <w:keepNext/>
        <w:keepLines/>
        <w:ind w:firstLine="425"/>
        <w:jc w:val="both"/>
        <w:rPr>
          <w:rFonts w:ascii="Montserrat" w:hAnsi="Montserrat"/>
          <w:sz w:val="22"/>
          <w:szCs w:val="22"/>
        </w:rPr>
      </w:pPr>
    </w:p>
    <w:p w14:paraId="1E240465" w14:textId="77777777" w:rsidR="009D14B5" w:rsidRDefault="009D14B5" w:rsidP="004E2B5B">
      <w:pPr>
        <w:keepNext/>
        <w:keepLines/>
        <w:ind w:firstLine="425"/>
        <w:jc w:val="both"/>
        <w:rPr>
          <w:rFonts w:ascii="Montserrat" w:hAnsi="Montserrat"/>
          <w:sz w:val="22"/>
          <w:szCs w:val="22"/>
        </w:rPr>
      </w:pPr>
    </w:p>
    <w:p w14:paraId="7B1B1B54" w14:textId="77777777" w:rsidR="009D14B5" w:rsidRDefault="009D14B5" w:rsidP="004E2B5B">
      <w:pPr>
        <w:keepNext/>
        <w:keepLines/>
        <w:ind w:firstLine="425"/>
        <w:jc w:val="both"/>
        <w:rPr>
          <w:rFonts w:ascii="Montserrat" w:hAnsi="Montserrat"/>
          <w:sz w:val="22"/>
          <w:szCs w:val="22"/>
        </w:rPr>
      </w:pPr>
    </w:p>
    <w:p w14:paraId="358E4CD4" w14:textId="77777777" w:rsidR="009D14B5" w:rsidRDefault="009D14B5" w:rsidP="004E2B5B">
      <w:pPr>
        <w:keepNext/>
        <w:keepLines/>
        <w:ind w:firstLine="425"/>
        <w:jc w:val="both"/>
        <w:rPr>
          <w:rFonts w:ascii="Montserrat" w:hAnsi="Montserrat"/>
          <w:sz w:val="22"/>
          <w:szCs w:val="22"/>
        </w:rPr>
      </w:pPr>
    </w:p>
    <w:p w14:paraId="7F99DC61" w14:textId="77777777" w:rsidR="009D14B5" w:rsidRPr="00D6728E" w:rsidRDefault="009D14B5" w:rsidP="004E2B5B">
      <w:pPr>
        <w:keepNext/>
        <w:keepLines/>
        <w:ind w:firstLine="425"/>
        <w:jc w:val="both"/>
        <w:rPr>
          <w:rFonts w:ascii="Montserrat" w:hAnsi="Montserrat"/>
          <w:sz w:val="22"/>
          <w:szCs w:val="22"/>
        </w:rPr>
      </w:pPr>
    </w:p>
    <w:p w14:paraId="2A6228B0" w14:textId="77777777" w:rsidR="004E2B5B" w:rsidRPr="00D6728E" w:rsidRDefault="004E2B5B" w:rsidP="004E2B5B">
      <w:pPr>
        <w:keepNext/>
        <w:keepLines/>
        <w:ind w:firstLine="425"/>
        <w:jc w:val="both"/>
        <w:rPr>
          <w:rFonts w:ascii="Montserrat" w:eastAsia="Arial" w:hAnsi="Montserrat" w:cs="Times New Roman"/>
          <w:b/>
          <w:bCs/>
          <w:sz w:val="22"/>
          <w:szCs w:val="22"/>
        </w:rPr>
      </w:pPr>
    </w:p>
    <w:p w14:paraId="54041924" w14:textId="77777777" w:rsidR="00520E51" w:rsidRPr="002C09D6" w:rsidRDefault="00520E51" w:rsidP="00520E51">
      <w:pPr>
        <w:ind w:firstLine="426"/>
        <w:jc w:val="both"/>
        <w:rPr>
          <w:rFonts w:ascii="Times New Roman" w:hAnsi="Times New Roman" w:cs="Times New Roman"/>
          <w:sz w:val="24"/>
          <w:szCs w:val="24"/>
        </w:rPr>
      </w:pPr>
    </w:p>
    <w:p w14:paraId="12BFA468" w14:textId="38CA686E" w:rsidR="004E2B5B" w:rsidRPr="00D6728E" w:rsidRDefault="004E2B5B" w:rsidP="001D0B5B">
      <w:pPr>
        <w:rPr>
          <w:rFonts w:ascii="Montserrat" w:eastAsiaTheme="majorEastAsia" w:hAnsi="Montserrat" w:cstheme="majorBidi"/>
          <w:b/>
          <w:color w:val="2F5496" w:themeColor="accent1" w:themeShade="BF"/>
          <w:sz w:val="28"/>
          <w:szCs w:val="32"/>
          <w:lang w:val="en-US" w:eastAsia="en-US"/>
        </w:rPr>
      </w:pPr>
    </w:p>
    <w:p w14:paraId="5D12F3A9" w14:textId="77777777" w:rsidR="004E2B5B" w:rsidRPr="004468B0" w:rsidRDefault="004E2B5B" w:rsidP="004468B0">
      <w:pPr>
        <w:rPr>
          <w:rFonts w:ascii="Times New Roman" w:hAnsi="Times New Roman" w:cs="Times New Roman"/>
          <w:b/>
          <w:bCs/>
          <w:sz w:val="24"/>
          <w:szCs w:val="24"/>
        </w:rPr>
      </w:pPr>
      <w:bookmarkStart w:id="21" w:name="_Toc197460327"/>
      <w:r w:rsidRPr="004468B0">
        <w:rPr>
          <w:rFonts w:ascii="Times New Roman" w:hAnsi="Times New Roman" w:cs="Times New Roman"/>
          <w:b/>
          <w:bCs/>
          <w:sz w:val="24"/>
          <w:szCs w:val="24"/>
        </w:rPr>
        <w:lastRenderedPageBreak/>
        <w:t>References</w:t>
      </w:r>
      <w:bookmarkEnd w:id="21"/>
    </w:p>
    <w:p w14:paraId="3B1A77FB" w14:textId="77777777" w:rsidR="004E2B5B" w:rsidRPr="00D6728E" w:rsidRDefault="004E2B5B" w:rsidP="004468B0">
      <w:pPr>
        <w:ind w:left="567" w:hanging="560"/>
        <w:rPr>
          <w:rFonts w:ascii="Montserrat" w:eastAsia="Times New Roman" w:hAnsi="Montserrat" w:cs="Times New Roman"/>
          <w:sz w:val="22"/>
          <w:szCs w:val="22"/>
        </w:rPr>
      </w:pPr>
    </w:p>
    <w:p w14:paraId="33EECA84" w14:textId="3CD49B7B" w:rsidR="004E2B5B" w:rsidRDefault="004E2B5B" w:rsidP="004468B0">
      <w:pPr>
        <w:ind w:left="720" w:hanging="720"/>
        <w:rPr>
          <w:rStyle w:val="Hyperlink"/>
          <w:rFonts w:ascii="Times New Roman" w:hAnsi="Times New Roman" w:cs="Times New Roman"/>
          <w:color w:val="auto"/>
          <w:sz w:val="24"/>
          <w:szCs w:val="24"/>
          <w:u w:val="none"/>
        </w:rPr>
      </w:pPr>
      <w:r w:rsidRPr="00F40D65">
        <w:rPr>
          <w:rFonts w:ascii="Times New Roman" w:eastAsia="Times New Roman" w:hAnsi="Times New Roman" w:cs="Times New Roman"/>
          <w:sz w:val="24"/>
          <w:szCs w:val="24"/>
          <w:lang w:val="en-US"/>
        </w:rPr>
        <w:t xml:space="preserve">Abbas, S. K. &amp; Lan, H. (2020). Commodity price pass-through and inflation regimes. </w:t>
      </w:r>
      <w:r w:rsidRPr="00F40D65">
        <w:rPr>
          <w:rFonts w:ascii="Times New Roman" w:eastAsia="Times New Roman" w:hAnsi="Times New Roman" w:cs="Times New Roman"/>
          <w:i/>
          <w:iCs/>
          <w:sz w:val="24"/>
          <w:szCs w:val="24"/>
          <w:lang w:val="en-US"/>
        </w:rPr>
        <w:t>Energy Economics</w:t>
      </w:r>
      <w:r w:rsidRPr="00F40D65">
        <w:rPr>
          <w:rFonts w:ascii="Times New Roman" w:eastAsia="Times New Roman" w:hAnsi="Times New Roman" w:cs="Times New Roman"/>
          <w:sz w:val="24"/>
          <w:szCs w:val="24"/>
          <w:lang w:val="en-US"/>
        </w:rPr>
        <w:t xml:space="preserve">, </w:t>
      </w:r>
      <w:r w:rsidRPr="00F40D65">
        <w:rPr>
          <w:rFonts w:ascii="Times New Roman" w:eastAsia="Times New Roman" w:hAnsi="Times New Roman" w:cs="Times New Roman"/>
          <w:i/>
          <w:iCs/>
          <w:sz w:val="24"/>
          <w:szCs w:val="24"/>
          <w:lang w:val="en-US"/>
        </w:rPr>
        <w:t>92</w:t>
      </w:r>
      <w:r w:rsidRPr="00F40D65">
        <w:rPr>
          <w:rFonts w:ascii="Times New Roman" w:eastAsia="Times New Roman" w:hAnsi="Times New Roman" w:cs="Times New Roman"/>
          <w:sz w:val="24"/>
          <w:szCs w:val="24"/>
          <w:lang w:val="en-US"/>
        </w:rPr>
        <w:t xml:space="preserve">, 104977. </w:t>
      </w:r>
      <w:hyperlink r:id="rId31" w:history="1">
        <w:r w:rsidR="00814459" w:rsidRPr="00F40D65">
          <w:rPr>
            <w:rStyle w:val="Hyperlink"/>
            <w:rFonts w:ascii="Times New Roman" w:hAnsi="Times New Roman" w:cs="Times New Roman"/>
            <w:color w:val="auto"/>
            <w:sz w:val="24"/>
            <w:szCs w:val="24"/>
            <w:u w:val="none"/>
          </w:rPr>
          <w:t>https://doi.org/10.1016/j.eneco.2020.104977</w:t>
        </w:r>
      </w:hyperlink>
    </w:p>
    <w:p w14:paraId="1924FB7F" w14:textId="435D9BB8" w:rsidR="004E2B5B" w:rsidRPr="00F40D65" w:rsidRDefault="004E2B5B" w:rsidP="004468B0">
      <w:pPr>
        <w:ind w:left="720" w:hanging="720"/>
        <w:rPr>
          <w:rFonts w:ascii="Times New Roman" w:eastAsia="Times New Roman" w:hAnsi="Times New Roman" w:cs="Times New Roman"/>
          <w:sz w:val="24"/>
          <w:szCs w:val="24"/>
        </w:rPr>
      </w:pPr>
      <w:r w:rsidRPr="00F40D65">
        <w:rPr>
          <w:rFonts w:ascii="Times New Roman" w:eastAsia="Times New Roman" w:hAnsi="Times New Roman" w:cs="Times New Roman"/>
          <w:sz w:val="24"/>
          <w:szCs w:val="24"/>
        </w:rPr>
        <w:t xml:space="preserve">Bai, J. &amp; Perron, P. (2002). Computation and analysis of multiple structural change models. </w:t>
      </w:r>
      <w:r w:rsidRPr="00F40D65">
        <w:rPr>
          <w:rFonts w:ascii="Times New Roman" w:eastAsia="Times New Roman" w:hAnsi="Times New Roman" w:cs="Times New Roman"/>
          <w:i/>
          <w:iCs/>
          <w:sz w:val="24"/>
          <w:szCs w:val="24"/>
        </w:rPr>
        <w:t>Journal of Applied Econometrics, 18</w:t>
      </w:r>
      <w:r w:rsidRPr="00F40D65">
        <w:rPr>
          <w:rFonts w:ascii="Times New Roman" w:eastAsia="Times New Roman" w:hAnsi="Times New Roman" w:cs="Times New Roman"/>
          <w:sz w:val="24"/>
          <w:szCs w:val="24"/>
        </w:rPr>
        <w:t>(1), 1–22.</w:t>
      </w:r>
      <w:r w:rsidR="00814459" w:rsidRPr="00F40D65">
        <w:rPr>
          <w:rFonts w:ascii="Times New Roman" w:eastAsia="Times New Roman" w:hAnsi="Times New Roman" w:cs="Times New Roman"/>
          <w:sz w:val="24"/>
          <w:szCs w:val="24"/>
        </w:rPr>
        <w:t xml:space="preserve"> </w:t>
      </w:r>
      <w:hyperlink r:id="rId32" w:history="1">
        <w:r w:rsidR="00814459" w:rsidRPr="00F40D65">
          <w:rPr>
            <w:rStyle w:val="Hyperlink"/>
            <w:rFonts w:ascii="Times New Roman" w:hAnsi="Times New Roman" w:cs="Times New Roman"/>
            <w:color w:val="auto"/>
            <w:sz w:val="24"/>
            <w:szCs w:val="24"/>
            <w:u w:val="none"/>
          </w:rPr>
          <w:t>https://doi.org/10.1002/jae.659</w:t>
        </w:r>
      </w:hyperlink>
      <w:r w:rsidRPr="00F40D65">
        <w:rPr>
          <w:rFonts w:ascii="Times New Roman" w:eastAsia="Times New Roman" w:hAnsi="Times New Roman" w:cs="Times New Roman"/>
          <w:sz w:val="24"/>
          <w:szCs w:val="24"/>
        </w:rPr>
        <w:t xml:space="preserve"> </w:t>
      </w:r>
    </w:p>
    <w:p w14:paraId="4DA1E550" w14:textId="77777777" w:rsidR="004E2B5B" w:rsidRPr="001D0B5B" w:rsidRDefault="004E2B5B" w:rsidP="004468B0">
      <w:pPr>
        <w:ind w:left="720" w:hanging="720"/>
        <w:rPr>
          <w:rFonts w:ascii="Times New Roman" w:eastAsia="Times New Roman" w:hAnsi="Times New Roman" w:cs="Times New Roman"/>
          <w:sz w:val="24"/>
          <w:szCs w:val="24"/>
        </w:rPr>
      </w:pPr>
      <w:proofErr w:type="spellStart"/>
      <w:r w:rsidRPr="00F40D65">
        <w:rPr>
          <w:rFonts w:ascii="Times New Roman" w:eastAsia="Times New Roman" w:hAnsi="Times New Roman" w:cs="Times New Roman"/>
          <w:sz w:val="24"/>
          <w:szCs w:val="24"/>
        </w:rPr>
        <w:t>Balié</w:t>
      </w:r>
      <w:proofErr w:type="spellEnd"/>
      <w:r w:rsidRPr="00F40D65">
        <w:rPr>
          <w:rFonts w:ascii="Times New Roman" w:eastAsia="Times New Roman" w:hAnsi="Times New Roman" w:cs="Times New Roman"/>
          <w:sz w:val="24"/>
          <w:szCs w:val="24"/>
        </w:rPr>
        <w:t xml:space="preserve">, J., Minot, N., &amp; Valera, H. G. A. (2021). Distributional impacts of the rice </w:t>
      </w:r>
      <w:r w:rsidRPr="00F40D65">
        <w:rPr>
          <w:rFonts w:ascii="Times New Roman" w:eastAsia="Times New Roman" w:hAnsi="Times New Roman" w:cs="Times New Roman"/>
          <w:spacing w:val="-6"/>
          <w:sz w:val="24"/>
          <w:szCs w:val="24"/>
        </w:rPr>
        <w:t xml:space="preserve">tariffication policy in the Philippines. </w:t>
      </w:r>
      <w:r w:rsidRPr="00F40D65">
        <w:rPr>
          <w:rFonts w:ascii="Times New Roman" w:eastAsia="Times New Roman" w:hAnsi="Times New Roman" w:cs="Times New Roman"/>
          <w:i/>
          <w:iCs/>
          <w:spacing w:val="-6"/>
          <w:sz w:val="24"/>
          <w:szCs w:val="24"/>
        </w:rPr>
        <w:t xml:space="preserve">Economic Analysis and </w:t>
      </w:r>
      <w:r w:rsidRPr="001D0B5B">
        <w:rPr>
          <w:rFonts w:ascii="Times New Roman" w:eastAsia="Times New Roman" w:hAnsi="Times New Roman" w:cs="Times New Roman"/>
          <w:i/>
          <w:iCs/>
          <w:spacing w:val="-6"/>
          <w:sz w:val="24"/>
          <w:szCs w:val="24"/>
        </w:rPr>
        <w:t>Policy, 69</w:t>
      </w:r>
      <w:r w:rsidRPr="001D0B5B">
        <w:rPr>
          <w:rFonts w:ascii="Times New Roman" w:eastAsia="Times New Roman" w:hAnsi="Times New Roman" w:cs="Times New Roman"/>
          <w:spacing w:val="-6"/>
          <w:sz w:val="24"/>
          <w:szCs w:val="24"/>
        </w:rPr>
        <w:t>, 289–306.</w:t>
      </w:r>
      <w:r w:rsidRPr="001D0B5B">
        <w:rPr>
          <w:rFonts w:ascii="Times New Roman" w:eastAsia="Times New Roman" w:hAnsi="Times New Roman" w:cs="Times New Roman"/>
          <w:sz w:val="24"/>
          <w:szCs w:val="24"/>
        </w:rPr>
        <w:t xml:space="preserve"> </w:t>
      </w:r>
    </w:p>
    <w:p w14:paraId="56E7132D" w14:textId="3E0A3AF0" w:rsidR="004E2B5B" w:rsidRPr="001D0B5B" w:rsidRDefault="004E2B5B" w:rsidP="004468B0">
      <w:pPr>
        <w:ind w:left="720"/>
        <w:rPr>
          <w:rFonts w:ascii="Times New Roman" w:eastAsia="Times New Roman" w:hAnsi="Times New Roman" w:cs="Times New Roman"/>
          <w:sz w:val="24"/>
          <w:szCs w:val="24"/>
        </w:rPr>
      </w:pPr>
      <w:hyperlink r:id="rId33" w:history="1">
        <w:r w:rsidRPr="001D0B5B">
          <w:rPr>
            <w:rStyle w:val="Hyperlink"/>
            <w:rFonts w:ascii="Times New Roman" w:hAnsi="Times New Roman" w:cs="Times New Roman"/>
            <w:color w:val="auto"/>
            <w:sz w:val="24"/>
            <w:szCs w:val="24"/>
            <w:u w:val="none"/>
          </w:rPr>
          <w:t>https://doi.org/10.1016/j.eap.2020.12.005</w:t>
        </w:r>
      </w:hyperlink>
    </w:p>
    <w:p w14:paraId="577BCCC2" w14:textId="792BBA1B"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Banerjee, R., Contreras, J., Mehrotra, A., &amp; </w:t>
      </w:r>
      <w:proofErr w:type="spellStart"/>
      <w:r w:rsidRPr="001D0B5B">
        <w:rPr>
          <w:rFonts w:ascii="Times New Roman" w:eastAsia="Times New Roman" w:hAnsi="Times New Roman" w:cs="Times New Roman"/>
          <w:sz w:val="24"/>
          <w:szCs w:val="24"/>
        </w:rPr>
        <w:t>Zampolli</w:t>
      </w:r>
      <w:proofErr w:type="spellEnd"/>
      <w:r w:rsidRPr="001D0B5B">
        <w:rPr>
          <w:rFonts w:ascii="Times New Roman" w:eastAsia="Times New Roman" w:hAnsi="Times New Roman" w:cs="Times New Roman"/>
          <w:sz w:val="24"/>
          <w:szCs w:val="24"/>
        </w:rPr>
        <w:t xml:space="preserve">, F. (2024). Inflation at risk in advanced and emerging market economies. </w:t>
      </w:r>
      <w:r w:rsidRPr="001D0B5B">
        <w:rPr>
          <w:rFonts w:ascii="Times New Roman" w:eastAsia="Times New Roman" w:hAnsi="Times New Roman" w:cs="Times New Roman"/>
          <w:i/>
          <w:iCs/>
          <w:sz w:val="24"/>
          <w:szCs w:val="24"/>
        </w:rPr>
        <w:t>Journal of International Money and Finance, 142</w:t>
      </w:r>
      <w:r w:rsidRPr="001D0B5B">
        <w:rPr>
          <w:rFonts w:ascii="Times New Roman" w:eastAsia="Times New Roman" w:hAnsi="Times New Roman" w:cs="Times New Roman"/>
          <w:sz w:val="24"/>
          <w:szCs w:val="24"/>
        </w:rPr>
        <w:t xml:space="preserve">, 103025. </w:t>
      </w:r>
      <w:hyperlink r:id="rId34" w:history="1">
        <w:r w:rsidR="00814459" w:rsidRPr="001D0B5B">
          <w:rPr>
            <w:rStyle w:val="Hyperlink"/>
            <w:rFonts w:ascii="Times New Roman" w:hAnsi="Times New Roman" w:cs="Times New Roman"/>
            <w:color w:val="auto"/>
            <w:sz w:val="24"/>
            <w:szCs w:val="24"/>
            <w:u w:val="none"/>
          </w:rPr>
          <w:t>https://doi.org/10.1016/j.jimonfin.2024.103025</w:t>
        </w:r>
      </w:hyperlink>
    </w:p>
    <w:p w14:paraId="0A3B08F3" w14:textId="48E1478C" w:rsidR="00004259" w:rsidRPr="001D0B5B" w:rsidRDefault="00004259"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Benedict, C., </w:t>
      </w:r>
      <w:proofErr w:type="spellStart"/>
      <w:r w:rsidRPr="001D0B5B">
        <w:rPr>
          <w:rFonts w:ascii="Times New Roman" w:eastAsia="Times New Roman" w:hAnsi="Times New Roman" w:cs="Times New Roman"/>
          <w:sz w:val="24"/>
          <w:szCs w:val="24"/>
        </w:rPr>
        <w:t>Crucini</w:t>
      </w:r>
      <w:proofErr w:type="spellEnd"/>
      <w:r w:rsidRPr="001D0B5B">
        <w:rPr>
          <w:rFonts w:ascii="Times New Roman" w:eastAsia="Times New Roman" w:hAnsi="Times New Roman" w:cs="Times New Roman"/>
          <w:sz w:val="24"/>
          <w:szCs w:val="24"/>
        </w:rPr>
        <w:t xml:space="preserve">, M. J., &amp; Landry, A. (2020). On what states do prices depend? Answers from Ecuador. </w:t>
      </w:r>
      <w:r w:rsidRPr="001D0B5B">
        <w:rPr>
          <w:rFonts w:ascii="Times New Roman" w:eastAsia="Times New Roman" w:hAnsi="Times New Roman" w:cs="Times New Roman"/>
          <w:i/>
          <w:iCs/>
          <w:sz w:val="24"/>
          <w:szCs w:val="24"/>
        </w:rPr>
        <w:t xml:space="preserve">Journal of Money, Credit </w:t>
      </w:r>
      <w:r w:rsidR="0011730E" w:rsidRPr="001D0B5B">
        <w:rPr>
          <w:rFonts w:ascii="Times New Roman" w:eastAsia="Times New Roman" w:hAnsi="Times New Roman" w:cs="Times New Roman"/>
          <w:i/>
          <w:iCs/>
          <w:sz w:val="24"/>
          <w:szCs w:val="24"/>
        </w:rPr>
        <w:t xml:space="preserve">and </w:t>
      </w:r>
      <w:r w:rsidRPr="001D0B5B">
        <w:rPr>
          <w:rFonts w:ascii="Times New Roman" w:eastAsia="Times New Roman" w:hAnsi="Times New Roman" w:cs="Times New Roman"/>
          <w:i/>
          <w:iCs/>
          <w:sz w:val="24"/>
          <w:szCs w:val="24"/>
        </w:rPr>
        <w:t>Bank</w:t>
      </w:r>
      <w:r w:rsidR="0011730E" w:rsidRPr="001D0B5B">
        <w:rPr>
          <w:rFonts w:ascii="Times New Roman" w:eastAsia="Times New Roman" w:hAnsi="Times New Roman" w:cs="Times New Roman"/>
          <w:i/>
          <w:iCs/>
          <w:sz w:val="24"/>
          <w:szCs w:val="24"/>
        </w:rPr>
        <w:t>ing</w:t>
      </w:r>
      <w:r w:rsidR="002339E7" w:rsidRPr="001D0B5B">
        <w:rPr>
          <w:rFonts w:ascii="Times New Roman" w:eastAsia="Times New Roman" w:hAnsi="Times New Roman" w:cs="Times New Roman"/>
          <w:i/>
          <w:iCs/>
          <w:sz w:val="24"/>
          <w:szCs w:val="24"/>
        </w:rPr>
        <w:t>,</w:t>
      </w:r>
      <w:r w:rsidRPr="001D0B5B">
        <w:rPr>
          <w:rFonts w:ascii="Times New Roman" w:eastAsia="Times New Roman" w:hAnsi="Times New Roman" w:cs="Times New Roman"/>
          <w:i/>
          <w:iCs/>
          <w:sz w:val="24"/>
          <w:szCs w:val="24"/>
        </w:rPr>
        <w:t xml:space="preserve"> 52</w:t>
      </w:r>
      <w:r w:rsidRPr="001D0B5B">
        <w:rPr>
          <w:rFonts w:ascii="Times New Roman" w:eastAsia="Times New Roman" w:hAnsi="Times New Roman" w:cs="Times New Roman"/>
          <w:sz w:val="24"/>
          <w:szCs w:val="24"/>
        </w:rPr>
        <w:t>(8), 1909</w:t>
      </w:r>
      <w:r w:rsidR="002339E7" w:rsidRPr="001D0B5B">
        <w:rPr>
          <w:rFonts w:ascii="Times New Roman" w:eastAsia="Times New Roman" w:hAnsi="Times New Roman" w:cs="Times New Roman"/>
          <w:sz w:val="24"/>
          <w:szCs w:val="24"/>
        </w:rPr>
        <w:t>–</w:t>
      </w:r>
      <w:r w:rsidRPr="001D0B5B">
        <w:rPr>
          <w:rFonts w:ascii="Times New Roman" w:eastAsia="Times New Roman" w:hAnsi="Times New Roman" w:cs="Times New Roman"/>
          <w:sz w:val="24"/>
          <w:szCs w:val="24"/>
        </w:rPr>
        <w:t>1935.</w:t>
      </w:r>
    </w:p>
    <w:p w14:paraId="609684CC" w14:textId="3955988C" w:rsidR="00737E15" w:rsidRPr="001D0B5B" w:rsidRDefault="00737E15" w:rsidP="004468B0">
      <w:pPr>
        <w:ind w:left="720" w:hanging="11"/>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https://doi.org/10.1111/jmcb.12656</w:t>
      </w:r>
    </w:p>
    <w:p w14:paraId="36DE62E4" w14:textId="2BE0DB41"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Berge, T. J. (2018). Understanding survey-based inflation expectations. </w:t>
      </w:r>
      <w:r w:rsidRPr="001D0B5B">
        <w:rPr>
          <w:rFonts w:ascii="Times New Roman" w:eastAsia="Times New Roman" w:hAnsi="Times New Roman" w:cs="Times New Roman"/>
          <w:i/>
          <w:iCs/>
          <w:sz w:val="24"/>
          <w:szCs w:val="24"/>
        </w:rPr>
        <w:t>International</w:t>
      </w:r>
      <w:r w:rsidRPr="001D0B5B">
        <w:rPr>
          <w:rFonts w:ascii="Times New Roman" w:eastAsia="Times New Roman" w:hAnsi="Times New Roman" w:cs="Times New Roman"/>
          <w:sz w:val="24"/>
          <w:szCs w:val="24"/>
        </w:rPr>
        <w:t xml:space="preserve"> </w:t>
      </w:r>
      <w:r w:rsidRPr="001D0B5B">
        <w:rPr>
          <w:rFonts w:ascii="Times New Roman" w:eastAsia="Times New Roman" w:hAnsi="Times New Roman" w:cs="Times New Roman"/>
          <w:i/>
          <w:iCs/>
          <w:sz w:val="24"/>
          <w:szCs w:val="24"/>
        </w:rPr>
        <w:t>Journal of Forecasting, 34</w:t>
      </w:r>
      <w:r w:rsidRPr="001D0B5B">
        <w:rPr>
          <w:rFonts w:ascii="Times New Roman" w:eastAsia="Times New Roman" w:hAnsi="Times New Roman" w:cs="Times New Roman"/>
          <w:sz w:val="24"/>
          <w:szCs w:val="24"/>
        </w:rPr>
        <w:t xml:space="preserve">(4), 788–801. </w:t>
      </w:r>
      <w:hyperlink r:id="rId35" w:history="1">
        <w:r w:rsidR="00814459" w:rsidRPr="001D0B5B">
          <w:rPr>
            <w:rStyle w:val="Hyperlink"/>
            <w:rFonts w:ascii="Times New Roman" w:hAnsi="Times New Roman" w:cs="Times New Roman"/>
            <w:color w:val="auto"/>
            <w:sz w:val="24"/>
            <w:szCs w:val="24"/>
            <w:u w:val="none"/>
          </w:rPr>
          <w:t>https://doi.org/10.1016/j.ijforecast.2018.07.003</w:t>
        </w:r>
      </w:hyperlink>
    </w:p>
    <w:p w14:paraId="556EE750" w14:textId="02C74ABA"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hAnsi="Times New Roman" w:cs="Times New Roman"/>
          <w:sz w:val="24"/>
          <w:szCs w:val="24"/>
        </w:rPr>
        <w:t xml:space="preserve">Binder, C. (2018). Inflation expectations and the price at the pump. </w:t>
      </w:r>
      <w:r w:rsidRPr="001D0B5B">
        <w:rPr>
          <w:rFonts w:ascii="Times New Roman" w:hAnsi="Times New Roman" w:cs="Times New Roman"/>
          <w:i/>
          <w:iCs/>
          <w:sz w:val="24"/>
          <w:szCs w:val="24"/>
        </w:rPr>
        <w:t>Journal of Macroeconomics, 58,</w:t>
      </w:r>
      <w:r w:rsidRPr="001D0B5B">
        <w:rPr>
          <w:rFonts w:ascii="Times New Roman" w:hAnsi="Times New Roman" w:cs="Times New Roman"/>
          <w:sz w:val="24"/>
          <w:szCs w:val="24"/>
        </w:rPr>
        <w:t xml:space="preserve"> 1–18.</w:t>
      </w:r>
      <w:r w:rsidR="00D9741D" w:rsidRPr="001D0B5B">
        <w:rPr>
          <w:rFonts w:ascii="Times New Roman" w:hAnsi="Times New Roman" w:cs="Times New Roman"/>
          <w:sz w:val="24"/>
          <w:szCs w:val="24"/>
        </w:rPr>
        <w:t xml:space="preserve"> </w:t>
      </w:r>
      <w:hyperlink r:id="rId36" w:history="1">
        <w:r w:rsidR="00D9741D" w:rsidRPr="001D0B5B">
          <w:rPr>
            <w:rStyle w:val="Hyperlink"/>
            <w:rFonts w:ascii="Times New Roman" w:hAnsi="Times New Roman" w:cs="Times New Roman"/>
            <w:color w:val="auto"/>
            <w:sz w:val="24"/>
            <w:szCs w:val="24"/>
            <w:u w:val="none"/>
          </w:rPr>
          <w:t>https://doi.org/10.1016/j.jmacro.2018.08.001</w:t>
        </w:r>
      </w:hyperlink>
    </w:p>
    <w:p w14:paraId="4BEBB106" w14:textId="29856CA6"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Born, B. &amp; Pfeifer, J. (2021). Uncertainty-driven business cycles: Assessing the markup channel. </w:t>
      </w:r>
      <w:r w:rsidRPr="001D0B5B">
        <w:rPr>
          <w:rFonts w:ascii="Times New Roman" w:eastAsia="Times New Roman" w:hAnsi="Times New Roman" w:cs="Times New Roman"/>
          <w:i/>
          <w:iCs/>
          <w:sz w:val="24"/>
          <w:szCs w:val="24"/>
        </w:rPr>
        <w:t>Quantitative Economics, 12</w:t>
      </w:r>
      <w:r w:rsidRPr="001D0B5B">
        <w:rPr>
          <w:rFonts w:ascii="Times New Roman" w:eastAsia="Times New Roman" w:hAnsi="Times New Roman" w:cs="Times New Roman"/>
          <w:sz w:val="24"/>
          <w:szCs w:val="24"/>
        </w:rPr>
        <w:t xml:space="preserve">(2), 587–623. </w:t>
      </w:r>
      <w:r w:rsidR="00814459" w:rsidRPr="001D0B5B">
        <w:rPr>
          <w:rFonts w:ascii="Times New Roman" w:eastAsia="Times New Roman" w:hAnsi="Times New Roman" w:cs="Times New Roman"/>
          <w:sz w:val="24"/>
          <w:szCs w:val="24"/>
        </w:rPr>
        <w:t xml:space="preserve"> </w:t>
      </w:r>
      <w:hyperlink r:id="rId37" w:history="1">
        <w:r w:rsidR="00814459" w:rsidRPr="001D0B5B">
          <w:rPr>
            <w:rStyle w:val="Hyperlink"/>
            <w:rFonts w:ascii="Times New Roman" w:hAnsi="Times New Roman" w:cs="Times New Roman"/>
            <w:color w:val="auto"/>
            <w:sz w:val="24"/>
            <w:szCs w:val="24"/>
            <w:u w:val="none"/>
          </w:rPr>
          <w:t>https://doi.org/10.3982/QE1297</w:t>
        </w:r>
      </w:hyperlink>
    </w:p>
    <w:p w14:paraId="26D14448" w14:textId="3E00B0B6"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Calvo, G.A. (1983). Staggered prices in a utility-maximizing framework. </w:t>
      </w:r>
      <w:r w:rsidRPr="001D0B5B">
        <w:rPr>
          <w:rFonts w:ascii="Times New Roman" w:eastAsia="Times New Roman" w:hAnsi="Times New Roman" w:cs="Times New Roman"/>
          <w:i/>
          <w:iCs/>
          <w:sz w:val="24"/>
          <w:szCs w:val="24"/>
        </w:rPr>
        <w:t>Journal of Monetary Economics, 12</w:t>
      </w:r>
      <w:r w:rsidRPr="001D0B5B">
        <w:rPr>
          <w:rFonts w:ascii="Times New Roman" w:eastAsia="Times New Roman" w:hAnsi="Times New Roman" w:cs="Times New Roman"/>
          <w:sz w:val="24"/>
          <w:szCs w:val="24"/>
        </w:rPr>
        <w:t>(3)</w:t>
      </w:r>
      <w:r w:rsidRPr="001D0B5B">
        <w:rPr>
          <w:rFonts w:ascii="Times New Roman" w:eastAsia="Times New Roman" w:hAnsi="Times New Roman" w:cs="Times New Roman"/>
          <w:i/>
          <w:iCs/>
          <w:sz w:val="24"/>
          <w:szCs w:val="24"/>
        </w:rPr>
        <w:t>,</w:t>
      </w:r>
      <w:r w:rsidRPr="001D0B5B">
        <w:rPr>
          <w:rFonts w:ascii="Times New Roman" w:eastAsia="Times New Roman" w:hAnsi="Times New Roman" w:cs="Times New Roman"/>
          <w:sz w:val="24"/>
          <w:szCs w:val="24"/>
        </w:rPr>
        <w:t xml:space="preserve"> 383–398.</w:t>
      </w:r>
      <w:r w:rsidR="00814459" w:rsidRPr="001D0B5B">
        <w:rPr>
          <w:rFonts w:ascii="Times New Roman" w:eastAsia="Times New Roman" w:hAnsi="Times New Roman" w:cs="Times New Roman"/>
          <w:sz w:val="24"/>
          <w:szCs w:val="24"/>
        </w:rPr>
        <w:t xml:space="preserve"> </w:t>
      </w:r>
      <w:hyperlink r:id="rId38" w:history="1">
        <w:r w:rsidR="00814459" w:rsidRPr="001D0B5B">
          <w:rPr>
            <w:rStyle w:val="Hyperlink"/>
            <w:rFonts w:ascii="Times New Roman" w:eastAsia="Times New Roman" w:hAnsi="Times New Roman" w:cs="Times New Roman"/>
            <w:color w:val="auto"/>
            <w:sz w:val="24"/>
            <w:szCs w:val="24"/>
            <w:u w:val="none"/>
          </w:rPr>
          <w:t>https://doi.org/10.1016/0304-3932(83)90060-0</w:t>
        </w:r>
      </w:hyperlink>
    </w:p>
    <w:p w14:paraId="29866E6F" w14:textId="77777777"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Chiang, S., Lee, C., &amp; Liao, Y. (2021). Exploring the sources of inflation dynamics: New evidence from China. </w:t>
      </w:r>
      <w:r w:rsidRPr="001D0B5B">
        <w:rPr>
          <w:rFonts w:ascii="Times New Roman" w:eastAsia="Times New Roman" w:hAnsi="Times New Roman" w:cs="Times New Roman"/>
          <w:i/>
          <w:iCs/>
          <w:sz w:val="24"/>
          <w:szCs w:val="24"/>
        </w:rPr>
        <w:t>Economic Analysis and Policy, 70</w:t>
      </w:r>
      <w:r w:rsidRPr="001D0B5B">
        <w:rPr>
          <w:rFonts w:ascii="Times New Roman" w:eastAsia="Times New Roman" w:hAnsi="Times New Roman" w:cs="Times New Roman"/>
          <w:sz w:val="24"/>
          <w:szCs w:val="24"/>
        </w:rPr>
        <w:t xml:space="preserve">, 313–332. </w:t>
      </w:r>
    </w:p>
    <w:p w14:paraId="2547547E" w14:textId="13C23AD5" w:rsidR="004E2B5B" w:rsidRPr="001D0B5B" w:rsidRDefault="004E2B5B" w:rsidP="004468B0">
      <w:pPr>
        <w:ind w:left="720"/>
        <w:rPr>
          <w:rFonts w:ascii="Times New Roman" w:eastAsia="Times New Roman" w:hAnsi="Times New Roman" w:cs="Times New Roman"/>
          <w:sz w:val="24"/>
          <w:szCs w:val="24"/>
        </w:rPr>
      </w:pPr>
      <w:hyperlink r:id="rId39" w:history="1">
        <w:r w:rsidRPr="001D0B5B">
          <w:rPr>
            <w:rStyle w:val="Hyperlink"/>
            <w:rFonts w:ascii="Times New Roman" w:hAnsi="Times New Roman" w:cs="Times New Roman"/>
            <w:color w:val="auto"/>
            <w:sz w:val="24"/>
            <w:szCs w:val="24"/>
            <w:u w:val="none"/>
          </w:rPr>
          <w:t>https://doi.org/10.1016/j.eap.2021.03.001</w:t>
        </w:r>
      </w:hyperlink>
    </w:p>
    <w:p w14:paraId="1CB3FEF0" w14:textId="23548878"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Choi, S., </w:t>
      </w:r>
      <w:proofErr w:type="spellStart"/>
      <w:r w:rsidRPr="001D0B5B">
        <w:rPr>
          <w:rFonts w:ascii="Times New Roman" w:eastAsia="Times New Roman" w:hAnsi="Times New Roman" w:cs="Times New Roman"/>
          <w:sz w:val="24"/>
          <w:szCs w:val="24"/>
        </w:rPr>
        <w:t>Furceri</w:t>
      </w:r>
      <w:proofErr w:type="spellEnd"/>
      <w:r w:rsidRPr="001D0B5B">
        <w:rPr>
          <w:rFonts w:ascii="Times New Roman" w:eastAsia="Times New Roman" w:hAnsi="Times New Roman" w:cs="Times New Roman"/>
          <w:sz w:val="24"/>
          <w:szCs w:val="24"/>
        </w:rPr>
        <w:t xml:space="preserve">, D., </w:t>
      </w:r>
      <w:proofErr w:type="spellStart"/>
      <w:r w:rsidRPr="001D0B5B">
        <w:rPr>
          <w:rFonts w:ascii="Times New Roman" w:eastAsia="Times New Roman" w:hAnsi="Times New Roman" w:cs="Times New Roman"/>
          <w:sz w:val="24"/>
          <w:szCs w:val="24"/>
        </w:rPr>
        <w:t>Loungani</w:t>
      </w:r>
      <w:proofErr w:type="spellEnd"/>
      <w:r w:rsidRPr="001D0B5B">
        <w:rPr>
          <w:rFonts w:ascii="Times New Roman" w:eastAsia="Times New Roman" w:hAnsi="Times New Roman" w:cs="Times New Roman"/>
          <w:sz w:val="24"/>
          <w:szCs w:val="24"/>
        </w:rPr>
        <w:t>, P., Mishra, S. &amp; Poplawski-Ribeiro, M. (2018). Oil prices and inflation dynamics: Evidence from advanced and developing economies. </w:t>
      </w:r>
      <w:r w:rsidRPr="001D0B5B">
        <w:rPr>
          <w:rFonts w:ascii="Times New Roman" w:eastAsia="Times New Roman" w:hAnsi="Times New Roman" w:cs="Times New Roman"/>
          <w:i/>
          <w:iCs/>
          <w:sz w:val="24"/>
          <w:szCs w:val="24"/>
        </w:rPr>
        <w:t>Journal of International Money and Finance</w:t>
      </w:r>
      <w:r w:rsidRPr="001D0B5B">
        <w:rPr>
          <w:rFonts w:ascii="Times New Roman" w:eastAsia="Times New Roman" w:hAnsi="Times New Roman" w:cs="Times New Roman"/>
          <w:sz w:val="24"/>
          <w:szCs w:val="24"/>
        </w:rPr>
        <w:t>, </w:t>
      </w:r>
      <w:r w:rsidRPr="001D0B5B">
        <w:rPr>
          <w:rFonts w:ascii="Times New Roman" w:eastAsia="Times New Roman" w:hAnsi="Times New Roman" w:cs="Times New Roman"/>
          <w:i/>
          <w:iCs/>
          <w:sz w:val="24"/>
          <w:szCs w:val="24"/>
        </w:rPr>
        <w:t>82</w:t>
      </w:r>
      <w:r w:rsidRPr="001D0B5B">
        <w:rPr>
          <w:rFonts w:ascii="Times New Roman" w:eastAsia="Times New Roman" w:hAnsi="Times New Roman" w:cs="Times New Roman"/>
          <w:sz w:val="24"/>
          <w:szCs w:val="24"/>
        </w:rPr>
        <w:t>, 71-96.</w:t>
      </w:r>
      <w:r w:rsidR="004468B0" w:rsidRPr="001D0B5B">
        <w:rPr>
          <w:rFonts w:ascii="Times New Roman" w:eastAsia="Times New Roman" w:hAnsi="Times New Roman" w:cs="Times New Roman"/>
          <w:sz w:val="24"/>
          <w:szCs w:val="24"/>
        </w:rPr>
        <w:t xml:space="preserve"> </w:t>
      </w:r>
      <w:hyperlink r:id="rId40" w:history="1">
        <w:r w:rsidR="00D9741D" w:rsidRPr="001D0B5B">
          <w:rPr>
            <w:rStyle w:val="Hyperlink"/>
            <w:rFonts w:ascii="Times New Roman" w:eastAsia="Times New Roman" w:hAnsi="Times New Roman" w:cs="Times New Roman"/>
            <w:color w:val="auto"/>
            <w:sz w:val="24"/>
            <w:szCs w:val="24"/>
            <w:u w:val="none"/>
          </w:rPr>
          <w:t>https://doi.org/10.1016/j.jimonfin.2017.12.004</w:t>
        </w:r>
      </w:hyperlink>
    </w:p>
    <w:p w14:paraId="3F3388E6" w14:textId="28FEADB0"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Christou, C., Gupta, R., </w:t>
      </w:r>
      <w:proofErr w:type="spellStart"/>
      <w:r w:rsidRPr="001D0B5B">
        <w:rPr>
          <w:rFonts w:ascii="Times New Roman" w:eastAsia="Times New Roman" w:hAnsi="Times New Roman" w:cs="Times New Roman"/>
          <w:sz w:val="24"/>
          <w:szCs w:val="24"/>
        </w:rPr>
        <w:t>Nyakabawo</w:t>
      </w:r>
      <w:proofErr w:type="spellEnd"/>
      <w:r w:rsidRPr="001D0B5B">
        <w:rPr>
          <w:rFonts w:ascii="Times New Roman" w:eastAsia="Times New Roman" w:hAnsi="Times New Roman" w:cs="Times New Roman"/>
          <w:sz w:val="24"/>
          <w:szCs w:val="24"/>
        </w:rPr>
        <w:t xml:space="preserve">, W., &amp; </w:t>
      </w:r>
      <w:proofErr w:type="spellStart"/>
      <w:r w:rsidRPr="001D0B5B">
        <w:rPr>
          <w:rFonts w:ascii="Times New Roman" w:eastAsia="Times New Roman" w:hAnsi="Times New Roman" w:cs="Times New Roman"/>
          <w:sz w:val="24"/>
          <w:szCs w:val="24"/>
        </w:rPr>
        <w:t>Wohar</w:t>
      </w:r>
      <w:proofErr w:type="spellEnd"/>
      <w:r w:rsidRPr="001D0B5B">
        <w:rPr>
          <w:rFonts w:ascii="Times New Roman" w:eastAsia="Times New Roman" w:hAnsi="Times New Roman" w:cs="Times New Roman"/>
          <w:sz w:val="24"/>
          <w:szCs w:val="24"/>
        </w:rPr>
        <w:t xml:space="preserve">, M. E. (2018). Do house prices hedge inflation in the US? A quantile cointegration approach. </w:t>
      </w:r>
      <w:r w:rsidRPr="001D0B5B">
        <w:rPr>
          <w:rFonts w:ascii="Times New Roman" w:eastAsia="Times New Roman" w:hAnsi="Times New Roman" w:cs="Times New Roman"/>
          <w:i/>
          <w:iCs/>
          <w:sz w:val="24"/>
          <w:szCs w:val="24"/>
        </w:rPr>
        <w:t>International Review of Economics &amp; Finance, 54</w:t>
      </w:r>
      <w:r w:rsidRPr="001D0B5B">
        <w:rPr>
          <w:rFonts w:ascii="Times New Roman" w:eastAsia="Times New Roman" w:hAnsi="Times New Roman" w:cs="Times New Roman"/>
          <w:sz w:val="24"/>
          <w:szCs w:val="24"/>
        </w:rPr>
        <w:t>, 15–26.</w:t>
      </w:r>
      <w:r w:rsidR="004468B0" w:rsidRPr="001D0B5B">
        <w:rPr>
          <w:rFonts w:ascii="Times New Roman" w:eastAsia="Times New Roman" w:hAnsi="Times New Roman" w:cs="Times New Roman"/>
          <w:sz w:val="24"/>
          <w:szCs w:val="24"/>
        </w:rPr>
        <w:t xml:space="preserve"> </w:t>
      </w:r>
      <w:hyperlink r:id="rId41" w:history="1">
        <w:r w:rsidRPr="001D0B5B">
          <w:rPr>
            <w:rStyle w:val="Hyperlink"/>
            <w:rFonts w:ascii="Times New Roman" w:hAnsi="Times New Roman" w:cs="Times New Roman"/>
            <w:color w:val="auto"/>
            <w:sz w:val="24"/>
            <w:szCs w:val="24"/>
            <w:u w:val="none"/>
          </w:rPr>
          <w:t>https://doi.org/10.1016/j.iref.2017.12.012</w:t>
        </w:r>
      </w:hyperlink>
    </w:p>
    <w:p w14:paraId="23D14DA2" w14:textId="63BC69DE" w:rsidR="004E2B5B" w:rsidRPr="001D0B5B" w:rsidRDefault="004E2B5B" w:rsidP="004468B0">
      <w:pPr>
        <w:ind w:left="720" w:hanging="720"/>
        <w:rPr>
          <w:rFonts w:ascii="Times New Roman" w:hAnsi="Times New Roman" w:cs="Times New Roman"/>
          <w:sz w:val="24"/>
          <w:szCs w:val="24"/>
        </w:rPr>
      </w:pPr>
      <w:r w:rsidRPr="001D0B5B">
        <w:rPr>
          <w:rFonts w:ascii="Times New Roman" w:eastAsia="Times New Roman" w:hAnsi="Times New Roman" w:cs="Times New Roman"/>
          <w:sz w:val="24"/>
          <w:szCs w:val="24"/>
        </w:rPr>
        <w:t xml:space="preserve">Clapp, J. (2017). Food self-sufficiency: Making sense of it, and when it makes sense. </w:t>
      </w:r>
      <w:r w:rsidRPr="001D0B5B">
        <w:rPr>
          <w:rFonts w:ascii="Times New Roman" w:eastAsia="Times New Roman" w:hAnsi="Times New Roman" w:cs="Times New Roman"/>
          <w:i/>
          <w:iCs/>
          <w:sz w:val="24"/>
          <w:szCs w:val="24"/>
        </w:rPr>
        <w:t>Food Policy, 66,</w:t>
      </w:r>
      <w:r w:rsidRPr="001D0B5B">
        <w:rPr>
          <w:rFonts w:ascii="Times New Roman" w:eastAsia="Times New Roman" w:hAnsi="Times New Roman" w:cs="Times New Roman"/>
          <w:sz w:val="24"/>
          <w:szCs w:val="24"/>
        </w:rPr>
        <w:t xml:space="preserve"> 88–96.</w:t>
      </w:r>
      <w:r w:rsidR="00D9741D" w:rsidRPr="001D0B5B">
        <w:rPr>
          <w:rFonts w:ascii="Times New Roman" w:eastAsia="Times New Roman" w:hAnsi="Times New Roman" w:cs="Times New Roman"/>
          <w:sz w:val="24"/>
          <w:szCs w:val="24"/>
        </w:rPr>
        <w:t xml:space="preserve"> </w:t>
      </w:r>
      <w:hyperlink r:id="rId42" w:history="1">
        <w:r w:rsidR="00D9741D" w:rsidRPr="001D0B5B">
          <w:rPr>
            <w:rStyle w:val="Hyperlink"/>
            <w:rFonts w:ascii="Times New Roman" w:eastAsia="Times New Roman" w:hAnsi="Times New Roman" w:cs="Times New Roman"/>
            <w:color w:val="auto"/>
            <w:sz w:val="24"/>
            <w:szCs w:val="24"/>
            <w:u w:val="none"/>
          </w:rPr>
          <w:t>https://doi.org/10.1016/j.foodpol.2016.12.001</w:t>
        </w:r>
      </w:hyperlink>
    </w:p>
    <w:p w14:paraId="0FE36BE2" w14:textId="3FB5C1FA" w:rsidR="004E2B5B" w:rsidRPr="001D0B5B" w:rsidRDefault="004E2B5B" w:rsidP="004468B0">
      <w:pPr>
        <w:ind w:left="720" w:hanging="720"/>
        <w:rPr>
          <w:rFonts w:ascii="Times New Roman" w:eastAsia="Times New Roman" w:hAnsi="Times New Roman" w:cs="Times New Roman"/>
          <w:sz w:val="24"/>
          <w:szCs w:val="24"/>
        </w:rPr>
      </w:pPr>
      <w:proofErr w:type="spellStart"/>
      <w:r w:rsidRPr="001D0B5B">
        <w:rPr>
          <w:rFonts w:ascii="Times New Roman" w:hAnsi="Times New Roman" w:cs="Times New Roman"/>
          <w:sz w:val="24"/>
          <w:szCs w:val="24"/>
        </w:rPr>
        <w:t>Coibion</w:t>
      </w:r>
      <w:proofErr w:type="spellEnd"/>
      <w:r w:rsidRPr="001D0B5B">
        <w:rPr>
          <w:rFonts w:ascii="Times New Roman" w:hAnsi="Times New Roman" w:cs="Times New Roman"/>
          <w:sz w:val="24"/>
          <w:szCs w:val="24"/>
        </w:rPr>
        <w:t xml:space="preserve">, O., &amp; </w:t>
      </w:r>
      <w:proofErr w:type="spellStart"/>
      <w:r w:rsidRPr="001D0B5B">
        <w:rPr>
          <w:rFonts w:ascii="Times New Roman" w:hAnsi="Times New Roman" w:cs="Times New Roman"/>
          <w:sz w:val="24"/>
          <w:szCs w:val="24"/>
        </w:rPr>
        <w:t>Gorodnichenko</w:t>
      </w:r>
      <w:proofErr w:type="spellEnd"/>
      <w:r w:rsidRPr="001D0B5B">
        <w:rPr>
          <w:rFonts w:ascii="Times New Roman" w:hAnsi="Times New Roman" w:cs="Times New Roman"/>
          <w:sz w:val="24"/>
          <w:szCs w:val="24"/>
        </w:rPr>
        <w:t xml:space="preserve">, Y. (2015). Information rigidity and the expectations formation process: A simple framework and new facts. </w:t>
      </w:r>
      <w:r w:rsidRPr="001D0B5B">
        <w:rPr>
          <w:rFonts w:ascii="Times New Roman" w:hAnsi="Times New Roman" w:cs="Times New Roman"/>
          <w:i/>
          <w:iCs/>
          <w:sz w:val="24"/>
          <w:szCs w:val="24"/>
        </w:rPr>
        <w:t xml:space="preserve">American </w:t>
      </w:r>
      <w:proofErr w:type="gramStart"/>
      <w:r w:rsidRPr="001D0B5B">
        <w:rPr>
          <w:rFonts w:ascii="Times New Roman" w:hAnsi="Times New Roman" w:cs="Times New Roman"/>
          <w:i/>
          <w:iCs/>
          <w:sz w:val="24"/>
          <w:szCs w:val="24"/>
        </w:rPr>
        <w:t xml:space="preserve">Economic </w:t>
      </w:r>
      <w:r w:rsidR="00D9741D" w:rsidRPr="001D0B5B">
        <w:rPr>
          <w:rFonts w:ascii="Times New Roman" w:hAnsi="Times New Roman" w:cs="Times New Roman"/>
          <w:i/>
          <w:iCs/>
          <w:sz w:val="24"/>
          <w:szCs w:val="24"/>
        </w:rPr>
        <w:t xml:space="preserve"> </w:t>
      </w:r>
      <w:r w:rsidRPr="001D0B5B">
        <w:rPr>
          <w:rFonts w:ascii="Times New Roman" w:hAnsi="Times New Roman" w:cs="Times New Roman"/>
          <w:i/>
          <w:iCs/>
          <w:sz w:val="24"/>
          <w:szCs w:val="24"/>
        </w:rPr>
        <w:t>Review</w:t>
      </w:r>
      <w:proofErr w:type="gramEnd"/>
      <w:r w:rsidRPr="001D0B5B">
        <w:rPr>
          <w:rFonts w:ascii="Times New Roman" w:hAnsi="Times New Roman" w:cs="Times New Roman"/>
          <w:i/>
          <w:iCs/>
          <w:sz w:val="24"/>
          <w:szCs w:val="24"/>
        </w:rPr>
        <w:t>, 105</w:t>
      </w:r>
      <w:r w:rsidRPr="001D0B5B">
        <w:rPr>
          <w:rFonts w:ascii="Times New Roman" w:hAnsi="Times New Roman" w:cs="Times New Roman"/>
          <w:sz w:val="24"/>
          <w:szCs w:val="24"/>
        </w:rPr>
        <w:t>(8), 2644–2678.</w:t>
      </w:r>
      <w:r w:rsidR="00D9741D" w:rsidRPr="001D0B5B">
        <w:rPr>
          <w:rFonts w:ascii="Times New Roman" w:hAnsi="Times New Roman" w:cs="Times New Roman"/>
          <w:sz w:val="24"/>
          <w:szCs w:val="24"/>
        </w:rPr>
        <w:t xml:space="preserve"> </w:t>
      </w:r>
      <w:hyperlink r:id="rId43" w:history="1">
        <w:r w:rsidR="00D9741D" w:rsidRPr="001D0B5B">
          <w:rPr>
            <w:rStyle w:val="Hyperlink"/>
            <w:rFonts w:ascii="Times New Roman" w:hAnsi="Times New Roman" w:cs="Times New Roman"/>
            <w:color w:val="auto"/>
            <w:sz w:val="24"/>
            <w:szCs w:val="24"/>
            <w:u w:val="none"/>
          </w:rPr>
          <w:t>https://doi.org/10.1257/aer.20130088</w:t>
        </w:r>
      </w:hyperlink>
    </w:p>
    <w:p w14:paraId="1CF02399" w14:textId="7A26B185"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Costain, J. &amp; </w:t>
      </w:r>
      <w:proofErr w:type="spellStart"/>
      <w:r w:rsidRPr="001D0B5B">
        <w:rPr>
          <w:rFonts w:ascii="Times New Roman" w:eastAsia="Times New Roman" w:hAnsi="Times New Roman" w:cs="Times New Roman"/>
          <w:sz w:val="24"/>
          <w:szCs w:val="24"/>
        </w:rPr>
        <w:t>Nakov</w:t>
      </w:r>
      <w:proofErr w:type="spellEnd"/>
      <w:r w:rsidRPr="001D0B5B">
        <w:rPr>
          <w:rFonts w:ascii="Times New Roman" w:eastAsia="Times New Roman" w:hAnsi="Times New Roman" w:cs="Times New Roman"/>
          <w:sz w:val="24"/>
          <w:szCs w:val="24"/>
        </w:rPr>
        <w:t xml:space="preserve">. A. (2011). Price adjustments in a general model of state-dependent pricing. </w:t>
      </w:r>
      <w:r w:rsidRPr="001D0B5B">
        <w:rPr>
          <w:rFonts w:ascii="Times New Roman" w:eastAsia="Times New Roman" w:hAnsi="Times New Roman" w:cs="Times New Roman"/>
          <w:i/>
          <w:iCs/>
          <w:sz w:val="24"/>
          <w:szCs w:val="24"/>
        </w:rPr>
        <w:t>Journal of Money, Credit and Banking, 43</w:t>
      </w:r>
      <w:r w:rsidRPr="001D0B5B">
        <w:rPr>
          <w:rFonts w:ascii="Times New Roman" w:eastAsia="Times New Roman" w:hAnsi="Times New Roman" w:cs="Times New Roman"/>
          <w:sz w:val="24"/>
          <w:szCs w:val="24"/>
        </w:rPr>
        <w:t>(2-3), 385–406.</w:t>
      </w:r>
      <w:r w:rsidR="00D9741D" w:rsidRPr="001D0B5B">
        <w:rPr>
          <w:rFonts w:ascii="Times New Roman" w:eastAsia="Times New Roman" w:hAnsi="Times New Roman" w:cs="Times New Roman"/>
          <w:sz w:val="24"/>
          <w:szCs w:val="24"/>
        </w:rPr>
        <w:t xml:space="preserve"> </w:t>
      </w:r>
      <w:hyperlink r:id="rId44" w:history="1">
        <w:r w:rsidR="00D9741D" w:rsidRPr="001D0B5B">
          <w:rPr>
            <w:rStyle w:val="Hyperlink"/>
            <w:rFonts w:ascii="Times New Roman" w:eastAsia="Times New Roman" w:hAnsi="Times New Roman" w:cs="Times New Roman"/>
            <w:color w:val="auto"/>
            <w:sz w:val="24"/>
            <w:szCs w:val="24"/>
            <w:u w:val="none"/>
          </w:rPr>
          <w:t>https://doi.org/10.1111/j.1538-4616.2010.00378.x</w:t>
        </w:r>
      </w:hyperlink>
    </w:p>
    <w:p w14:paraId="2386F59E" w14:textId="27540399"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Deaton, A. (1989). Rice prices and income distribution in Thailand: A non-parametric analysis. </w:t>
      </w:r>
      <w:r w:rsidRPr="001D0B5B">
        <w:rPr>
          <w:rFonts w:ascii="Times New Roman" w:eastAsia="Times New Roman" w:hAnsi="Times New Roman" w:cs="Times New Roman"/>
          <w:i/>
          <w:iCs/>
          <w:sz w:val="24"/>
          <w:szCs w:val="24"/>
        </w:rPr>
        <w:t>The Economic Journal, 99</w:t>
      </w:r>
      <w:r w:rsidRPr="001D0B5B">
        <w:rPr>
          <w:rFonts w:ascii="Times New Roman" w:eastAsia="Times New Roman" w:hAnsi="Times New Roman" w:cs="Times New Roman"/>
          <w:sz w:val="24"/>
          <w:szCs w:val="24"/>
        </w:rPr>
        <w:t>(395), 1–37.</w:t>
      </w:r>
      <w:r w:rsidR="004468B0" w:rsidRPr="001D0B5B">
        <w:rPr>
          <w:rFonts w:ascii="Times New Roman" w:eastAsia="Times New Roman" w:hAnsi="Times New Roman" w:cs="Times New Roman"/>
          <w:sz w:val="24"/>
          <w:szCs w:val="24"/>
        </w:rPr>
        <w:t xml:space="preserve"> </w:t>
      </w:r>
      <w:hyperlink r:id="rId45" w:history="1">
        <w:r w:rsidRPr="001D0B5B">
          <w:rPr>
            <w:rStyle w:val="Hyperlink"/>
            <w:rFonts w:ascii="Times New Roman" w:hAnsi="Times New Roman" w:cs="Times New Roman"/>
            <w:color w:val="auto"/>
            <w:sz w:val="24"/>
            <w:szCs w:val="24"/>
            <w:u w:val="none"/>
          </w:rPr>
          <w:t>https://doi.org/10.2307/2234068</w:t>
        </w:r>
      </w:hyperlink>
    </w:p>
    <w:p w14:paraId="33B2BB10" w14:textId="7B9C81EE"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hAnsi="Times New Roman" w:cs="Times New Roman"/>
          <w:sz w:val="24"/>
          <w:szCs w:val="24"/>
        </w:rPr>
        <w:t>Devereux, M. B. &amp; Siu, H. E. (2007). State</w:t>
      </w:r>
      <w:r w:rsidR="00927E1B" w:rsidRPr="001D0B5B">
        <w:rPr>
          <w:rFonts w:ascii="Times New Roman" w:hAnsi="Times New Roman" w:cs="Times New Roman"/>
          <w:sz w:val="24"/>
          <w:szCs w:val="24"/>
        </w:rPr>
        <w:t>-</w:t>
      </w:r>
      <w:r w:rsidRPr="001D0B5B">
        <w:rPr>
          <w:rFonts w:ascii="Times New Roman" w:hAnsi="Times New Roman" w:cs="Times New Roman"/>
          <w:sz w:val="24"/>
          <w:szCs w:val="24"/>
        </w:rPr>
        <w:t xml:space="preserve">dependent pricing and business cycle asymmetries. </w:t>
      </w:r>
      <w:r w:rsidRPr="001D0B5B">
        <w:rPr>
          <w:rFonts w:ascii="Times New Roman" w:hAnsi="Times New Roman" w:cs="Times New Roman"/>
          <w:i/>
          <w:iCs/>
          <w:sz w:val="24"/>
          <w:szCs w:val="24"/>
        </w:rPr>
        <w:t>International Economic Review, 48</w:t>
      </w:r>
      <w:r w:rsidRPr="001D0B5B">
        <w:rPr>
          <w:rFonts w:ascii="Times New Roman" w:hAnsi="Times New Roman" w:cs="Times New Roman"/>
          <w:sz w:val="24"/>
          <w:szCs w:val="24"/>
        </w:rPr>
        <w:t>(1), 281–310.</w:t>
      </w:r>
      <w:r w:rsidR="00D9741D" w:rsidRPr="001D0B5B">
        <w:rPr>
          <w:rFonts w:ascii="Times New Roman" w:hAnsi="Times New Roman" w:cs="Times New Roman"/>
          <w:sz w:val="24"/>
          <w:szCs w:val="24"/>
        </w:rPr>
        <w:t xml:space="preserve"> </w:t>
      </w:r>
      <w:hyperlink r:id="rId46" w:history="1">
        <w:r w:rsidR="00D9741D" w:rsidRPr="001D0B5B">
          <w:rPr>
            <w:rStyle w:val="Hyperlink"/>
            <w:rFonts w:ascii="Times New Roman" w:hAnsi="Times New Roman" w:cs="Times New Roman"/>
            <w:color w:val="auto"/>
            <w:sz w:val="24"/>
            <w:szCs w:val="24"/>
            <w:u w:val="none"/>
          </w:rPr>
          <w:t>https://doi.org/10.1111/j.1468-2354.2007.00324.x</w:t>
        </w:r>
      </w:hyperlink>
    </w:p>
    <w:p w14:paraId="4FDA8705" w14:textId="062E923A" w:rsidR="004468B0" w:rsidRPr="001D0B5B" w:rsidRDefault="004E2B5B" w:rsidP="004468B0">
      <w:pPr>
        <w:ind w:left="720" w:hanging="720"/>
        <w:rPr>
          <w:rFonts w:ascii="Times New Roman" w:hAnsi="Times New Roman" w:cs="Times New Roman"/>
          <w:sz w:val="24"/>
          <w:szCs w:val="24"/>
        </w:rPr>
      </w:pPr>
      <w:proofErr w:type="spellStart"/>
      <w:r w:rsidRPr="001D0B5B">
        <w:rPr>
          <w:rFonts w:ascii="Times New Roman" w:eastAsia="Times New Roman" w:hAnsi="Times New Roman" w:cs="Times New Roman"/>
          <w:sz w:val="24"/>
          <w:szCs w:val="24"/>
        </w:rPr>
        <w:t>Ditzen</w:t>
      </w:r>
      <w:proofErr w:type="spellEnd"/>
      <w:r w:rsidRPr="001D0B5B">
        <w:rPr>
          <w:rFonts w:ascii="Times New Roman" w:eastAsia="Times New Roman" w:hAnsi="Times New Roman" w:cs="Times New Roman"/>
          <w:sz w:val="24"/>
          <w:szCs w:val="24"/>
        </w:rPr>
        <w:t xml:space="preserve">, J., </w:t>
      </w:r>
      <w:proofErr w:type="spellStart"/>
      <w:r w:rsidRPr="001D0B5B">
        <w:rPr>
          <w:rFonts w:ascii="Times New Roman" w:eastAsia="Times New Roman" w:hAnsi="Times New Roman" w:cs="Times New Roman"/>
          <w:sz w:val="24"/>
          <w:szCs w:val="24"/>
        </w:rPr>
        <w:t>Karavias</w:t>
      </w:r>
      <w:proofErr w:type="spellEnd"/>
      <w:r w:rsidRPr="001D0B5B">
        <w:rPr>
          <w:rFonts w:ascii="Times New Roman" w:eastAsia="Times New Roman" w:hAnsi="Times New Roman" w:cs="Times New Roman"/>
          <w:sz w:val="24"/>
          <w:szCs w:val="24"/>
        </w:rPr>
        <w:t xml:space="preserve">, Y., &amp; Westerlund, J. (2021). </w:t>
      </w:r>
      <w:r w:rsidRPr="001D0B5B">
        <w:rPr>
          <w:rFonts w:ascii="Times New Roman" w:eastAsia="Times New Roman" w:hAnsi="Times New Roman" w:cs="Times New Roman"/>
          <w:i/>
          <w:iCs/>
          <w:sz w:val="24"/>
          <w:szCs w:val="24"/>
        </w:rPr>
        <w:t>Testing and estimating structural breaks in time series and panel data in Stata</w:t>
      </w:r>
      <w:r w:rsidRPr="001D0B5B">
        <w:rPr>
          <w:rFonts w:ascii="Times New Roman" w:eastAsia="Times New Roman" w:hAnsi="Times New Roman" w:cs="Times New Roman"/>
          <w:sz w:val="24"/>
          <w:szCs w:val="24"/>
        </w:rPr>
        <w:t xml:space="preserve"> [Department of Economics, University of Birmingham Discussion Paper No. 21-14].</w:t>
      </w:r>
      <w:r w:rsidR="004468B0" w:rsidRPr="001D0B5B">
        <w:rPr>
          <w:rFonts w:ascii="Times New Roman" w:eastAsia="Times New Roman" w:hAnsi="Times New Roman" w:cs="Times New Roman"/>
          <w:sz w:val="24"/>
          <w:szCs w:val="24"/>
        </w:rPr>
        <w:t xml:space="preserve"> </w:t>
      </w:r>
      <w:hyperlink r:id="rId47" w:history="1">
        <w:r w:rsidRPr="001D0B5B">
          <w:rPr>
            <w:rStyle w:val="Hyperlink"/>
            <w:rFonts w:ascii="Times New Roman" w:hAnsi="Times New Roman" w:cs="Times New Roman"/>
            <w:color w:val="auto"/>
            <w:sz w:val="24"/>
            <w:szCs w:val="24"/>
            <w:u w:val="none"/>
          </w:rPr>
          <w:t>https://doi.org/10.48550/arXiv.2110.14550</w:t>
        </w:r>
      </w:hyperlink>
    </w:p>
    <w:p w14:paraId="4652434C" w14:textId="33256494"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lastRenderedPageBreak/>
        <w:t xml:space="preserve">Dumitrescu, E. I. &amp; Hurlin, C. (2012). Testing for Granger non-causality in heterogeneous panels. </w:t>
      </w:r>
      <w:r w:rsidRPr="001D0B5B">
        <w:rPr>
          <w:rFonts w:ascii="Times New Roman" w:eastAsia="Times New Roman" w:hAnsi="Times New Roman" w:cs="Times New Roman"/>
          <w:i/>
          <w:iCs/>
          <w:sz w:val="24"/>
          <w:szCs w:val="24"/>
        </w:rPr>
        <w:t>Economic Modelling, 29</w:t>
      </w:r>
      <w:r w:rsidRPr="001D0B5B">
        <w:rPr>
          <w:rFonts w:ascii="Times New Roman" w:eastAsia="Times New Roman" w:hAnsi="Times New Roman" w:cs="Times New Roman"/>
          <w:sz w:val="24"/>
          <w:szCs w:val="24"/>
        </w:rPr>
        <w:t>(4), 1450–1460.</w:t>
      </w:r>
      <w:r w:rsidR="004468B0" w:rsidRPr="001D0B5B">
        <w:rPr>
          <w:rFonts w:ascii="Times New Roman" w:eastAsia="Times New Roman" w:hAnsi="Times New Roman" w:cs="Times New Roman"/>
          <w:sz w:val="24"/>
          <w:szCs w:val="24"/>
        </w:rPr>
        <w:t xml:space="preserve"> </w:t>
      </w:r>
      <w:hyperlink r:id="rId48" w:history="1">
        <w:r w:rsidR="00D9741D" w:rsidRPr="001D0B5B">
          <w:rPr>
            <w:rStyle w:val="Hyperlink"/>
            <w:rFonts w:ascii="Times New Roman" w:eastAsia="Times New Roman" w:hAnsi="Times New Roman" w:cs="Times New Roman"/>
            <w:color w:val="auto"/>
            <w:sz w:val="24"/>
            <w:szCs w:val="24"/>
            <w:u w:val="none"/>
          </w:rPr>
          <w:t>https://doi.org/10.1016/j.econmod.2012.02.014</w:t>
        </w:r>
      </w:hyperlink>
    </w:p>
    <w:p w14:paraId="78AF0C7A" w14:textId="3E318DE2"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Fitzgerald, T., Jones, C., Kulish, M. &amp; Nicolini. J. P. (2024). Is there a stable relationship between unemployment and future inflation? </w:t>
      </w:r>
      <w:r w:rsidRPr="001D0B5B">
        <w:rPr>
          <w:rFonts w:ascii="Times New Roman" w:eastAsia="Times New Roman" w:hAnsi="Times New Roman" w:cs="Times New Roman"/>
          <w:i/>
          <w:iCs/>
          <w:sz w:val="24"/>
          <w:szCs w:val="24"/>
        </w:rPr>
        <w:t>American Economic Journal: Macroeconomics, 16</w:t>
      </w:r>
      <w:r w:rsidRPr="001D0B5B">
        <w:rPr>
          <w:rFonts w:ascii="Times New Roman" w:eastAsia="Times New Roman" w:hAnsi="Times New Roman" w:cs="Times New Roman"/>
          <w:sz w:val="24"/>
          <w:szCs w:val="24"/>
        </w:rPr>
        <w:t>(4), 114–142.</w:t>
      </w:r>
      <w:r w:rsidR="00D9741D" w:rsidRPr="001D0B5B">
        <w:rPr>
          <w:rFonts w:ascii="Times New Roman" w:eastAsia="Times New Roman" w:hAnsi="Times New Roman" w:cs="Times New Roman"/>
          <w:sz w:val="24"/>
          <w:szCs w:val="24"/>
        </w:rPr>
        <w:t xml:space="preserve"> </w:t>
      </w:r>
      <w:hyperlink r:id="rId49" w:history="1">
        <w:r w:rsidR="00D9741D" w:rsidRPr="001D0B5B">
          <w:rPr>
            <w:rStyle w:val="Hyperlink"/>
            <w:rFonts w:ascii="Times New Roman" w:eastAsia="Times New Roman" w:hAnsi="Times New Roman" w:cs="Times New Roman"/>
            <w:color w:val="auto"/>
            <w:sz w:val="24"/>
            <w:szCs w:val="24"/>
            <w:u w:val="none"/>
          </w:rPr>
          <w:t>https://doi.org/10.1257/mac.20220273</w:t>
        </w:r>
      </w:hyperlink>
    </w:p>
    <w:p w14:paraId="08417F79" w14:textId="53708DE6"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Gagnon, E. (2009). Price setting during low and high inflation: Evidence from Mexico. </w:t>
      </w:r>
      <w:r w:rsidRPr="001D0B5B">
        <w:rPr>
          <w:rFonts w:ascii="Times New Roman" w:eastAsia="Times New Roman" w:hAnsi="Times New Roman" w:cs="Times New Roman"/>
          <w:i/>
          <w:iCs/>
          <w:sz w:val="24"/>
          <w:szCs w:val="24"/>
        </w:rPr>
        <w:t>Quarterly Journal of Economics, 124</w:t>
      </w:r>
      <w:r w:rsidRPr="001D0B5B">
        <w:rPr>
          <w:rFonts w:ascii="Times New Roman" w:eastAsia="Times New Roman" w:hAnsi="Times New Roman" w:cs="Times New Roman"/>
          <w:sz w:val="24"/>
          <w:szCs w:val="24"/>
        </w:rPr>
        <w:t>(3), 1221–1263.</w:t>
      </w:r>
      <w:r w:rsidR="00D9741D" w:rsidRPr="001D0B5B">
        <w:rPr>
          <w:rFonts w:ascii="Times New Roman" w:eastAsia="Times New Roman" w:hAnsi="Times New Roman" w:cs="Times New Roman"/>
          <w:sz w:val="24"/>
          <w:szCs w:val="24"/>
        </w:rPr>
        <w:t xml:space="preserve"> </w:t>
      </w:r>
      <w:hyperlink r:id="rId50" w:history="1">
        <w:r w:rsidR="00D9741D" w:rsidRPr="001D0B5B">
          <w:rPr>
            <w:rStyle w:val="Hyperlink"/>
            <w:rFonts w:ascii="Times New Roman" w:eastAsia="Times New Roman" w:hAnsi="Times New Roman" w:cs="Times New Roman"/>
            <w:color w:val="auto"/>
            <w:sz w:val="24"/>
            <w:szCs w:val="24"/>
            <w:u w:val="none"/>
          </w:rPr>
          <w:t>https://doi.org/10.1162/qjec.2009.124.3.1221</w:t>
        </w:r>
      </w:hyperlink>
    </w:p>
    <w:p w14:paraId="2D9F8116" w14:textId="5BEAD00B"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Ge, Z. &amp; Sun, Y. (2024). Asymmetric impact of oil price shocks on inflation: Evidence from quantile-on-quantile regression. </w:t>
      </w:r>
      <w:r w:rsidRPr="001D0B5B">
        <w:rPr>
          <w:rFonts w:ascii="Times New Roman" w:eastAsia="Times New Roman" w:hAnsi="Times New Roman" w:cs="Times New Roman"/>
          <w:i/>
          <w:iCs/>
          <w:sz w:val="24"/>
          <w:szCs w:val="24"/>
        </w:rPr>
        <w:t>International Review of Financial Analysis, 92</w:t>
      </w:r>
      <w:r w:rsidRPr="001D0B5B">
        <w:rPr>
          <w:rFonts w:ascii="Times New Roman" w:eastAsia="Times New Roman" w:hAnsi="Times New Roman" w:cs="Times New Roman"/>
          <w:sz w:val="24"/>
          <w:szCs w:val="24"/>
        </w:rPr>
        <w:t xml:space="preserve">, 103097. </w:t>
      </w:r>
      <w:r w:rsidR="004468B0" w:rsidRPr="001D0B5B">
        <w:rPr>
          <w:rFonts w:ascii="Times New Roman" w:hAnsi="Times New Roman" w:cs="Times New Roman"/>
          <w:sz w:val="24"/>
          <w:szCs w:val="24"/>
        </w:rPr>
        <w:t>https://doi.org/10.1016/j.irfa.2024.103097</w:t>
      </w:r>
    </w:p>
    <w:p w14:paraId="378BAA96" w14:textId="5B72A191" w:rsidR="004E2B5B" w:rsidRPr="001D0B5B" w:rsidRDefault="004E2B5B" w:rsidP="004468B0">
      <w:pPr>
        <w:ind w:left="720" w:hanging="720"/>
        <w:rPr>
          <w:rFonts w:ascii="Times New Roman" w:hAnsi="Times New Roman" w:cs="Times New Roman"/>
          <w:sz w:val="24"/>
          <w:szCs w:val="24"/>
        </w:rPr>
      </w:pPr>
      <w:r w:rsidRPr="001D0B5B">
        <w:rPr>
          <w:rFonts w:ascii="Times New Roman" w:hAnsi="Times New Roman" w:cs="Times New Roman"/>
          <w:sz w:val="24"/>
          <w:szCs w:val="24"/>
        </w:rPr>
        <w:t xml:space="preserve">Geiger, M. &amp; Scharler, J. (2019). How do consumers assess the macroeconomic effects of oil price fluctuations? Evidence from US survey data. </w:t>
      </w:r>
      <w:r w:rsidRPr="001D0B5B">
        <w:rPr>
          <w:rFonts w:ascii="Times New Roman" w:hAnsi="Times New Roman" w:cs="Times New Roman"/>
          <w:i/>
          <w:iCs/>
          <w:sz w:val="24"/>
          <w:szCs w:val="24"/>
        </w:rPr>
        <w:t>Journal of Macroeconomics, 62</w:t>
      </w:r>
      <w:r w:rsidRPr="001D0B5B">
        <w:rPr>
          <w:rFonts w:ascii="Times New Roman" w:hAnsi="Times New Roman" w:cs="Times New Roman"/>
          <w:sz w:val="24"/>
          <w:szCs w:val="24"/>
        </w:rPr>
        <w:t>, 103134.</w:t>
      </w:r>
      <w:r w:rsidR="00D6728E" w:rsidRPr="001D0B5B">
        <w:rPr>
          <w:rFonts w:ascii="Times New Roman" w:hAnsi="Times New Roman" w:cs="Times New Roman"/>
          <w:sz w:val="24"/>
          <w:szCs w:val="24"/>
        </w:rPr>
        <w:t xml:space="preserve"> </w:t>
      </w:r>
      <w:hyperlink r:id="rId51" w:history="1">
        <w:r w:rsidR="00015634" w:rsidRPr="001D0B5B">
          <w:rPr>
            <w:rStyle w:val="Hyperlink"/>
            <w:rFonts w:ascii="Times New Roman" w:eastAsia="Times New Roman" w:hAnsi="Times New Roman" w:cs="Times New Roman"/>
            <w:color w:val="auto"/>
            <w:sz w:val="24"/>
            <w:szCs w:val="24"/>
            <w:u w:val="none"/>
          </w:rPr>
          <w:t>https://doi.org/10.1016/j.jinteco.2022.103708</w:t>
        </w:r>
      </w:hyperlink>
      <w:r w:rsidR="00D9741D" w:rsidRPr="001D0B5B">
        <w:rPr>
          <w:rFonts w:ascii="Times New Roman" w:hAnsi="Times New Roman" w:cs="Times New Roman"/>
          <w:sz w:val="24"/>
          <w:szCs w:val="24"/>
        </w:rPr>
        <w:t xml:space="preserve"> </w:t>
      </w:r>
    </w:p>
    <w:p w14:paraId="44580F23" w14:textId="65AD6A45"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Gerlach, S. &amp; Stuart, R. (2024). Commodity prices and international inflation, 1851–1913. </w:t>
      </w:r>
      <w:r w:rsidRPr="001D0B5B">
        <w:rPr>
          <w:rFonts w:ascii="Times New Roman" w:eastAsia="Times New Roman" w:hAnsi="Times New Roman" w:cs="Times New Roman"/>
          <w:i/>
          <w:iCs/>
          <w:sz w:val="24"/>
          <w:szCs w:val="24"/>
        </w:rPr>
        <w:t>Journal of International Money and Finance, 144</w:t>
      </w:r>
      <w:r w:rsidRPr="001D0B5B">
        <w:rPr>
          <w:rFonts w:ascii="Times New Roman" w:eastAsia="Times New Roman" w:hAnsi="Times New Roman" w:cs="Times New Roman"/>
          <w:sz w:val="24"/>
          <w:szCs w:val="24"/>
        </w:rPr>
        <w:t>, 103097.</w:t>
      </w:r>
      <w:r w:rsidR="004468B0" w:rsidRPr="001D0B5B">
        <w:rPr>
          <w:rFonts w:ascii="Times New Roman" w:eastAsia="Times New Roman" w:hAnsi="Times New Roman" w:cs="Times New Roman"/>
          <w:sz w:val="24"/>
          <w:szCs w:val="24"/>
        </w:rPr>
        <w:t xml:space="preserve"> </w:t>
      </w:r>
      <w:hyperlink r:id="rId52" w:history="1">
        <w:r w:rsidR="00D9741D" w:rsidRPr="001D0B5B">
          <w:rPr>
            <w:rStyle w:val="Hyperlink"/>
            <w:rFonts w:ascii="Times New Roman" w:eastAsia="Times New Roman" w:hAnsi="Times New Roman" w:cs="Times New Roman"/>
            <w:color w:val="auto"/>
            <w:sz w:val="24"/>
            <w:szCs w:val="24"/>
            <w:u w:val="none"/>
          </w:rPr>
          <w:t>https://doi.org/10.1016/j.jimonfin.2024.103097</w:t>
        </w:r>
      </w:hyperlink>
    </w:p>
    <w:p w14:paraId="7E44CF34" w14:textId="4C6AF76C" w:rsidR="004E2B5B" w:rsidRPr="001D0B5B" w:rsidRDefault="004E2B5B" w:rsidP="004468B0">
      <w:pPr>
        <w:ind w:left="720" w:hanging="720"/>
        <w:rPr>
          <w:rFonts w:ascii="Times New Roman" w:eastAsia="Times New Roman" w:hAnsi="Times New Roman" w:cs="Times New Roman"/>
          <w:sz w:val="24"/>
          <w:szCs w:val="24"/>
        </w:rPr>
      </w:pPr>
      <w:proofErr w:type="spellStart"/>
      <w:r w:rsidRPr="001D0B5B">
        <w:rPr>
          <w:rFonts w:ascii="Times New Roman" w:eastAsia="Times New Roman" w:hAnsi="Times New Roman" w:cs="Times New Roman"/>
          <w:sz w:val="24"/>
          <w:szCs w:val="24"/>
        </w:rPr>
        <w:t>Golosov</w:t>
      </w:r>
      <w:proofErr w:type="spellEnd"/>
      <w:r w:rsidRPr="001D0B5B">
        <w:rPr>
          <w:rFonts w:ascii="Times New Roman" w:eastAsia="Times New Roman" w:hAnsi="Times New Roman" w:cs="Times New Roman"/>
          <w:sz w:val="24"/>
          <w:szCs w:val="24"/>
        </w:rPr>
        <w:t xml:space="preserve">, M. &amp; Lucas, R. E. (2007). Menu costs and Phillips curves. </w:t>
      </w:r>
      <w:r w:rsidRPr="001D0B5B">
        <w:rPr>
          <w:rFonts w:ascii="Times New Roman" w:eastAsia="Times New Roman" w:hAnsi="Times New Roman" w:cs="Times New Roman"/>
          <w:i/>
          <w:iCs/>
          <w:sz w:val="24"/>
          <w:szCs w:val="24"/>
        </w:rPr>
        <w:t>Journal of Political Economy, 115</w:t>
      </w:r>
      <w:r w:rsidRPr="001D0B5B">
        <w:rPr>
          <w:rFonts w:ascii="Times New Roman" w:eastAsia="Times New Roman" w:hAnsi="Times New Roman" w:cs="Times New Roman"/>
          <w:sz w:val="24"/>
          <w:szCs w:val="24"/>
        </w:rPr>
        <w:t>(1), 171–199.</w:t>
      </w:r>
      <w:r w:rsidR="00D9741D" w:rsidRPr="001D0B5B">
        <w:rPr>
          <w:rFonts w:ascii="Times New Roman" w:eastAsia="Times New Roman" w:hAnsi="Times New Roman" w:cs="Times New Roman"/>
          <w:sz w:val="24"/>
          <w:szCs w:val="24"/>
        </w:rPr>
        <w:t xml:space="preserve"> </w:t>
      </w:r>
      <w:hyperlink r:id="rId53" w:history="1">
        <w:r w:rsidR="00D9741D" w:rsidRPr="001D0B5B">
          <w:rPr>
            <w:rStyle w:val="Hyperlink"/>
            <w:rFonts w:ascii="Times New Roman" w:eastAsia="Times New Roman" w:hAnsi="Times New Roman" w:cs="Times New Roman"/>
            <w:color w:val="auto"/>
            <w:sz w:val="24"/>
            <w:szCs w:val="24"/>
            <w:u w:val="none"/>
          </w:rPr>
          <w:t>https://doi.org/10.1086/512625</w:t>
        </w:r>
      </w:hyperlink>
    </w:p>
    <w:p w14:paraId="668BDF2E" w14:textId="5AC0DFFE" w:rsidR="004E2B5B" w:rsidRPr="001D0B5B" w:rsidRDefault="004E2B5B" w:rsidP="004468B0">
      <w:pPr>
        <w:ind w:left="720" w:hanging="720"/>
        <w:rPr>
          <w:rFonts w:ascii="Times New Roman" w:eastAsia="Times New Roman" w:hAnsi="Times New Roman" w:cs="Times New Roman"/>
          <w:sz w:val="24"/>
          <w:szCs w:val="24"/>
        </w:rPr>
      </w:pPr>
      <w:proofErr w:type="spellStart"/>
      <w:r w:rsidRPr="001D0B5B">
        <w:rPr>
          <w:rFonts w:ascii="Times New Roman" w:eastAsia="Times New Roman" w:hAnsi="Times New Roman" w:cs="Times New Roman"/>
          <w:sz w:val="24"/>
          <w:szCs w:val="24"/>
        </w:rPr>
        <w:t>Gründler</w:t>
      </w:r>
      <w:proofErr w:type="spellEnd"/>
      <w:r w:rsidRPr="001D0B5B">
        <w:rPr>
          <w:rFonts w:ascii="Times New Roman" w:eastAsia="Times New Roman" w:hAnsi="Times New Roman" w:cs="Times New Roman"/>
          <w:sz w:val="24"/>
          <w:szCs w:val="24"/>
        </w:rPr>
        <w:t xml:space="preserve">, D. (2024). Does the inflation pass-through of gasoline price shocks depend on the level of inflation? </w:t>
      </w:r>
      <w:r w:rsidRPr="001D0B5B">
        <w:rPr>
          <w:rFonts w:ascii="Times New Roman" w:eastAsia="Times New Roman" w:hAnsi="Times New Roman" w:cs="Times New Roman"/>
          <w:i/>
          <w:iCs/>
          <w:sz w:val="24"/>
          <w:szCs w:val="24"/>
        </w:rPr>
        <w:t>Economics Letters,</w:t>
      </w:r>
      <w:r w:rsidRPr="001D0B5B">
        <w:rPr>
          <w:rFonts w:ascii="Times New Roman" w:eastAsia="Times New Roman" w:hAnsi="Times New Roman" w:cs="Times New Roman"/>
          <w:sz w:val="24"/>
          <w:szCs w:val="24"/>
        </w:rPr>
        <w:t xml:space="preserve"> 243, 111928.</w:t>
      </w:r>
      <w:r w:rsidR="004468B0" w:rsidRPr="001D0B5B">
        <w:rPr>
          <w:rFonts w:ascii="Times New Roman" w:eastAsia="Times New Roman" w:hAnsi="Times New Roman" w:cs="Times New Roman"/>
          <w:sz w:val="24"/>
          <w:szCs w:val="24"/>
        </w:rPr>
        <w:t xml:space="preserve"> </w:t>
      </w:r>
      <w:hyperlink r:id="rId54" w:history="1">
        <w:r w:rsidR="00D9741D" w:rsidRPr="001D0B5B">
          <w:rPr>
            <w:rStyle w:val="Hyperlink"/>
            <w:rFonts w:ascii="Times New Roman" w:eastAsia="Times New Roman" w:hAnsi="Times New Roman" w:cs="Times New Roman"/>
            <w:color w:val="auto"/>
            <w:sz w:val="24"/>
            <w:szCs w:val="24"/>
            <w:u w:val="none"/>
          </w:rPr>
          <w:t>https://doi.org/10.1016/j.econlet.2023.111928</w:t>
        </w:r>
      </w:hyperlink>
    </w:p>
    <w:p w14:paraId="5D0C235A" w14:textId="530AAD6A" w:rsidR="004E2B5B" w:rsidRPr="001D0B5B" w:rsidRDefault="004E2B5B" w:rsidP="004468B0">
      <w:pPr>
        <w:keepNext/>
        <w:keepLines/>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Hwang, I. &amp; Zhu, X. (2024). State-dependent oil price shocks on inflation and the efficacy of inflation targeting regime. </w:t>
      </w:r>
      <w:r w:rsidRPr="001D0B5B">
        <w:rPr>
          <w:rFonts w:ascii="Times New Roman" w:eastAsia="Times New Roman" w:hAnsi="Times New Roman" w:cs="Times New Roman"/>
          <w:i/>
          <w:iCs/>
          <w:sz w:val="24"/>
          <w:szCs w:val="24"/>
        </w:rPr>
        <w:t>Journal of International Money and Finance, 144</w:t>
      </w:r>
      <w:r w:rsidRPr="001D0B5B">
        <w:rPr>
          <w:rFonts w:ascii="Times New Roman" w:eastAsia="Times New Roman" w:hAnsi="Times New Roman" w:cs="Times New Roman"/>
          <w:sz w:val="24"/>
          <w:szCs w:val="24"/>
        </w:rPr>
        <w:t xml:space="preserve">, 103077. </w:t>
      </w:r>
      <w:hyperlink r:id="rId55" w:history="1">
        <w:r w:rsidR="00814459" w:rsidRPr="001D0B5B">
          <w:rPr>
            <w:rStyle w:val="Hyperlink"/>
            <w:rFonts w:ascii="Times New Roman" w:hAnsi="Times New Roman" w:cs="Times New Roman"/>
            <w:color w:val="auto"/>
            <w:sz w:val="24"/>
            <w:szCs w:val="24"/>
            <w:u w:val="none"/>
          </w:rPr>
          <w:t>https://doi.org/10.1016/j.jimonfin.2024.103077</w:t>
        </w:r>
      </w:hyperlink>
    </w:p>
    <w:p w14:paraId="15280A3C" w14:textId="097469BC" w:rsidR="004E2B5B" w:rsidRPr="001D0B5B" w:rsidRDefault="004E2B5B" w:rsidP="004468B0">
      <w:pPr>
        <w:keepNext/>
        <w:keepLines/>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Iddrisu, A. &amp; </w:t>
      </w:r>
      <w:proofErr w:type="spellStart"/>
      <w:r w:rsidRPr="001D0B5B">
        <w:rPr>
          <w:rFonts w:ascii="Times New Roman" w:eastAsia="Times New Roman" w:hAnsi="Times New Roman" w:cs="Times New Roman"/>
          <w:sz w:val="24"/>
          <w:szCs w:val="24"/>
        </w:rPr>
        <w:t>Alagidede</w:t>
      </w:r>
      <w:proofErr w:type="spellEnd"/>
      <w:r w:rsidRPr="001D0B5B">
        <w:rPr>
          <w:rFonts w:ascii="Times New Roman" w:eastAsia="Times New Roman" w:hAnsi="Times New Roman" w:cs="Times New Roman"/>
          <w:sz w:val="24"/>
          <w:szCs w:val="24"/>
        </w:rPr>
        <w:t xml:space="preserve">, I. P. (2020). Monetary policy and food inflation in South Africa: A quantile regression analysis. </w:t>
      </w:r>
      <w:r w:rsidRPr="001D0B5B">
        <w:rPr>
          <w:rFonts w:ascii="Times New Roman" w:eastAsia="Times New Roman" w:hAnsi="Times New Roman" w:cs="Times New Roman"/>
          <w:i/>
          <w:iCs/>
          <w:sz w:val="24"/>
          <w:szCs w:val="24"/>
        </w:rPr>
        <w:t>Food Policy, 91</w:t>
      </w:r>
      <w:r w:rsidRPr="001D0B5B">
        <w:rPr>
          <w:rFonts w:ascii="Times New Roman" w:eastAsia="Times New Roman" w:hAnsi="Times New Roman" w:cs="Times New Roman"/>
          <w:sz w:val="24"/>
          <w:szCs w:val="24"/>
        </w:rPr>
        <w:t>, 101816.</w:t>
      </w:r>
      <w:r w:rsidR="004468B0" w:rsidRPr="001D0B5B">
        <w:rPr>
          <w:rFonts w:ascii="Times New Roman" w:eastAsia="Times New Roman" w:hAnsi="Times New Roman" w:cs="Times New Roman"/>
          <w:sz w:val="24"/>
          <w:szCs w:val="24"/>
        </w:rPr>
        <w:t xml:space="preserve"> </w:t>
      </w:r>
      <w:hyperlink r:id="rId56" w:history="1">
        <w:r w:rsidR="00814459" w:rsidRPr="001D0B5B">
          <w:rPr>
            <w:rStyle w:val="Hyperlink"/>
            <w:rFonts w:ascii="Times New Roman" w:hAnsi="Times New Roman" w:cs="Times New Roman"/>
            <w:color w:val="auto"/>
            <w:sz w:val="24"/>
            <w:szCs w:val="24"/>
            <w:u w:val="none"/>
          </w:rPr>
          <w:t>https://doi.org/10.1016/j.foodpol.2019.101816</w:t>
        </w:r>
      </w:hyperlink>
    </w:p>
    <w:p w14:paraId="00D0C2E3" w14:textId="755340D8" w:rsidR="004E2B5B" w:rsidRPr="001D0B5B" w:rsidRDefault="004E2B5B" w:rsidP="004468B0">
      <w:pPr>
        <w:keepNext/>
        <w:keepLines/>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Iddrisu, A. &amp; </w:t>
      </w:r>
      <w:proofErr w:type="spellStart"/>
      <w:r w:rsidRPr="001D0B5B">
        <w:rPr>
          <w:rFonts w:ascii="Times New Roman" w:eastAsia="Times New Roman" w:hAnsi="Times New Roman" w:cs="Times New Roman"/>
          <w:sz w:val="24"/>
          <w:szCs w:val="24"/>
        </w:rPr>
        <w:t>Alagidede</w:t>
      </w:r>
      <w:proofErr w:type="spellEnd"/>
      <w:r w:rsidRPr="001D0B5B">
        <w:rPr>
          <w:rFonts w:ascii="Times New Roman" w:eastAsia="Times New Roman" w:hAnsi="Times New Roman" w:cs="Times New Roman"/>
          <w:sz w:val="24"/>
          <w:szCs w:val="24"/>
        </w:rPr>
        <w:t xml:space="preserve">, I. P. (2021). Heterogeneous provincial prices and monetary policy in South Africa: A wavelet-based quantile regression analysis. </w:t>
      </w:r>
      <w:r w:rsidRPr="001D0B5B">
        <w:rPr>
          <w:rFonts w:ascii="Times New Roman" w:eastAsia="Times New Roman" w:hAnsi="Times New Roman" w:cs="Times New Roman"/>
          <w:i/>
          <w:iCs/>
          <w:sz w:val="24"/>
          <w:szCs w:val="24"/>
        </w:rPr>
        <w:t>Central Bank Review, 21</w:t>
      </w:r>
      <w:r w:rsidRPr="001D0B5B">
        <w:rPr>
          <w:rFonts w:ascii="Times New Roman" w:eastAsia="Times New Roman" w:hAnsi="Times New Roman" w:cs="Times New Roman"/>
          <w:sz w:val="24"/>
          <w:szCs w:val="24"/>
        </w:rPr>
        <w:t xml:space="preserve">(3), 87–103. </w:t>
      </w:r>
      <w:hyperlink r:id="rId57" w:history="1">
        <w:r w:rsidR="00814459" w:rsidRPr="001D0B5B">
          <w:rPr>
            <w:rStyle w:val="Hyperlink"/>
            <w:rFonts w:ascii="Times New Roman" w:hAnsi="Times New Roman" w:cs="Times New Roman"/>
            <w:color w:val="auto"/>
            <w:sz w:val="24"/>
            <w:szCs w:val="24"/>
            <w:u w:val="none"/>
          </w:rPr>
          <w:t>https://doi.org/10.1016/j.cbrev.2021.06.001</w:t>
        </w:r>
      </w:hyperlink>
    </w:p>
    <w:p w14:paraId="0CABCE22" w14:textId="641A5167"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Ikeno, H. (2014). Long-run analysis on convergence of Japanese local price levels: A pairwise approach. </w:t>
      </w:r>
      <w:r w:rsidRPr="001D0B5B">
        <w:rPr>
          <w:rFonts w:ascii="Times New Roman" w:eastAsia="Times New Roman" w:hAnsi="Times New Roman" w:cs="Times New Roman"/>
          <w:i/>
          <w:iCs/>
          <w:sz w:val="24"/>
          <w:szCs w:val="24"/>
        </w:rPr>
        <w:t>Economic Modelling, 42</w:t>
      </w:r>
      <w:r w:rsidRPr="001D0B5B">
        <w:rPr>
          <w:rFonts w:ascii="Times New Roman" w:eastAsia="Times New Roman" w:hAnsi="Times New Roman" w:cs="Times New Roman"/>
          <w:sz w:val="24"/>
          <w:szCs w:val="24"/>
        </w:rPr>
        <w:t>, 390–397.</w:t>
      </w:r>
      <w:r w:rsidR="004468B0" w:rsidRPr="001D0B5B">
        <w:rPr>
          <w:rFonts w:ascii="Times New Roman" w:eastAsia="Times New Roman" w:hAnsi="Times New Roman" w:cs="Times New Roman"/>
          <w:sz w:val="24"/>
          <w:szCs w:val="24"/>
        </w:rPr>
        <w:t xml:space="preserve"> </w:t>
      </w:r>
      <w:hyperlink r:id="rId58" w:history="1">
        <w:r w:rsidR="00814459" w:rsidRPr="001D0B5B">
          <w:rPr>
            <w:rStyle w:val="Hyperlink"/>
            <w:rFonts w:ascii="Times New Roman" w:hAnsi="Times New Roman" w:cs="Times New Roman"/>
            <w:color w:val="auto"/>
            <w:sz w:val="24"/>
            <w:szCs w:val="24"/>
            <w:u w:val="none"/>
          </w:rPr>
          <w:t>https://doi.org/10.1016/j.econmod.2014.07.015</w:t>
        </w:r>
      </w:hyperlink>
    </w:p>
    <w:p w14:paraId="4CF62996" w14:textId="580B33F4" w:rsidR="004E2B5B" w:rsidRPr="001D0B5B" w:rsidRDefault="004E2B5B" w:rsidP="004468B0">
      <w:pPr>
        <w:ind w:left="720" w:hanging="720"/>
        <w:rPr>
          <w:rFonts w:ascii="Times New Roman" w:eastAsia="Times New Roman" w:hAnsi="Times New Roman" w:cs="Times New Roman"/>
          <w:sz w:val="24"/>
          <w:szCs w:val="24"/>
        </w:rPr>
      </w:pPr>
      <w:proofErr w:type="spellStart"/>
      <w:r w:rsidRPr="001D0B5B">
        <w:rPr>
          <w:rFonts w:ascii="Times New Roman" w:eastAsia="Times New Roman" w:hAnsi="Times New Roman" w:cs="Times New Roman"/>
          <w:sz w:val="24"/>
          <w:szCs w:val="24"/>
        </w:rPr>
        <w:t>Im</w:t>
      </w:r>
      <w:proofErr w:type="spellEnd"/>
      <w:r w:rsidRPr="001D0B5B">
        <w:rPr>
          <w:rFonts w:ascii="Times New Roman" w:eastAsia="Times New Roman" w:hAnsi="Times New Roman" w:cs="Times New Roman"/>
          <w:sz w:val="24"/>
          <w:szCs w:val="24"/>
        </w:rPr>
        <w:t xml:space="preserve">, K. S., </w:t>
      </w:r>
      <w:proofErr w:type="spellStart"/>
      <w:r w:rsidRPr="001D0B5B">
        <w:rPr>
          <w:rFonts w:ascii="Times New Roman" w:eastAsia="Times New Roman" w:hAnsi="Times New Roman" w:cs="Times New Roman"/>
          <w:sz w:val="24"/>
          <w:szCs w:val="24"/>
        </w:rPr>
        <w:t>Pesaran</w:t>
      </w:r>
      <w:proofErr w:type="spellEnd"/>
      <w:r w:rsidRPr="001D0B5B">
        <w:rPr>
          <w:rFonts w:ascii="Times New Roman" w:eastAsia="Times New Roman" w:hAnsi="Times New Roman" w:cs="Times New Roman"/>
          <w:sz w:val="24"/>
          <w:szCs w:val="24"/>
        </w:rPr>
        <w:t xml:space="preserve">, M. H., &amp; Shin, Y. (2003). Testing for unit roots in heterogeneous panels. </w:t>
      </w:r>
      <w:r w:rsidRPr="001D0B5B">
        <w:rPr>
          <w:rFonts w:ascii="Times New Roman" w:eastAsia="Times New Roman" w:hAnsi="Times New Roman" w:cs="Times New Roman"/>
          <w:i/>
          <w:iCs/>
          <w:sz w:val="24"/>
          <w:szCs w:val="24"/>
        </w:rPr>
        <w:t>Journal of Econometrics, 115</w:t>
      </w:r>
      <w:r w:rsidRPr="001D0B5B">
        <w:rPr>
          <w:rFonts w:ascii="Times New Roman" w:eastAsia="Times New Roman" w:hAnsi="Times New Roman" w:cs="Times New Roman"/>
          <w:sz w:val="24"/>
          <w:szCs w:val="24"/>
        </w:rPr>
        <w:t>(1), 53–74.</w:t>
      </w:r>
      <w:r w:rsidR="004468B0" w:rsidRPr="001D0B5B">
        <w:rPr>
          <w:rFonts w:ascii="Times New Roman" w:eastAsia="Times New Roman" w:hAnsi="Times New Roman" w:cs="Times New Roman"/>
          <w:sz w:val="24"/>
          <w:szCs w:val="24"/>
        </w:rPr>
        <w:t xml:space="preserve"> </w:t>
      </w:r>
      <w:r w:rsidR="004468B0" w:rsidRPr="001D0B5B">
        <w:rPr>
          <w:rFonts w:ascii="Times New Roman" w:hAnsi="Times New Roman" w:cs="Times New Roman"/>
          <w:sz w:val="24"/>
          <w:szCs w:val="24"/>
        </w:rPr>
        <w:t>https://doi.org/10.1016/S0304-4076(03)00092-7</w:t>
      </w:r>
    </w:p>
    <w:p w14:paraId="2AD6363A" w14:textId="4CD77919"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Kikuchi, J. &amp; </w:t>
      </w:r>
      <w:proofErr w:type="spellStart"/>
      <w:r w:rsidRPr="001D0B5B">
        <w:rPr>
          <w:rFonts w:ascii="Times New Roman" w:eastAsia="Times New Roman" w:hAnsi="Times New Roman" w:cs="Times New Roman"/>
          <w:sz w:val="24"/>
          <w:szCs w:val="24"/>
        </w:rPr>
        <w:t>Nakazono</w:t>
      </w:r>
      <w:proofErr w:type="spellEnd"/>
      <w:r w:rsidRPr="001D0B5B">
        <w:rPr>
          <w:rFonts w:ascii="Times New Roman" w:eastAsia="Times New Roman" w:hAnsi="Times New Roman" w:cs="Times New Roman"/>
          <w:sz w:val="24"/>
          <w:szCs w:val="24"/>
        </w:rPr>
        <w:t xml:space="preserve">. Y. (2023). The formation of inflation expectations: microdata evidence from Japan. </w:t>
      </w:r>
      <w:r w:rsidRPr="001D0B5B">
        <w:rPr>
          <w:rFonts w:ascii="Times New Roman" w:eastAsia="Times New Roman" w:hAnsi="Times New Roman" w:cs="Times New Roman"/>
          <w:i/>
          <w:iCs/>
          <w:sz w:val="24"/>
          <w:szCs w:val="24"/>
        </w:rPr>
        <w:t>Journal of Money, Credit and Banking, 55,</w:t>
      </w:r>
      <w:r w:rsidRPr="001D0B5B">
        <w:rPr>
          <w:rFonts w:ascii="Times New Roman" w:eastAsia="Times New Roman" w:hAnsi="Times New Roman" w:cs="Times New Roman"/>
          <w:sz w:val="24"/>
          <w:szCs w:val="24"/>
        </w:rPr>
        <w:t xml:space="preserve"> (6): 1609–1632.</w:t>
      </w:r>
      <w:r w:rsidR="00D9741D" w:rsidRPr="001D0B5B">
        <w:rPr>
          <w:rFonts w:ascii="Times New Roman" w:eastAsia="Times New Roman" w:hAnsi="Times New Roman" w:cs="Times New Roman"/>
          <w:sz w:val="24"/>
          <w:szCs w:val="24"/>
        </w:rPr>
        <w:t xml:space="preserve"> </w:t>
      </w:r>
      <w:hyperlink r:id="rId59" w:history="1">
        <w:r w:rsidR="00D9741D" w:rsidRPr="001D0B5B">
          <w:rPr>
            <w:rStyle w:val="Hyperlink"/>
            <w:rFonts w:ascii="Times New Roman" w:eastAsia="Times New Roman" w:hAnsi="Times New Roman" w:cs="Times New Roman"/>
            <w:color w:val="auto"/>
            <w:sz w:val="24"/>
            <w:szCs w:val="24"/>
            <w:u w:val="none"/>
          </w:rPr>
          <w:t>https://doi.org/10.1111/jmcb.13004</w:t>
        </w:r>
      </w:hyperlink>
    </w:p>
    <w:p w14:paraId="3525F47C" w14:textId="66E2096C" w:rsidR="004E2B5B" w:rsidRPr="001D0B5B" w:rsidRDefault="004E2B5B" w:rsidP="004468B0">
      <w:pPr>
        <w:ind w:left="720" w:hanging="720"/>
        <w:rPr>
          <w:rFonts w:ascii="Times New Roman" w:hAnsi="Times New Roman" w:cs="Times New Roman"/>
          <w:sz w:val="24"/>
          <w:szCs w:val="24"/>
        </w:rPr>
      </w:pPr>
      <w:r w:rsidRPr="001D0B5B">
        <w:rPr>
          <w:rFonts w:ascii="Times New Roman" w:hAnsi="Times New Roman" w:cs="Times New Roman"/>
          <w:sz w:val="24"/>
          <w:szCs w:val="24"/>
        </w:rPr>
        <w:t xml:space="preserve">Lartey, E. K. K. (2016). A note on remittances, monetary regimes, and </w:t>
      </w:r>
      <w:proofErr w:type="spellStart"/>
      <w:r w:rsidRPr="001D0B5B">
        <w:rPr>
          <w:rFonts w:ascii="Times New Roman" w:hAnsi="Times New Roman" w:cs="Times New Roman"/>
          <w:sz w:val="24"/>
          <w:szCs w:val="24"/>
        </w:rPr>
        <w:t>nontradable</w:t>
      </w:r>
      <w:proofErr w:type="spellEnd"/>
      <w:r w:rsidRPr="001D0B5B">
        <w:rPr>
          <w:rFonts w:ascii="Times New Roman" w:hAnsi="Times New Roman" w:cs="Times New Roman"/>
          <w:sz w:val="24"/>
          <w:szCs w:val="24"/>
        </w:rPr>
        <w:t xml:space="preserve"> inflation dynamics. </w:t>
      </w:r>
      <w:r w:rsidRPr="001D0B5B">
        <w:rPr>
          <w:rFonts w:ascii="Times New Roman" w:hAnsi="Times New Roman" w:cs="Times New Roman"/>
          <w:i/>
          <w:iCs/>
          <w:sz w:val="24"/>
          <w:szCs w:val="24"/>
        </w:rPr>
        <w:t>Macroeconomic Dynamics, 20</w:t>
      </w:r>
      <w:r w:rsidRPr="001D0B5B">
        <w:rPr>
          <w:rFonts w:ascii="Times New Roman" w:hAnsi="Times New Roman" w:cs="Times New Roman"/>
          <w:sz w:val="24"/>
          <w:szCs w:val="24"/>
        </w:rPr>
        <w:t>(6), 1668–1682.</w:t>
      </w:r>
      <w:r w:rsidR="004468B0" w:rsidRPr="001D0B5B">
        <w:rPr>
          <w:rFonts w:ascii="Times New Roman" w:hAnsi="Times New Roman" w:cs="Times New Roman"/>
          <w:sz w:val="24"/>
          <w:szCs w:val="24"/>
        </w:rPr>
        <w:t xml:space="preserve"> </w:t>
      </w:r>
      <w:hyperlink r:id="rId60" w:history="1">
        <w:r w:rsidR="00D9741D" w:rsidRPr="001D0B5B">
          <w:rPr>
            <w:rStyle w:val="Hyperlink"/>
            <w:rFonts w:ascii="Times New Roman" w:hAnsi="Times New Roman" w:cs="Times New Roman"/>
            <w:color w:val="auto"/>
            <w:sz w:val="24"/>
            <w:szCs w:val="24"/>
            <w:u w:val="none"/>
          </w:rPr>
          <w:t>https://doi.org/10.1017/S1365100514001035</w:t>
        </w:r>
      </w:hyperlink>
    </w:p>
    <w:p w14:paraId="6F23B4AF" w14:textId="05E02BA7" w:rsidR="004E2B5B" w:rsidRPr="001D0B5B" w:rsidRDefault="00D9741D" w:rsidP="004468B0">
      <w:pPr>
        <w:ind w:left="720" w:hanging="720"/>
        <w:rPr>
          <w:rFonts w:ascii="Times New Roman" w:eastAsia="Times New Roman" w:hAnsi="Times New Roman" w:cs="Times New Roman"/>
          <w:sz w:val="24"/>
          <w:szCs w:val="24"/>
        </w:rPr>
      </w:pPr>
      <w:r w:rsidRPr="001D0B5B">
        <w:rPr>
          <w:rFonts w:ascii="Times New Roman" w:hAnsi="Times New Roman" w:cs="Times New Roman"/>
          <w:sz w:val="24"/>
          <w:szCs w:val="24"/>
        </w:rPr>
        <w:t xml:space="preserve"> </w:t>
      </w:r>
      <w:r w:rsidR="004E2B5B" w:rsidRPr="001D0B5B">
        <w:rPr>
          <w:rFonts w:ascii="Times New Roman" w:eastAsia="Times New Roman" w:hAnsi="Times New Roman" w:cs="Times New Roman"/>
          <w:sz w:val="24"/>
          <w:szCs w:val="24"/>
        </w:rPr>
        <w:t xml:space="preserve">Lee, C. C., Yuan, Z. &amp; Lee, C. C. (2023). A nonlinear analysis of the impacts of information and communication technologies on environmental quality: A global perspective. </w:t>
      </w:r>
      <w:r w:rsidR="004E2B5B" w:rsidRPr="001D0B5B">
        <w:rPr>
          <w:rFonts w:ascii="Times New Roman" w:eastAsia="Times New Roman" w:hAnsi="Times New Roman" w:cs="Times New Roman"/>
          <w:i/>
          <w:iCs/>
          <w:sz w:val="24"/>
          <w:szCs w:val="24"/>
        </w:rPr>
        <w:t>Energy Economics, 128,</w:t>
      </w:r>
      <w:r w:rsidR="004E2B5B" w:rsidRPr="001D0B5B">
        <w:rPr>
          <w:rFonts w:ascii="Times New Roman" w:eastAsia="Times New Roman" w:hAnsi="Times New Roman" w:cs="Times New Roman"/>
          <w:sz w:val="24"/>
          <w:szCs w:val="24"/>
        </w:rPr>
        <w:t xml:space="preserve"> 107177.</w:t>
      </w:r>
      <w:r w:rsidRPr="001D0B5B">
        <w:rPr>
          <w:rFonts w:ascii="Times New Roman" w:eastAsia="Times New Roman" w:hAnsi="Times New Roman" w:cs="Times New Roman"/>
          <w:sz w:val="24"/>
          <w:szCs w:val="24"/>
        </w:rPr>
        <w:t xml:space="preserve"> </w:t>
      </w:r>
      <w:hyperlink r:id="rId61" w:history="1">
        <w:r w:rsidRPr="001D0B5B">
          <w:rPr>
            <w:rStyle w:val="Hyperlink"/>
            <w:rFonts w:ascii="Times New Roman" w:eastAsia="Times New Roman" w:hAnsi="Times New Roman" w:cs="Times New Roman"/>
            <w:color w:val="auto"/>
            <w:sz w:val="24"/>
            <w:szCs w:val="24"/>
            <w:u w:val="none"/>
          </w:rPr>
          <w:t>https://doi.org/10.1016/j.eneco.2023.107177</w:t>
        </w:r>
      </w:hyperlink>
    </w:p>
    <w:p w14:paraId="34935B36" w14:textId="1D5BEB9C"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Liu, Y. &amp; Wu, Y. (2011). Simultaneous multiple non-crossing quantile regression estimation using kernel constraints. </w:t>
      </w:r>
      <w:r w:rsidRPr="001D0B5B">
        <w:rPr>
          <w:rFonts w:ascii="Times New Roman" w:eastAsia="Times New Roman" w:hAnsi="Times New Roman" w:cs="Times New Roman"/>
          <w:i/>
          <w:iCs/>
          <w:sz w:val="24"/>
          <w:szCs w:val="24"/>
        </w:rPr>
        <w:t>Journal of Non</w:t>
      </w:r>
      <w:r w:rsidR="008C580F" w:rsidRPr="001D0B5B">
        <w:rPr>
          <w:rFonts w:ascii="Times New Roman" w:eastAsia="Times New Roman" w:hAnsi="Times New Roman" w:cs="Times New Roman"/>
          <w:i/>
          <w:iCs/>
          <w:sz w:val="24"/>
          <w:szCs w:val="24"/>
        </w:rPr>
        <w:t>-</w:t>
      </w:r>
      <w:r w:rsidRPr="001D0B5B">
        <w:rPr>
          <w:rFonts w:ascii="Times New Roman" w:eastAsia="Times New Roman" w:hAnsi="Times New Roman" w:cs="Times New Roman"/>
          <w:i/>
          <w:iCs/>
          <w:sz w:val="24"/>
          <w:szCs w:val="24"/>
        </w:rPr>
        <w:t>parametric Statistics, 23</w:t>
      </w:r>
      <w:r w:rsidRPr="001D0B5B">
        <w:rPr>
          <w:rFonts w:ascii="Times New Roman" w:eastAsia="Times New Roman" w:hAnsi="Times New Roman" w:cs="Times New Roman"/>
          <w:sz w:val="24"/>
          <w:szCs w:val="24"/>
        </w:rPr>
        <w:t xml:space="preserve">(2), 415–437. </w:t>
      </w:r>
      <w:hyperlink r:id="rId62" w:history="1">
        <w:r w:rsidRPr="001D0B5B">
          <w:rPr>
            <w:rStyle w:val="Hyperlink"/>
            <w:rFonts w:ascii="Times New Roman" w:hAnsi="Times New Roman" w:cs="Times New Roman"/>
            <w:color w:val="auto"/>
            <w:sz w:val="24"/>
            <w:szCs w:val="24"/>
            <w:u w:val="none"/>
          </w:rPr>
          <w:t>https://doi.org/10.1080/10485252.2010.537336</w:t>
        </w:r>
      </w:hyperlink>
    </w:p>
    <w:p w14:paraId="04BA762C" w14:textId="23F1FCC8"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lastRenderedPageBreak/>
        <w:t xml:space="preserve">Li, H. (2023). The time-varying and volatile macroeconomic effects of immigration. </w:t>
      </w:r>
      <w:r w:rsidRPr="001D0B5B">
        <w:rPr>
          <w:rFonts w:ascii="Times New Roman" w:eastAsia="Times New Roman" w:hAnsi="Times New Roman" w:cs="Times New Roman"/>
          <w:i/>
          <w:iCs/>
          <w:sz w:val="24"/>
          <w:szCs w:val="24"/>
        </w:rPr>
        <w:t>Macroeconomic Dynamics, 27</w:t>
      </w:r>
      <w:r w:rsidRPr="001D0B5B">
        <w:rPr>
          <w:rFonts w:ascii="Times New Roman" w:eastAsia="Times New Roman" w:hAnsi="Times New Roman" w:cs="Times New Roman"/>
          <w:sz w:val="24"/>
          <w:szCs w:val="24"/>
        </w:rPr>
        <w:t xml:space="preserve"> (1), 72–92.</w:t>
      </w:r>
      <w:r w:rsidR="004468B0" w:rsidRPr="001D0B5B">
        <w:rPr>
          <w:rFonts w:ascii="Times New Roman" w:eastAsia="Times New Roman" w:hAnsi="Times New Roman" w:cs="Times New Roman"/>
          <w:sz w:val="24"/>
          <w:szCs w:val="24"/>
        </w:rPr>
        <w:t xml:space="preserve"> </w:t>
      </w:r>
      <w:hyperlink r:id="rId63" w:history="1">
        <w:r w:rsidR="00D9741D" w:rsidRPr="001D0B5B">
          <w:rPr>
            <w:rStyle w:val="Hyperlink"/>
            <w:rFonts w:ascii="Times New Roman" w:eastAsia="Times New Roman" w:hAnsi="Times New Roman" w:cs="Times New Roman"/>
            <w:color w:val="auto"/>
            <w:sz w:val="24"/>
            <w:szCs w:val="24"/>
            <w:u w:val="none"/>
          </w:rPr>
          <w:t>https://doi.org/10.1017/S1365100521000462</w:t>
        </w:r>
      </w:hyperlink>
    </w:p>
    <w:p w14:paraId="35D05C2C" w14:textId="7B201699"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Lopez-Salido, D. &amp; Loria, F. (2024). Inflation at risk. </w:t>
      </w:r>
      <w:r w:rsidRPr="001D0B5B">
        <w:rPr>
          <w:rFonts w:ascii="Times New Roman" w:eastAsia="Times New Roman" w:hAnsi="Times New Roman" w:cs="Times New Roman"/>
          <w:i/>
          <w:iCs/>
          <w:sz w:val="24"/>
          <w:szCs w:val="24"/>
        </w:rPr>
        <w:t>Journal of Monetary Economics, 145</w:t>
      </w:r>
      <w:r w:rsidRPr="001D0B5B">
        <w:rPr>
          <w:rFonts w:ascii="Times New Roman" w:eastAsia="Times New Roman" w:hAnsi="Times New Roman" w:cs="Times New Roman"/>
          <w:sz w:val="24"/>
          <w:szCs w:val="24"/>
        </w:rPr>
        <w:t>, 103570.</w:t>
      </w:r>
      <w:r w:rsidR="00D9741D" w:rsidRPr="001D0B5B">
        <w:rPr>
          <w:rFonts w:ascii="Times New Roman" w:eastAsia="Times New Roman" w:hAnsi="Times New Roman" w:cs="Times New Roman"/>
          <w:sz w:val="24"/>
          <w:szCs w:val="24"/>
        </w:rPr>
        <w:t xml:space="preserve"> </w:t>
      </w:r>
      <w:hyperlink r:id="rId64" w:history="1">
        <w:r w:rsidR="00D9741D" w:rsidRPr="001D0B5B">
          <w:rPr>
            <w:rStyle w:val="Hyperlink"/>
            <w:rFonts w:ascii="Times New Roman" w:eastAsia="Times New Roman" w:hAnsi="Times New Roman" w:cs="Times New Roman"/>
            <w:color w:val="auto"/>
            <w:sz w:val="24"/>
            <w:szCs w:val="24"/>
            <w:u w:val="none"/>
          </w:rPr>
          <w:t>https://doi.org/10.1016/j.jmoneco.2023.103570</w:t>
        </w:r>
      </w:hyperlink>
    </w:p>
    <w:p w14:paraId="35AD4FA1" w14:textId="0E4AE7EB"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Machado, J. A. F. &amp; Santos Silva, J. M. C. (2019). Quantiles via moments. </w:t>
      </w:r>
      <w:r w:rsidRPr="001D0B5B">
        <w:rPr>
          <w:rFonts w:ascii="Times New Roman" w:eastAsia="Times New Roman" w:hAnsi="Times New Roman" w:cs="Times New Roman"/>
          <w:i/>
          <w:iCs/>
          <w:sz w:val="24"/>
          <w:szCs w:val="24"/>
        </w:rPr>
        <w:t>Journal of Econometrics, 213</w:t>
      </w:r>
      <w:r w:rsidRPr="001D0B5B">
        <w:rPr>
          <w:rFonts w:ascii="Times New Roman" w:eastAsia="Times New Roman" w:hAnsi="Times New Roman" w:cs="Times New Roman"/>
          <w:sz w:val="24"/>
          <w:szCs w:val="24"/>
        </w:rPr>
        <w:t xml:space="preserve">(1), 145–173. </w:t>
      </w:r>
      <w:hyperlink r:id="rId65" w:history="1">
        <w:r w:rsidRPr="001D0B5B">
          <w:rPr>
            <w:rStyle w:val="Hyperlink"/>
            <w:rFonts w:ascii="Times New Roman" w:hAnsi="Times New Roman" w:cs="Times New Roman"/>
            <w:color w:val="auto"/>
            <w:sz w:val="24"/>
            <w:szCs w:val="24"/>
            <w:u w:val="none"/>
          </w:rPr>
          <w:t>https://doi.org/10.1016/j.jeconom.2019.04.009</w:t>
        </w:r>
      </w:hyperlink>
    </w:p>
    <w:p w14:paraId="41BEDC5C" w14:textId="5F9199CA"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McKnight, S., Mihailov, A., &amp; Rangel, A. P. (2020). What do Latin American inflation </w:t>
      </w:r>
      <w:proofErr w:type="spellStart"/>
      <w:r w:rsidRPr="001D0B5B">
        <w:rPr>
          <w:rFonts w:ascii="Times New Roman" w:eastAsia="Times New Roman" w:hAnsi="Times New Roman" w:cs="Times New Roman"/>
          <w:sz w:val="24"/>
          <w:szCs w:val="24"/>
        </w:rPr>
        <w:t>targeters</w:t>
      </w:r>
      <w:proofErr w:type="spellEnd"/>
      <w:r w:rsidRPr="001D0B5B">
        <w:rPr>
          <w:rFonts w:ascii="Times New Roman" w:eastAsia="Times New Roman" w:hAnsi="Times New Roman" w:cs="Times New Roman"/>
          <w:sz w:val="24"/>
          <w:szCs w:val="24"/>
        </w:rPr>
        <w:t xml:space="preserve"> care about? A comparative Bayesian estimation of central bank preferences. </w:t>
      </w:r>
      <w:r w:rsidRPr="001D0B5B">
        <w:rPr>
          <w:rFonts w:ascii="Times New Roman" w:eastAsia="Times New Roman" w:hAnsi="Times New Roman" w:cs="Times New Roman"/>
          <w:i/>
          <w:iCs/>
          <w:sz w:val="24"/>
          <w:szCs w:val="24"/>
        </w:rPr>
        <w:t>Journal of Macroeconomics, 63</w:t>
      </w:r>
      <w:r w:rsidRPr="001D0B5B">
        <w:rPr>
          <w:rFonts w:ascii="Times New Roman" w:eastAsia="Times New Roman" w:hAnsi="Times New Roman" w:cs="Times New Roman"/>
          <w:sz w:val="24"/>
          <w:szCs w:val="24"/>
        </w:rPr>
        <w:t xml:space="preserve">, 103188. </w:t>
      </w:r>
      <w:hyperlink r:id="rId66" w:history="1">
        <w:r w:rsidRPr="001D0B5B">
          <w:rPr>
            <w:rStyle w:val="Hyperlink"/>
            <w:rFonts w:ascii="Times New Roman" w:hAnsi="Times New Roman" w:cs="Times New Roman"/>
            <w:color w:val="auto"/>
            <w:sz w:val="24"/>
            <w:szCs w:val="24"/>
            <w:u w:val="none"/>
          </w:rPr>
          <w:t>https://doi.org/10.1016/j.jmacro.2019.103188</w:t>
        </w:r>
      </w:hyperlink>
    </w:p>
    <w:p w14:paraId="1100C8C0" w14:textId="768A8687" w:rsidR="004E2B5B" w:rsidRPr="001D0B5B" w:rsidRDefault="004E2B5B" w:rsidP="004468B0">
      <w:pPr>
        <w:ind w:left="720" w:hanging="720"/>
        <w:rPr>
          <w:rFonts w:ascii="Times New Roman" w:hAnsi="Times New Roman" w:cs="Times New Roman"/>
          <w:sz w:val="24"/>
          <w:szCs w:val="24"/>
        </w:rPr>
      </w:pPr>
      <w:r w:rsidRPr="001D0B5B">
        <w:rPr>
          <w:rFonts w:ascii="Times New Roman" w:hAnsi="Times New Roman" w:cs="Times New Roman"/>
          <w:sz w:val="24"/>
          <w:szCs w:val="24"/>
        </w:rPr>
        <w:t xml:space="preserve">Molyneux, P., </w:t>
      </w:r>
      <w:proofErr w:type="spellStart"/>
      <w:r w:rsidRPr="001D0B5B">
        <w:rPr>
          <w:rFonts w:ascii="Times New Roman" w:hAnsi="Times New Roman" w:cs="Times New Roman"/>
          <w:sz w:val="24"/>
          <w:szCs w:val="24"/>
        </w:rPr>
        <w:t>Pancotto</w:t>
      </w:r>
      <w:proofErr w:type="spellEnd"/>
      <w:r w:rsidRPr="001D0B5B">
        <w:rPr>
          <w:rFonts w:ascii="Times New Roman" w:hAnsi="Times New Roman" w:cs="Times New Roman"/>
          <w:sz w:val="24"/>
          <w:szCs w:val="24"/>
        </w:rPr>
        <w:t xml:space="preserve">, L., </w:t>
      </w:r>
      <w:proofErr w:type="spellStart"/>
      <w:r w:rsidRPr="001D0B5B">
        <w:rPr>
          <w:rFonts w:ascii="Times New Roman" w:hAnsi="Times New Roman" w:cs="Times New Roman"/>
          <w:sz w:val="24"/>
          <w:szCs w:val="24"/>
        </w:rPr>
        <w:t>Reghezza</w:t>
      </w:r>
      <w:proofErr w:type="spellEnd"/>
      <w:r w:rsidRPr="001D0B5B">
        <w:rPr>
          <w:rFonts w:ascii="Times New Roman" w:hAnsi="Times New Roman" w:cs="Times New Roman"/>
          <w:sz w:val="24"/>
          <w:szCs w:val="24"/>
        </w:rPr>
        <w:t xml:space="preserve">, A. &amp; </w:t>
      </w:r>
      <w:proofErr w:type="spellStart"/>
      <w:r w:rsidRPr="001D0B5B">
        <w:rPr>
          <w:rFonts w:ascii="Times New Roman" w:hAnsi="Times New Roman" w:cs="Times New Roman"/>
          <w:sz w:val="24"/>
          <w:szCs w:val="24"/>
        </w:rPr>
        <w:t>d'Acri</w:t>
      </w:r>
      <w:proofErr w:type="spellEnd"/>
      <w:r w:rsidRPr="001D0B5B">
        <w:rPr>
          <w:rFonts w:ascii="Times New Roman" w:hAnsi="Times New Roman" w:cs="Times New Roman"/>
          <w:sz w:val="24"/>
          <w:szCs w:val="24"/>
        </w:rPr>
        <w:t>, C. R. (2022). Interest rate risk and monetary policy normali</w:t>
      </w:r>
      <w:r w:rsidR="00927E1B" w:rsidRPr="001D0B5B">
        <w:rPr>
          <w:rFonts w:ascii="Times New Roman" w:hAnsi="Times New Roman" w:cs="Times New Roman"/>
          <w:sz w:val="24"/>
          <w:szCs w:val="24"/>
        </w:rPr>
        <w:t>z</w:t>
      </w:r>
      <w:r w:rsidRPr="001D0B5B">
        <w:rPr>
          <w:rFonts w:ascii="Times New Roman" w:hAnsi="Times New Roman" w:cs="Times New Roman"/>
          <w:sz w:val="24"/>
          <w:szCs w:val="24"/>
        </w:rPr>
        <w:t>ation in the euro area. </w:t>
      </w:r>
      <w:r w:rsidRPr="001D0B5B">
        <w:rPr>
          <w:rFonts w:ascii="Times New Roman" w:hAnsi="Times New Roman" w:cs="Times New Roman"/>
          <w:i/>
          <w:iCs/>
          <w:sz w:val="24"/>
          <w:szCs w:val="24"/>
        </w:rPr>
        <w:t>Journal of International Money and Finance</w:t>
      </w:r>
      <w:r w:rsidRPr="001D0B5B">
        <w:rPr>
          <w:rFonts w:ascii="Times New Roman" w:hAnsi="Times New Roman" w:cs="Times New Roman"/>
          <w:sz w:val="24"/>
          <w:szCs w:val="24"/>
        </w:rPr>
        <w:t>, </w:t>
      </w:r>
      <w:r w:rsidRPr="001D0B5B">
        <w:rPr>
          <w:rFonts w:ascii="Times New Roman" w:hAnsi="Times New Roman" w:cs="Times New Roman"/>
          <w:i/>
          <w:iCs/>
          <w:sz w:val="24"/>
          <w:szCs w:val="24"/>
        </w:rPr>
        <w:t>124</w:t>
      </w:r>
      <w:r w:rsidRPr="001D0B5B">
        <w:rPr>
          <w:rFonts w:ascii="Times New Roman" w:hAnsi="Times New Roman" w:cs="Times New Roman"/>
          <w:sz w:val="24"/>
          <w:szCs w:val="24"/>
        </w:rPr>
        <w:t>, 102624.</w:t>
      </w:r>
      <w:r w:rsidR="00D9741D" w:rsidRPr="001D0B5B">
        <w:rPr>
          <w:rFonts w:ascii="Times New Roman" w:hAnsi="Times New Roman" w:cs="Times New Roman"/>
          <w:sz w:val="24"/>
          <w:szCs w:val="24"/>
        </w:rPr>
        <w:t xml:space="preserve"> </w:t>
      </w:r>
      <w:hyperlink r:id="rId67" w:history="1">
        <w:r w:rsidR="00D9741D" w:rsidRPr="001D0B5B">
          <w:rPr>
            <w:rStyle w:val="Hyperlink"/>
            <w:rFonts w:ascii="Times New Roman" w:hAnsi="Times New Roman" w:cs="Times New Roman"/>
            <w:color w:val="auto"/>
            <w:sz w:val="24"/>
            <w:szCs w:val="24"/>
            <w:u w:val="none"/>
          </w:rPr>
          <w:t>https://doi.org/10.1016/j.jimonfin.2022.102624</w:t>
        </w:r>
      </w:hyperlink>
    </w:p>
    <w:p w14:paraId="487B078F" w14:textId="56434407" w:rsidR="004E2B5B" w:rsidRPr="001D0B5B" w:rsidRDefault="004E2B5B" w:rsidP="004468B0">
      <w:pPr>
        <w:ind w:left="720" w:hanging="720"/>
        <w:rPr>
          <w:rFonts w:ascii="Times New Roman" w:eastAsia="Times New Roman" w:hAnsi="Times New Roman" w:cs="Times New Roman"/>
          <w:sz w:val="24"/>
          <w:szCs w:val="24"/>
        </w:rPr>
      </w:pPr>
      <w:proofErr w:type="spellStart"/>
      <w:r w:rsidRPr="001D0B5B">
        <w:rPr>
          <w:rFonts w:ascii="Times New Roman" w:hAnsi="Times New Roman" w:cs="Times New Roman"/>
          <w:sz w:val="24"/>
          <w:szCs w:val="24"/>
        </w:rPr>
        <w:t>Nagayasu</w:t>
      </w:r>
      <w:proofErr w:type="spellEnd"/>
      <w:r w:rsidRPr="001D0B5B">
        <w:rPr>
          <w:rFonts w:ascii="Times New Roman" w:hAnsi="Times New Roman" w:cs="Times New Roman"/>
          <w:sz w:val="24"/>
          <w:szCs w:val="24"/>
        </w:rPr>
        <w:t xml:space="preserve">, J. (2011). Regional inflation, spatial locations and the Balassa-Samuelson effect: Evidence from Japan. </w:t>
      </w:r>
      <w:r w:rsidRPr="001D0B5B">
        <w:rPr>
          <w:rFonts w:ascii="Times New Roman" w:hAnsi="Times New Roman" w:cs="Times New Roman"/>
          <w:i/>
          <w:iCs/>
          <w:sz w:val="24"/>
          <w:szCs w:val="24"/>
        </w:rPr>
        <w:t>Urban Studies, 54</w:t>
      </w:r>
      <w:r w:rsidRPr="001D0B5B">
        <w:rPr>
          <w:rFonts w:ascii="Times New Roman" w:hAnsi="Times New Roman" w:cs="Times New Roman"/>
          <w:sz w:val="24"/>
          <w:szCs w:val="24"/>
        </w:rPr>
        <w:t>(6), 1482–1499.</w:t>
      </w:r>
      <w:r w:rsidR="004468B0" w:rsidRPr="001D0B5B">
        <w:rPr>
          <w:rFonts w:ascii="Times New Roman" w:hAnsi="Times New Roman" w:cs="Times New Roman"/>
          <w:sz w:val="24"/>
          <w:szCs w:val="24"/>
        </w:rPr>
        <w:t xml:space="preserve"> </w:t>
      </w:r>
      <w:hyperlink r:id="rId68" w:history="1">
        <w:r w:rsidR="00D9741D" w:rsidRPr="001D0B5B">
          <w:rPr>
            <w:rStyle w:val="Hyperlink"/>
            <w:rFonts w:ascii="Times New Roman" w:hAnsi="Times New Roman" w:cs="Times New Roman"/>
            <w:color w:val="auto"/>
            <w:sz w:val="24"/>
            <w:szCs w:val="24"/>
            <w:u w:val="none"/>
          </w:rPr>
          <w:t>https://doi.org/10.1177/0042098017705843</w:t>
        </w:r>
      </w:hyperlink>
    </w:p>
    <w:p w14:paraId="0259C7A8" w14:textId="7CFF8A67" w:rsidR="004E2B5B" w:rsidRPr="001D0B5B" w:rsidRDefault="004E2B5B" w:rsidP="004468B0">
      <w:pPr>
        <w:ind w:left="720" w:hanging="720"/>
        <w:rPr>
          <w:rFonts w:ascii="Times New Roman" w:hAnsi="Times New Roman" w:cs="Times New Roman"/>
          <w:sz w:val="24"/>
          <w:szCs w:val="24"/>
        </w:rPr>
      </w:pPr>
      <w:r w:rsidRPr="001D0B5B">
        <w:rPr>
          <w:rFonts w:ascii="Times New Roman" w:hAnsi="Times New Roman" w:cs="Times New Roman"/>
          <w:sz w:val="24"/>
          <w:szCs w:val="24"/>
        </w:rPr>
        <w:t>Narayan, P. K., Narayan, S., &amp; Mishra, S. (2011). Do remittances induce inflation? Fresh evidence from developing countries. </w:t>
      </w:r>
      <w:r w:rsidRPr="001D0B5B">
        <w:rPr>
          <w:rFonts w:ascii="Times New Roman" w:hAnsi="Times New Roman" w:cs="Times New Roman"/>
          <w:i/>
          <w:iCs/>
          <w:sz w:val="24"/>
          <w:szCs w:val="24"/>
        </w:rPr>
        <w:t>Southern Economic Journal</w:t>
      </w:r>
      <w:r w:rsidRPr="001D0B5B">
        <w:rPr>
          <w:rFonts w:ascii="Times New Roman" w:hAnsi="Times New Roman" w:cs="Times New Roman"/>
          <w:sz w:val="24"/>
          <w:szCs w:val="24"/>
        </w:rPr>
        <w:t>, </w:t>
      </w:r>
      <w:r w:rsidRPr="001D0B5B">
        <w:rPr>
          <w:rFonts w:ascii="Times New Roman" w:hAnsi="Times New Roman" w:cs="Times New Roman"/>
          <w:i/>
          <w:iCs/>
          <w:sz w:val="24"/>
          <w:szCs w:val="24"/>
        </w:rPr>
        <w:t>77</w:t>
      </w:r>
      <w:r w:rsidRPr="001D0B5B">
        <w:rPr>
          <w:rFonts w:ascii="Times New Roman" w:hAnsi="Times New Roman" w:cs="Times New Roman"/>
          <w:sz w:val="24"/>
          <w:szCs w:val="24"/>
        </w:rPr>
        <w:t>(4), 914-933.</w:t>
      </w:r>
      <w:r w:rsidRPr="001D0B5B" w:rsidDel="00765739">
        <w:rPr>
          <w:rFonts w:ascii="Times New Roman" w:hAnsi="Times New Roman" w:cs="Times New Roman"/>
          <w:sz w:val="24"/>
          <w:szCs w:val="24"/>
        </w:rPr>
        <w:t xml:space="preserve"> </w:t>
      </w:r>
      <w:hyperlink r:id="rId69" w:history="1">
        <w:r w:rsidR="00D9741D" w:rsidRPr="001D0B5B">
          <w:rPr>
            <w:rStyle w:val="Hyperlink"/>
            <w:rFonts w:ascii="Times New Roman" w:hAnsi="Times New Roman" w:cs="Times New Roman"/>
            <w:color w:val="auto"/>
            <w:sz w:val="24"/>
            <w:szCs w:val="24"/>
            <w:u w:val="none"/>
          </w:rPr>
          <w:t>https://doi.org/10.4284/0038-4038-77.4.914</w:t>
        </w:r>
      </w:hyperlink>
    </w:p>
    <w:p w14:paraId="2D7A2F35" w14:textId="77777777"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Nath, H. K. &amp; Sarkar, J. (2014). City relative price dynamics in Australia: Are structural breaks important? </w:t>
      </w:r>
      <w:r w:rsidRPr="001D0B5B">
        <w:rPr>
          <w:rFonts w:ascii="Times New Roman" w:eastAsia="Times New Roman" w:hAnsi="Times New Roman" w:cs="Times New Roman"/>
          <w:i/>
          <w:iCs/>
          <w:sz w:val="24"/>
          <w:szCs w:val="24"/>
        </w:rPr>
        <w:t>The Economic Record, 90</w:t>
      </w:r>
      <w:r w:rsidRPr="001D0B5B">
        <w:rPr>
          <w:rFonts w:ascii="Times New Roman" w:eastAsia="Times New Roman" w:hAnsi="Times New Roman" w:cs="Times New Roman"/>
          <w:sz w:val="24"/>
          <w:szCs w:val="24"/>
        </w:rPr>
        <w:t xml:space="preserve">(288), 33–48. </w:t>
      </w:r>
    </w:p>
    <w:p w14:paraId="4371DACC" w14:textId="1A37A2AB" w:rsidR="004E2B5B" w:rsidRPr="001D0B5B" w:rsidRDefault="004E2B5B" w:rsidP="004468B0">
      <w:pPr>
        <w:ind w:left="720"/>
        <w:rPr>
          <w:rFonts w:ascii="Times New Roman" w:eastAsia="Times New Roman" w:hAnsi="Times New Roman" w:cs="Times New Roman"/>
          <w:sz w:val="24"/>
          <w:szCs w:val="24"/>
        </w:rPr>
      </w:pPr>
      <w:hyperlink r:id="rId70" w:history="1">
        <w:r w:rsidRPr="001D0B5B">
          <w:rPr>
            <w:rStyle w:val="Hyperlink"/>
            <w:rFonts w:ascii="Times New Roman" w:hAnsi="Times New Roman" w:cs="Times New Roman"/>
            <w:color w:val="auto"/>
            <w:sz w:val="24"/>
            <w:szCs w:val="24"/>
            <w:u w:val="none"/>
          </w:rPr>
          <w:t>https://doi.org/10.1111/1475-4932.12077</w:t>
        </w:r>
      </w:hyperlink>
    </w:p>
    <w:p w14:paraId="39938926" w14:textId="5A01420F" w:rsidR="004E2B5B" w:rsidRPr="001D0B5B" w:rsidRDefault="004E2B5B" w:rsidP="004468B0">
      <w:pPr>
        <w:ind w:left="720" w:hanging="720"/>
        <w:rPr>
          <w:rFonts w:ascii="Times New Roman" w:eastAsia="Times New Roman" w:hAnsi="Times New Roman" w:cs="Times New Roman"/>
          <w:sz w:val="24"/>
          <w:szCs w:val="24"/>
        </w:rPr>
      </w:pPr>
      <w:proofErr w:type="spellStart"/>
      <w:r w:rsidRPr="001D0B5B">
        <w:rPr>
          <w:rFonts w:ascii="Times New Roman" w:eastAsia="Times New Roman" w:hAnsi="Times New Roman" w:cs="Times New Roman"/>
          <w:sz w:val="24"/>
          <w:szCs w:val="24"/>
        </w:rPr>
        <w:t>Pesaran</w:t>
      </w:r>
      <w:proofErr w:type="spellEnd"/>
      <w:r w:rsidRPr="001D0B5B">
        <w:rPr>
          <w:rFonts w:ascii="Times New Roman" w:eastAsia="Times New Roman" w:hAnsi="Times New Roman" w:cs="Times New Roman"/>
          <w:sz w:val="24"/>
          <w:szCs w:val="24"/>
        </w:rPr>
        <w:t xml:space="preserve">, M. H. (2007). A pairwise approach to testing for output and growth convergence. </w:t>
      </w:r>
      <w:r w:rsidRPr="001D0B5B">
        <w:rPr>
          <w:rFonts w:ascii="Times New Roman" w:eastAsia="Times New Roman" w:hAnsi="Times New Roman" w:cs="Times New Roman"/>
          <w:i/>
          <w:iCs/>
          <w:sz w:val="24"/>
          <w:szCs w:val="24"/>
        </w:rPr>
        <w:t>Journal of Econometrics, 138</w:t>
      </w:r>
      <w:r w:rsidRPr="001D0B5B">
        <w:rPr>
          <w:rFonts w:ascii="Times New Roman" w:eastAsia="Times New Roman" w:hAnsi="Times New Roman" w:cs="Times New Roman"/>
          <w:sz w:val="24"/>
          <w:szCs w:val="24"/>
        </w:rPr>
        <w:t xml:space="preserve">(1), 312–355. </w:t>
      </w:r>
      <w:hyperlink r:id="rId71" w:history="1">
        <w:r w:rsidRPr="001D0B5B">
          <w:rPr>
            <w:rStyle w:val="Hyperlink"/>
            <w:rFonts w:ascii="Times New Roman" w:hAnsi="Times New Roman" w:cs="Times New Roman"/>
            <w:color w:val="auto"/>
            <w:sz w:val="24"/>
            <w:szCs w:val="24"/>
            <w:u w:val="none"/>
          </w:rPr>
          <w:t>https://doi.org/10.1016/j.jeconom.2006.05.024</w:t>
        </w:r>
      </w:hyperlink>
    </w:p>
    <w:p w14:paraId="0B0F29A4" w14:textId="2A9577A5" w:rsidR="004E2B5B" w:rsidRPr="001D0B5B" w:rsidRDefault="004E2B5B" w:rsidP="004468B0">
      <w:pPr>
        <w:ind w:left="720" w:hanging="720"/>
        <w:rPr>
          <w:rFonts w:ascii="Times New Roman" w:hAnsi="Times New Roman" w:cs="Times New Roman"/>
          <w:sz w:val="24"/>
          <w:szCs w:val="24"/>
        </w:rPr>
      </w:pPr>
      <w:proofErr w:type="spellStart"/>
      <w:r w:rsidRPr="001D0B5B">
        <w:rPr>
          <w:rFonts w:ascii="Times New Roman" w:hAnsi="Times New Roman" w:cs="Times New Roman"/>
          <w:sz w:val="24"/>
          <w:szCs w:val="24"/>
        </w:rPr>
        <w:t>Pesaran</w:t>
      </w:r>
      <w:proofErr w:type="spellEnd"/>
      <w:r w:rsidRPr="001D0B5B">
        <w:rPr>
          <w:rFonts w:ascii="Times New Roman" w:hAnsi="Times New Roman" w:cs="Times New Roman"/>
          <w:sz w:val="24"/>
          <w:szCs w:val="24"/>
        </w:rPr>
        <w:t>, M. H. (2021). General diagnostic tests for cross-sectional dependence in panels. </w:t>
      </w:r>
      <w:r w:rsidRPr="001D0B5B">
        <w:rPr>
          <w:rFonts w:ascii="Times New Roman" w:hAnsi="Times New Roman" w:cs="Times New Roman"/>
          <w:i/>
          <w:iCs/>
          <w:sz w:val="24"/>
          <w:szCs w:val="24"/>
        </w:rPr>
        <w:t>Empirical economics</w:t>
      </w:r>
      <w:r w:rsidRPr="001D0B5B">
        <w:rPr>
          <w:rFonts w:ascii="Times New Roman" w:hAnsi="Times New Roman" w:cs="Times New Roman"/>
          <w:sz w:val="24"/>
          <w:szCs w:val="24"/>
        </w:rPr>
        <w:t>, </w:t>
      </w:r>
      <w:r w:rsidRPr="001D0B5B">
        <w:rPr>
          <w:rFonts w:ascii="Times New Roman" w:hAnsi="Times New Roman" w:cs="Times New Roman"/>
          <w:i/>
          <w:iCs/>
          <w:sz w:val="24"/>
          <w:szCs w:val="24"/>
        </w:rPr>
        <w:t>60</w:t>
      </w:r>
      <w:r w:rsidRPr="001D0B5B">
        <w:rPr>
          <w:rFonts w:ascii="Times New Roman" w:hAnsi="Times New Roman" w:cs="Times New Roman"/>
          <w:sz w:val="24"/>
          <w:szCs w:val="24"/>
        </w:rPr>
        <w:t>(1), 13-50.</w:t>
      </w:r>
      <w:r w:rsidR="00D9741D" w:rsidRPr="001D0B5B">
        <w:rPr>
          <w:rFonts w:ascii="Times New Roman" w:hAnsi="Times New Roman" w:cs="Times New Roman"/>
          <w:sz w:val="24"/>
          <w:szCs w:val="24"/>
        </w:rPr>
        <w:t xml:space="preserve"> </w:t>
      </w:r>
      <w:hyperlink r:id="rId72" w:history="1">
        <w:r w:rsidR="00D9741D" w:rsidRPr="001D0B5B">
          <w:rPr>
            <w:rStyle w:val="Hyperlink"/>
            <w:rFonts w:ascii="Times New Roman" w:hAnsi="Times New Roman" w:cs="Times New Roman"/>
            <w:color w:val="auto"/>
            <w:sz w:val="24"/>
            <w:szCs w:val="24"/>
            <w:u w:val="none"/>
          </w:rPr>
          <w:t>https://doi.org/10.1007/s00181-020-01875-7</w:t>
        </w:r>
      </w:hyperlink>
    </w:p>
    <w:p w14:paraId="77A622E0" w14:textId="7226A5EB"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Pourroy, M., Carton, B., &amp; Coulibaly, D. (2016). Food prices and inflation targeting in emerging economies. </w:t>
      </w:r>
      <w:r w:rsidRPr="001D0B5B">
        <w:rPr>
          <w:rFonts w:ascii="Times New Roman" w:eastAsia="Times New Roman" w:hAnsi="Times New Roman" w:cs="Times New Roman"/>
          <w:i/>
          <w:iCs/>
          <w:sz w:val="24"/>
          <w:szCs w:val="24"/>
        </w:rPr>
        <w:t>International Economics</w:t>
      </w:r>
      <w:r w:rsidRPr="001D0B5B">
        <w:rPr>
          <w:rFonts w:ascii="Times New Roman" w:eastAsia="Times New Roman" w:hAnsi="Times New Roman" w:cs="Times New Roman"/>
          <w:sz w:val="24"/>
          <w:szCs w:val="24"/>
        </w:rPr>
        <w:t>, </w:t>
      </w:r>
      <w:r w:rsidRPr="001D0B5B">
        <w:rPr>
          <w:rFonts w:ascii="Times New Roman" w:eastAsia="Times New Roman" w:hAnsi="Times New Roman" w:cs="Times New Roman"/>
          <w:i/>
          <w:iCs/>
          <w:sz w:val="24"/>
          <w:szCs w:val="24"/>
        </w:rPr>
        <w:t>146</w:t>
      </w:r>
      <w:r w:rsidRPr="001D0B5B">
        <w:rPr>
          <w:rFonts w:ascii="Times New Roman" w:eastAsia="Times New Roman" w:hAnsi="Times New Roman" w:cs="Times New Roman"/>
          <w:sz w:val="24"/>
          <w:szCs w:val="24"/>
        </w:rPr>
        <w:t>, 108-140.</w:t>
      </w:r>
      <w:r w:rsidR="00D9741D" w:rsidRPr="001D0B5B">
        <w:rPr>
          <w:rFonts w:ascii="Times New Roman" w:eastAsia="Times New Roman" w:hAnsi="Times New Roman" w:cs="Times New Roman"/>
          <w:sz w:val="24"/>
          <w:szCs w:val="24"/>
        </w:rPr>
        <w:t xml:space="preserve"> </w:t>
      </w:r>
      <w:hyperlink r:id="rId73" w:history="1">
        <w:r w:rsidR="00D9741D" w:rsidRPr="001D0B5B">
          <w:rPr>
            <w:rStyle w:val="Hyperlink"/>
            <w:rFonts w:ascii="Times New Roman" w:eastAsia="Times New Roman" w:hAnsi="Times New Roman" w:cs="Times New Roman"/>
            <w:color w:val="auto"/>
            <w:sz w:val="24"/>
            <w:szCs w:val="24"/>
            <w:u w:val="none"/>
          </w:rPr>
          <w:t>https://doi.org/10.1016/j.inteco.2015.12.001</w:t>
        </w:r>
      </w:hyperlink>
    </w:p>
    <w:p w14:paraId="59C56E08" w14:textId="242A5553"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Rivera, J. P. R., &amp; </w:t>
      </w:r>
      <w:proofErr w:type="spellStart"/>
      <w:r w:rsidRPr="001D0B5B">
        <w:rPr>
          <w:rFonts w:ascii="Times New Roman" w:eastAsia="Times New Roman" w:hAnsi="Times New Roman" w:cs="Times New Roman"/>
          <w:sz w:val="24"/>
          <w:szCs w:val="24"/>
        </w:rPr>
        <w:t>Tullao</w:t>
      </w:r>
      <w:proofErr w:type="spellEnd"/>
      <w:r w:rsidRPr="001D0B5B">
        <w:rPr>
          <w:rFonts w:ascii="Times New Roman" w:eastAsia="Times New Roman" w:hAnsi="Times New Roman" w:cs="Times New Roman"/>
          <w:sz w:val="24"/>
          <w:szCs w:val="24"/>
        </w:rPr>
        <w:t xml:space="preserve"> Jr, T. S. (2020). Investigating the link between remittances and inflation: evidence from the Philippines. </w:t>
      </w:r>
      <w:proofErr w:type="gramStart"/>
      <w:r w:rsidRPr="001D0B5B">
        <w:rPr>
          <w:rFonts w:ascii="Times New Roman" w:eastAsia="Times New Roman" w:hAnsi="Times New Roman" w:cs="Times New Roman"/>
          <w:i/>
          <w:iCs/>
          <w:sz w:val="24"/>
          <w:szCs w:val="24"/>
        </w:rPr>
        <w:t>South East</w:t>
      </w:r>
      <w:proofErr w:type="gramEnd"/>
      <w:r w:rsidRPr="001D0B5B">
        <w:rPr>
          <w:rFonts w:ascii="Times New Roman" w:eastAsia="Times New Roman" w:hAnsi="Times New Roman" w:cs="Times New Roman"/>
          <w:i/>
          <w:iCs/>
          <w:sz w:val="24"/>
          <w:szCs w:val="24"/>
        </w:rPr>
        <w:t xml:space="preserve"> Asia Research</w:t>
      </w:r>
      <w:r w:rsidRPr="001D0B5B">
        <w:rPr>
          <w:rFonts w:ascii="Times New Roman" w:eastAsia="Times New Roman" w:hAnsi="Times New Roman" w:cs="Times New Roman"/>
          <w:sz w:val="24"/>
          <w:szCs w:val="24"/>
        </w:rPr>
        <w:t>, </w:t>
      </w:r>
      <w:r w:rsidRPr="001D0B5B">
        <w:rPr>
          <w:rFonts w:ascii="Times New Roman" w:eastAsia="Times New Roman" w:hAnsi="Times New Roman" w:cs="Times New Roman"/>
          <w:i/>
          <w:iCs/>
          <w:sz w:val="24"/>
          <w:szCs w:val="24"/>
        </w:rPr>
        <w:t>28</w:t>
      </w:r>
      <w:r w:rsidRPr="001D0B5B">
        <w:rPr>
          <w:rFonts w:ascii="Times New Roman" w:eastAsia="Times New Roman" w:hAnsi="Times New Roman" w:cs="Times New Roman"/>
          <w:sz w:val="24"/>
          <w:szCs w:val="24"/>
        </w:rPr>
        <w:t>(3), 301-326.</w:t>
      </w:r>
      <w:r w:rsidR="00D9741D" w:rsidRPr="001D0B5B">
        <w:rPr>
          <w:rFonts w:ascii="Times New Roman" w:eastAsia="Times New Roman" w:hAnsi="Times New Roman" w:cs="Times New Roman"/>
          <w:sz w:val="24"/>
          <w:szCs w:val="24"/>
        </w:rPr>
        <w:t xml:space="preserve"> </w:t>
      </w:r>
      <w:hyperlink r:id="rId74" w:history="1">
        <w:r w:rsidR="00D9741D" w:rsidRPr="001D0B5B">
          <w:rPr>
            <w:rStyle w:val="Hyperlink"/>
            <w:rFonts w:ascii="Times New Roman" w:eastAsia="Times New Roman" w:hAnsi="Times New Roman" w:cs="Times New Roman"/>
            <w:color w:val="auto"/>
            <w:sz w:val="24"/>
            <w:szCs w:val="24"/>
            <w:u w:val="none"/>
          </w:rPr>
          <w:t>https://doi.org/10.1080/0967828X.2020.1793685</w:t>
        </w:r>
      </w:hyperlink>
    </w:p>
    <w:p w14:paraId="34188A73" w14:textId="6445C911"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 xml:space="preserve">Sethi, C. &amp; Mishra, B. R. (2024). Is inflation targeting effective? Lessons from global financial crisis and COVID-19 pandemic. </w:t>
      </w:r>
      <w:r w:rsidRPr="001D0B5B">
        <w:rPr>
          <w:rFonts w:ascii="Times New Roman" w:eastAsia="Times New Roman" w:hAnsi="Times New Roman" w:cs="Times New Roman"/>
          <w:i/>
          <w:iCs/>
          <w:sz w:val="24"/>
          <w:szCs w:val="24"/>
        </w:rPr>
        <w:t>International Journal of Finance &amp; Economics</w:t>
      </w:r>
      <w:r w:rsidRPr="001D0B5B">
        <w:rPr>
          <w:rFonts w:ascii="Times New Roman" w:eastAsia="Times New Roman" w:hAnsi="Times New Roman" w:cs="Times New Roman"/>
          <w:sz w:val="24"/>
          <w:szCs w:val="24"/>
        </w:rPr>
        <w:t xml:space="preserve">. Advance online publication. </w:t>
      </w:r>
      <w:hyperlink r:id="rId75" w:history="1">
        <w:r w:rsidRPr="001D0B5B">
          <w:rPr>
            <w:rStyle w:val="Hyperlink"/>
            <w:rFonts w:ascii="Times New Roman" w:hAnsi="Times New Roman" w:cs="Times New Roman"/>
            <w:color w:val="auto"/>
            <w:sz w:val="24"/>
            <w:szCs w:val="24"/>
            <w:u w:val="none"/>
          </w:rPr>
          <w:t>https://doi.org/10.1002/ijfe.3018</w:t>
        </w:r>
      </w:hyperlink>
      <w:r w:rsidRPr="001D0B5B">
        <w:rPr>
          <w:rFonts w:ascii="Times New Roman" w:eastAsia="Times New Roman" w:hAnsi="Times New Roman" w:cs="Times New Roman"/>
          <w:sz w:val="24"/>
          <w:szCs w:val="24"/>
        </w:rPr>
        <w:t xml:space="preserve">  </w:t>
      </w:r>
    </w:p>
    <w:p w14:paraId="67567A11" w14:textId="4CCBB979"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Silva, J. S., &amp; Cardoso, F. N. (2001). The Chow-Lin method using dynamic models. </w:t>
      </w:r>
      <w:r w:rsidRPr="001D0B5B">
        <w:rPr>
          <w:rFonts w:ascii="Times New Roman" w:eastAsia="Times New Roman" w:hAnsi="Times New Roman" w:cs="Times New Roman"/>
          <w:i/>
          <w:iCs/>
          <w:sz w:val="24"/>
          <w:szCs w:val="24"/>
        </w:rPr>
        <w:t>Economic modelling</w:t>
      </w:r>
      <w:r w:rsidRPr="001D0B5B">
        <w:rPr>
          <w:rFonts w:ascii="Times New Roman" w:eastAsia="Times New Roman" w:hAnsi="Times New Roman" w:cs="Times New Roman"/>
          <w:sz w:val="24"/>
          <w:szCs w:val="24"/>
        </w:rPr>
        <w:t>, </w:t>
      </w:r>
      <w:r w:rsidRPr="001D0B5B">
        <w:rPr>
          <w:rFonts w:ascii="Times New Roman" w:eastAsia="Times New Roman" w:hAnsi="Times New Roman" w:cs="Times New Roman"/>
          <w:i/>
          <w:iCs/>
          <w:sz w:val="24"/>
          <w:szCs w:val="24"/>
        </w:rPr>
        <w:t>18</w:t>
      </w:r>
      <w:r w:rsidRPr="001D0B5B">
        <w:rPr>
          <w:rFonts w:ascii="Times New Roman" w:eastAsia="Times New Roman" w:hAnsi="Times New Roman" w:cs="Times New Roman"/>
          <w:sz w:val="24"/>
          <w:szCs w:val="24"/>
        </w:rPr>
        <w:t>(2), 269-280.</w:t>
      </w:r>
      <w:r w:rsidR="00D9741D" w:rsidRPr="001D0B5B">
        <w:rPr>
          <w:rFonts w:ascii="Times New Roman" w:eastAsia="Times New Roman" w:hAnsi="Times New Roman" w:cs="Times New Roman"/>
          <w:sz w:val="24"/>
          <w:szCs w:val="24"/>
        </w:rPr>
        <w:t xml:space="preserve"> </w:t>
      </w:r>
      <w:hyperlink r:id="rId76" w:history="1">
        <w:r w:rsidR="00D9741D" w:rsidRPr="001D0B5B">
          <w:rPr>
            <w:rStyle w:val="Hyperlink"/>
            <w:rFonts w:ascii="Times New Roman" w:eastAsia="Times New Roman" w:hAnsi="Times New Roman" w:cs="Times New Roman"/>
            <w:color w:val="auto"/>
            <w:sz w:val="24"/>
            <w:szCs w:val="24"/>
            <w:u w:val="none"/>
          </w:rPr>
          <w:t>https://doi.org/10.1016/S0264-9993(00)00039-0</w:t>
        </w:r>
      </w:hyperlink>
    </w:p>
    <w:p w14:paraId="3F6FC1B0" w14:textId="78F6D3B1" w:rsidR="004E2B5B" w:rsidRPr="001D0B5B" w:rsidRDefault="004E2B5B" w:rsidP="004468B0">
      <w:pPr>
        <w:ind w:left="720" w:hanging="720"/>
        <w:rPr>
          <w:rFonts w:ascii="Times New Roman" w:eastAsia="Times New Roman" w:hAnsi="Times New Roman" w:cs="Times New Roman"/>
          <w:sz w:val="24"/>
          <w:szCs w:val="24"/>
        </w:rPr>
      </w:pPr>
      <w:r w:rsidRPr="001D0B5B">
        <w:rPr>
          <w:rFonts w:ascii="Times New Roman" w:eastAsia="Times New Roman" w:hAnsi="Times New Roman" w:cs="Times New Roman"/>
          <w:sz w:val="24"/>
          <w:szCs w:val="24"/>
        </w:rPr>
        <w:t>Taylor, J. B. (2000). Low inflation, pass-through, and the pricing power of firms. </w:t>
      </w:r>
      <w:r w:rsidRPr="001D0B5B">
        <w:rPr>
          <w:rFonts w:ascii="Times New Roman" w:eastAsia="Times New Roman" w:hAnsi="Times New Roman" w:cs="Times New Roman"/>
          <w:i/>
          <w:iCs/>
          <w:sz w:val="24"/>
          <w:szCs w:val="24"/>
        </w:rPr>
        <w:t>European Economic Review</w:t>
      </w:r>
      <w:r w:rsidRPr="001D0B5B">
        <w:rPr>
          <w:rFonts w:ascii="Times New Roman" w:eastAsia="Times New Roman" w:hAnsi="Times New Roman" w:cs="Times New Roman"/>
          <w:sz w:val="24"/>
          <w:szCs w:val="24"/>
        </w:rPr>
        <w:t>, </w:t>
      </w:r>
      <w:r w:rsidRPr="001D0B5B">
        <w:rPr>
          <w:rFonts w:ascii="Times New Roman" w:eastAsia="Times New Roman" w:hAnsi="Times New Roman" w:cs="Times New Roman"/>
          <w:i/>
          <w:iCs/>
          <w:sz w:val="24"/>
          <w:szCs w:val="24"/>
        </w:rPr>
        <w:t>44</w:t>
      </w:r>
      <w:r w:rsidRPr="001D0B5B">
        <w:rPr>
          <w:rFonts w:ascii="Times New Roman" w:eastAsia="Times New Roman" w:hAnsi="Times New Roman" w:cs="Times New Roman"/>
          <w:sz w:val="24"/>
          <w:szCs w:val="24"/>
        </w:rPr>
        <w:t>(7), 1389-1408.</w:t>
      </w:r>
      <w:r w:rsidR="00D9741D" w:rsidRPr="001D0B5B">
        <w:rPr>
          <w:rFonts w:ascii="Times New Roman" w:eastAsia="Times New Roman" w:hAnsi="Times New Roman" w:cs="Times New Roman"/>
          <w:sz w:val="24"/>
          <w:szCs w:val="24"/>
        </w:rPr>
        <w:t xml:space="preserve"> </w:t>
      </w:r>
      <w:hyperlink r:id="rId77" w:history="1">
        <w:r w:rsidR="00D9741D" w:rsidRPr="001D0B5B">
          <w:rPr>
            <w:rStyle w:val="Hyperlink"/>
            <w:rFonts w:ascii="Times New Roman" w:eastAsia="Times New Roman" w:hAnsi="Times New Roman" w:cs="Times New Roman"/>
            <w:color w:val="auto"/>
            <w:sz w:val="24"/>
            <w:szCs w:val="24"/>
            <w:u w:val="none"/>
          </w:rPr>
          <w:t>https://doi.org/10.1016/S0014-2921(00)00037-4</w:t>
        </w:r>
      </w:hyperlink>
    </w:p>
    <w:p w14:paraId="17FF7A48" w14:textId="77777777" w:rsidR="004E2B5B" w:rsidRPr="001D0B5B" w:rsidRDefault="004E2B5B" w:rsidP="004468B0">
      <w:pPr>
        <w:ind w:left="720" w:hanging="720"/>
        <w:rPr>
          <w:rFonts w:ascii="Times New Roman" w:eastAsia="Times New Roman" w:hAnsi="Times New Roman" w:cs="Times New Roman"/>
          <w:spacing w:val="-4"/>
          <w:sz w:val="24"/>
          <w:szCs w:val="24"/>
        </w:rPr>
      </w:pPr>
      <w:r w:rsidRPr="001D0B5B">
        <w:rPr>
          <w:rFonts w:ascii="Times New Roman" w:eastAsia="Times New Roman" w:hAnsi="Times New Roman" w:cs="Times New Roman"/>
          <w:spacing w:val="-4"/>
          <w:sz w:val="24"/>
          <w:szCs w:val="24"/>
        </w:rPr>
        <w:t xml:space="preserve">Valera, H. G., </w:t>
      </w:r>
      <w:proofErr w:type="spellStart"/>
      <w:r w:rsidRPr="001D0B5B">
        <w:rPr>
          <w:rFonts w:ascii="Times New Roman" w:eastAsia="Times New Roman" w:hAnsi="Times New Roman" w:cs="Times New Roman"/>
          <w:spacing w:val="-4"/>
          <w:sz w:val="24"/>
          <w:szCs w:val="24"/>
        </w:rPr>
        <w:t>Balié</w:t>
      </w:r>
      <w:proofErr w:type="spellEnd"/>
      <w:r w:rsidRPr="001D0B5B">
        <w:rPr>
          <w:rFonts w:ascii="Times New Roman" w:eastAsia="Times New Roman" w:hAnsi="Times New Roman" w:cs="Times New Roman"/>
          <w:spacing w:val="-4"/>
          <w:sz w:val="24"/>
          <w:szCs w:val="24"/>
        </w:rPr>
        <w:t xml:space="preserve">, J., &amp; Magrini, E. (2022). Is rice price a major source of inflation in the Philippines? A panel data analysis. </w:t>
      </w:r>
      <w:r w:rsidRPr="001D0B5B">
        <w:rPr>
          <w:rFonts w:ascii="Times New Roman" w:eastAsia="Times New Roman" w:hAnsi="Times New Roman" w:cs="Times New Roman"/>
          <w:i/>
          <w:iCs/>
          <w:spacing w:val="-4"/>
          <w:sz w:val="24"/>
          <w:szCs w:val="24"/>
        </w:rPr>
        <w:t>Applied Economics Letters, 29</w:t>
      </w:r>
      <w:r w:rsidRPr="001D0B5B">
        <w:rPr>
          <w:rFonts w:ascii="Times New Roman" w:eastAsia="Times New Roman" w:hAnsi="Times New Roman" w:cs="Times New Roman"/>
          <w:spacing w:val="-4"/>
          <w:sz w:val="24"/>
          <w:szCs w:val="24"/>
        </w:rPr>
        <w:t xml:space="preserve">(16), 1528–1532. </w:t>
      </w:r>
    </w:p>
    <w:p w14:paraId="3F02D6AD" w14:textId="2313C1EC" w:rsidR="004E2B5B" w:rsidRPr="001D0B5B" w:rsidRDefault="004E2B5B" w:rsidP="004468B0">
      <w:pPr>
        <w:ind w:left="720"/>
        <w:rPr>
          <w:rFonts w:ascii="Times New Roman" w:eastAsia="Times New Roman" w:hAnsi="Times New Roman" w:cs="Times New Roman"/>
          <w:sz w:val="24"/>
          <w:szCs w:val="24"/>
        </w:rPr>
      </w:pPr>
      <w:hyperlink r:id="rId78" w:history="1">
        <w:r w:rsidRPr="001D0B5B">
          <w:rPr>
            <w:rStyle w:val="Hyperlink"/>
            <w:rFonts w:ascii="Times New Roman" w:hAnsi="Times New Roman" w:cs="Times New Roman"/>
            <w:color w:val="auto"/>
            <w:sz w:val="24"/>
            <w:szCs w:val="24"/>
            <w:u w:val="none"/>
          </w:rPr>
          <w:t>https://doi.org/10.1080/13504851.2021.1946470</w:t>
        </w:r>
      </w:hyperlink>
    </w:p>
    <w:p w14:paraId="096300F4" w14:textId="0DEF7D6B" w:rsidR="004E2B5B" w:rsidRPr="00D6728E" w:rsidRDefault="004E2B5B" w:rsidP="009D14B5">
      <w:pPr>
        <w:ind w:left="709" w:hanging="709"/>
        <w:rPr>
          <w:rFonts w:ascii="Montserrat" w:eastAsia="Times New Roman" w:hAnsi="Montserrat" w:cs="Times New Roman"/>
          <w:sz w:val="22"/>
          <w:szCs w:val="22"/>
        </w:rPr>
      </w:pPr>
      <w:r w:rsidRPr="001D0B5B">
        <w:rPr>
          <w:rFonts w:ascii="Times New Roman" w:eastAsia="Times New Roman" w:hAnsi="Times New Roman" w:cs="Times New Roman"/>
          <w:sz w:val="24"/>
          <w:szCs w:val="24"/>
        </w:rPr>
        <w:t>Zhang, J., &amp; Malikov, E. (2022). Off-balance sheet activities and scope economies in US banking. </w:t>
      </w:r>
      <w:r w:rsidRPr="001D0B5B">
        <w:rPr>
          <w:rFonts w:ascii="Times New Roman" w:eastAsia="Times New Roman" w:hAnsi="Times New Roman" w:cs="Times New Roman"/>
          <w:i/>
          <w:iCs/>
          <w:sz w:val="24"/>
          <w:szCs w:val="24"/>
        </w:rPr>
        <w:t>Journal of Banking &amp; Finance</w:t>
      </w:r>
      <w:r w:rsidRPr="001D0B5B">
        <w:rPr>
          <w:rFonts w:ascii="Times New Roman" w:eastAsia="Times New Roman" w:hAnsi="Times New Roman" w:cs="Times New Roman"/>
          <w:sz w:val="24"/>
          <w:szCs w:val="24"/>
        </w:rPr>
        <w:t>, </w:t>
      </w:r>
      <w:r w:rsidRPr="001D0B5B">
        <w:rPr>
          <w:rFonts w:ascii="Times New Roman" w:eastAsia="Times New Roman" w:hAnsi="Times New Roman" w:cs="Times New Roman"/>
          <w:i/>
          <w:iCs/>
          <w:sz w:val="24"/>
          <w:szCs w:val="24"/>
        </w:rPr>
        <w:t>141</w:t>
      </w:r>
      <w:r w:rsidRPr="001D0B5B">
        <w:rPr>
          <w:rFonts w:ascii="Times New Roman" w:eastAsia="Times New Roman" w:hAnsi="Times New Roman" w:cs="Times New Roman"/>
          <w:sz w:val="24"/>
          <w:szCs w:val="24"/>
        </w:rPr>
        <w:t>, 106534.</w:t>
      </w:r>
      <w:r w:rsidR="00D9741D" w:rsidRPr="001D0B5B">
        <w:rPr>
          <w:rFonts w:ascii="Times New Roman" w:eastAsia="Times New Roman" w:hAnsi="Times New Roman" w:cs="Times New Roman"/>
          <w:sz w:val="24"/>
          <w:szCs w:val="24"/>
        </w:rPr>
        <w:t xml:space="preserve"> </w:t>
      </w:r>
      <w:hyperlink r:id="rId79" w:history="1">
        <w:r w:rsidR="00D9741D" w:rsidRPr="001D0B5B">
          <w:rPr>
            <w:rStyle w:val="Hyperlink"/>
            <w:rFonts w:ascii="Times New Roman" w:eastAsia="Times New Roman" w:hAnsi="Times New Roman" w:cs="Times New Roman"/>
            <w:color w:val="auto"/>
            <w:sz w:val="24"/>
            <w:szCs w:val="24"/>
            <w:u w:val="none"/>
          </w:rPr>
          <w:t>https://doi.org/10.1016/j.jbankfin.2022.106534</w:t>
        </w:r>
      </w:hyperlink>
      <w:r w:rsidRPr="00D6728E">
        <w:rPr>
          <w:rFonts w:ascii="Montserrat" w:eastAsia="Times New Roman" w:hAnsi="Montserrat" w:cs="Times New Roman"/>
          <w:sz w:val="22"/>
          <w:szCs w:val="22"/>
        </w:rPr>
        <w:br w:type="page"/>
      </w:r>
    </w:p>
    <w:p w14:paraId="3FECDA0A" w14:textId="07AA11B4" w:rsidR="004E2B5B" w:rsidRPr="001D0B5B" w:rsidRDefault="001D0B5B" w:rsidP="004468B0">
      <w:pPr>
        <w:rPr>
          <w:rFonts w:ascii="Times New Roman" w:hAnsi="Times New Roman" w:cs="Times New Roman"/>
          <w:b/>
          <w:bCs/>
          <w:sz w:val="24"/>
          <w:szCs w:val="24"/>
        </w:rPr>
      </w:pPr>
      <w:r w:rsidRPr="001D0B5B">
        <w:rPr>
          <w:rFonts w:ascii="Times New Roman" w:hAnsi="Times New Roman" w:cs="Times New Roman"/>
          <w:b/>
          <w:bCs/>
          <w:sz w:val="24"/>
          <w:szCs w:val="24"/>
        </w:rPr>
        <w:lastRenderedPageBreak/>
        <w:t>Appendix</w:t>
      </w:r>
    </w:p>
    <w:p w14:paraId="7EF153C5" w14:textId="77777777" w:rsidR="001D0B5B" w:rsidRPr="001D0B5B" w:rsidRDefault="001D0B5B" w:rsidP="004468B0">
      <w:pPr>
        <w:rPr>
          <w:rFonts w:ascii="Times New Roman" w:hAnsi="Times New Roman" w:cs="Times New Roman"/>
          <w:sz w:val="24"/>
          <w:szCs w:val="24"/>
        </w:rPr>
      </w:pPr>
    </w:p>
    <w:p w14:paraId="21105617" w14:textId="4F8435A1" w:rsidR="004E2B5B" w:rsidRPr="0026312D" w:rsidRDefault="004E2B5B" w:rsidP="004E2B5B">
      <w:pPr>
        <w:jc w:val="center"/>
        <w:rPr>
          <w:rFonts w:ascii="Times New Roman" w:eastAsia="Arial" w:hAnsi="Times New Roman" w:cs="Times New Roman"/>
          <w:b/>
          <w:bCs/>
          <w:sz w:val="22"/>
          <w:szCs w:val="22"/>
        </w:rPr>
      </w:pPr>
      <w:r w:rsidRPr="0026312D">
        <w:rPr>
          <w:rFonts w:ascii="Times New Roman" w:eastAsia="Arial" w:hAnsi="Times New Roman" w:cs="Times New Roman"/>
          <w:b/>
          <w:bCs/>
          <w:sz w:val="22"/>
          <w:szCs w:val="22"/>
        </w:rPr>
        <w:t>Table 1-A. Sample Provinces Description, Poverty Incidence,</w:t>
      </w:r>
      <w:r w:rsidR="004468B0">
        <w:rPr>
          <w:rFonts w:ascii="Times New Roman" w:eastAsia="Arial" w:hAnsi="Times New Roman" w:cs="Times New Roman"/>
          <w:b/>
          <w:bCs/>
          <w:sz w:val="22"/>
          <w:szCs w:val="22"/>
        </w:rPr>
        <w:t xml:space="preserve"> </w:t>
      </w:r>
      <w:r w:rsidRPr="0026312D">
        <w:rPr>
          <w:rFonts w:ascii="Times New Roman" w:eastAsia="Arial" w:hAnsi="Times New Roman" w:cs="Times New Roman"/>
          <w:b/>
          <w:bCs/>
          <w:sz w:val="22"/>
          <w:szCs w:val="22"/>
        </w:rPr>
        <w:t>and Rice Self-sufficiency Level</w:t>
      </w:r>
    </w:p>
    <w:p w14:paraId="05C84952" w14:textId="77777777" w:rsidR="004E2B5B" w:rsidRPr="00D6728E" w:rsidRDefault="004E2B5B" w:rsidP="004E2B5B">
      <w:pPr>
        <w:spacing w:line="260" w:lineRule="auto"/>
        <w:jc w:val="center"/>
        <w:rPr>
          <w:rFonts w:ascii="Montserrat" w:eastAsia="Arial" w:hAnsi="Montserrat" w:cs="Times New Roman"/>
          <w:b/>
          <w:bCs/>
          <w:sz w:val="6"/>
          <w:szCs w:val="6"/>
        </w:rPr>
      </w:pPr>
    </w:p>
    <w:tbl>
      <w:tblPr>
        <w:tblW w:w="5000" w:type="pct"/>
        <w:tblLook w:val="04A0" w:firstRow="1" w:lastRow="0" w:firstColumn="1" w:lastColumn="0" w:noHBand="0" w:noVBand="1"/>
      </w:tblPr>
      <w:tblGrid>
        <w:gridCol w:w="2258"/>
        <w:gridCol w:w="1463"/>
        <w:gridCol w:w="222"/>
        <w:gridCol w:w="616"/>
        <w:gridCol w:w="619"/>
        <w:gridCol w:w="679"/>
        <w:gridCol w:w="751"/>
        <w:gridCol w:w="222"/>
        <w:gridCol w:w="892"/>
        <w:gridCol w:w="1304"/>
      </w:tblGrid>
      <w:tr w:rsidR="004E2B5B" w:rsidRPr="00D6728E" w14:paraId="7BF49DF7" w14:textId="77777777" w:rsidTr="0089094B">
        <w:trPr>
          <w:trHeight w:val="170"/>
        </w:trPr>
        <w:tc>
          <w:tcPr>
            <w:tcW w:w="1251" w:type="pct"/>
            <w:tcBorders>
              <w:top w:val="single" w:sz="4" w:space="0" w:color="auto"/>
              <w:left w:val="nil"/>
              <w:bottom w:val="single" w:sz="4" w:space="0" w:color="auto"/>
              <w:right w:val="nil"/>
            </w:tcBorders>
            <w:shd w:val="clear" w:color="auto" w:fill="auto"/>
            <w:noWrap/>
            <w:tcMar>
              <w:top w:w="28" w:type="dxa"/>
              <w:bottom w:w="28" w:type="dxa"/>
            </w:tcMar>
            <w:hideMark/>
          </w:tcPr>
          <w:p w14:paraId="6FB18509"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Province</w:t>
            </w:r>
          </w:p>
        </w:tc>
        <w:tc>
          <w:tcPr>
            <w:tcW w:w="810" w:type="pct"/>
            <w:tcBorders>
              <w:top w:val="single" w:sz="4" w:space="0" w:color="auto"/>
              <w:left w:val="nil"/>
              <w:bottom w:val="single" w:sz="4" w:space="0" w:color="auto"/>
              <w:right w:val="nil"/>
            </w:tcBorders>
            <w:shd w:val="clear" w:color="auto" w:fill="auto"/>
            <w:noWrap/>
            <w:tcMar>
              <w:top w:w="28" w:type="dxa"/>
              <w:bottom w:w="28" w:type="dxa"/>
            </w:tcMar>
            <w:hideMark/>
          </w:tcPr>
          <w:p w14:paraId="08499798" w14:textId="77777777" w:rsidR="004E2B5B" w:rsidRPr="0026312D" w:rsidRDefault="004E2B5B" w:rsidP="00532745">
            <w:pPr>
              <w:jc w:val="center"/>
              <w:rPr>
                <w:rFonts w:ascii="Times New Roman" w:hAnsi="Times New Roman" w:cs="Times New Roman"/>
                <w:b/>
                <w:bCs/>
                <w:color w:val="000000"/>
                <w:sz w:val="22"/>
                <w:szCs w:val="22"/>
              </w:rPr>
            </w:pPr>
          </w:p>
        </w:tc>
        <w:tc>
          <w:tcPr>
            <w:tcW w:w="123" w:type="pct"/>
            <w:tcBorders>
              <w:top w:val="single" w:sz="4" w:space="0" w:color="auto"/>
              <w:left w:val="nil"/>
              <w:bottom w:val="nil"/>
              <w:right w:val="nil"/>
            </w:tcBorders>
            <w:shd w:val="clear" w:color="auto" w:fill="auto"/>
            <w:noWrap/>
            <w:tcMar>
              <w:top w:w="28" w:type="dxa"/>
              <w:bottom w:w="28" w:type="dxa"/>
            </w:tcMar>
            <w:hideMark/>
          </w:tcPr>
          <w:p w14:paraId="0A49564C" w14:textId="77777777" w:rsidR="004E2B5B" w:rsidRPr="0026312D" w:rsidRDefault="004E2B5B" w:rsidP="00532745">
            <w:pPr>
              <w:jc w:val="center"/>
              <w:rPr>
                <w:rFonts w:ascii="Times New Roman" w:hAnsi="Times New Roman" w:cs="Times New Roman"/>
                <w:b/>
                <w:bCs/>
                <w:color w:val="000000"/>
                <w:sz w:val="22"/>
                <w:szCs w:val="22"/>
              </w:rPr>
            </w:pPr>
          </w:p>
        </w:tc>
        <w:tc>
          <w:tcPr>
            <w:tcW w:w="1477" w:type="pct"/>
            <w:gridSpan w:val="4"/>
            <w:tcBorders>
              <w:top w:val="single" w:sz="4" w:space="0" w:color="auto"/>
              <w:left w:val="nil"/>
              <w:bottom w:val="single" w:sz="4" w:space="0" w:color="auto"/>
              <w:right w:val="nil"/>
            </w:tcBorders>
            <w:shd w:val="clear" w:color="auto" w:fill="auto"/>
            <w:noWrap/>
            <w:tcMar>
              <w:top w:w="28" w:type="dxa"/>
              <w:bottom w:w="28" w:type="dxa"/>
            </w:tcMar>
            <w:hideMark/>
          </w:tcPr>
          <w:p w14:paraId="3A805E4D" w14:textId="3E930E72"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 xml:space="preserve">Incidence of </w:t>
            </w:r>
            <w:r w:rsidRPr="004468B0">
              <w:rPr>
                <w:rFonts w:ascii="Times New Roman" w:hAnsi="Times New Roman" w:cs="Times New Roman"/>
                <w:b/>
                <w:bCs/>
                <w:color w:val="000000"/>
                <w:sz w:val="22"/>
                <w:szCs w:val="22"/>
              </w:rPr>
              <w:t>poverty</w:t>
            </w:r>
            <w:r w:rsidR="004468B0" w:rsidRPr="004468B0">
              <w:rPr>
                <w:rFonts w:ascii="Times New Roman" w:hAnsi="Times New Roman" w:cs="Times New Roman"/>
                <w:b/>
                <w:bCs/>
                <w:color w:val="000000"/>
                <w:sz w:val="22"/>
                <w:szCs w:val="22"/>
              </w:rPr>
              <w:t xml:space="preserve"> (%)</w:t>
            </w:r>
          </w:p>
        </w:tc>
        <w:tc>
          <w:tcPr>
            <w:tcW w:w="123" w:type="pct"/>
            <w:tcBorders>
              <w:top w:val="single" w:sz="4" w:space="0" w:color="auto"/>
              <w:left w:val="nil"/>
              <w:bottom w:val="nil"/>
              <w:right w:val="nil"/>
            </w:tcBorders>
            <w:shd w:val="clear" w:color="auto" w:fill="auto"/>
            <w:noWrap/>
            <w:tcMar>
              <w:top w:w="28" w:type="dxa"/>
              <w:bottom w:w="28" w:type="dxa"/>
            </w:tcMar>
            <w:hideMark/>
          </w:tcPr>
          <w:p w14:paraId="69AE8EC1" w14:textId="77777777" w:rsidR="004E2B5B" w:rsidRPr="0026312D" w:rsidRDefault="004E2B5B" w:rsidP="00532745">
            <w:pPr>
              <w:jc w:val="center"/>
              <w:rPr>
                <w:rFonts w:ascii="Times New Roman" w:hAnsi="Times New Roman" w:cs="Times New Roman"/>
                <w:b/>
                <w:bCs/>
                <w:color w:val="000000"/>
                <w:sz w:val="22"/>
                <w:szCs w:val="22"/>
              </w:rPr>
            </w:pPr>
          </w:p>
        </w:tc>
        <w:tc>
          <w:tcPr>
            <w:tcW w:w="1216" w:type="pct"/>
            <w:gridSpan w:val="2"/>
            <w:tcBorders>
              <w:top w:val="single" w:sz="4" w:space="0" w:color="auto"/>
              <w:left w:val="nil"/>
              <w:bottom w:val="single" w:sz="4" w:space="0" w:color="auto"/>
              <w:right w:val="nil"/>
            </w:tcBorders>
            <w:shd w:val="clear" w:color="auto" w:fill="auto"/>
            <w:noWrap/>
            <w:tcMar>
              <w:top w:w="28" w:type="dxa"/>
              <w:bottom w:w="28" w:type="dxa"/>
            </w:tcMar>
            <w:hideMark/>
          </w:tcPr>
          <w:p w14:paraId="68A779B2"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Rice self-sufficiency</w:t>
            </w:r>
          </w:p>
        </w:tc>
      </w:tr>
      <w:tr w:rsidR="0089094B" w:rsidRPr="00D6728E" w14:paraId="163A799D" w14:textId="77777777" w:rsidTr="001D0B5B">
        <w:trPr>
          <w:trHeight w:val="170"/>
        </w:trPr>
        <w:tc>
          <w:tcPr>
            <w:tcW w:w="1251" w:type="pct"/>
            <w:tcBorders>
              <w:top w:val="nil"/>
              <w:left w:val="nil"/>
              <w:bottom w:val="single" w:sz="4" w:space="0" w:color="auto"/>
              <w:right w:val="nil"/>
            </w:tcBorders>
            <w:shd w:val="clear" w:color="auto" w:fill="auto"/>
            <w:noWrap/>
            <w:tcMar>
              <w:top w:w="28" w:type="dxa"/>
              <w:bottom w:w="28" w:type="dxa"/>
            </w:tcMar>
            <w:hideMark/>
          </w:tcPr>
          <w:p w14:paraId="725D1A0B"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Complete name</w:t>
            </w:r>
          </w:p>
        </w:tc>
        <w:tc>
          <w:tcPr>
            <w:tcW w:w="810" w:type="pct"/>
            <w:tcBorders>
              <w:top w:val="nil"/>
              <w:left w:val="nil"/>
              <w:bottom w:val="single" w:sz="4" w:space="0" w:color="auto"/>
              <w:right w:val="nil"/>
            </w:tcBorders>
            <w:shd w:val="clear" w:color="auto" w:fill="auto"/>
            <w:noWrap/>
            <w:tcMar>
              <w:top w:w="28" w:type="dxa"/>
              <w:bottom w:w="28" w:type="dxa"/>
            </w:tcMar>
            <w:hideMark/>
          </w:tcPr>
          <w:p w14:paraId="78BD0803"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Abbreviation</w:t>
            </w:r>
          </w:p>
        </w:tc>
        <w:tc>
          <w:tcPr>
            <w:tcW w:w="123" w:type="pct"/>
            <w:tcBorders>
              <w:top w:val="nil"/>
              <w:left w:val="nil"/>
              <w:bottom w:val="single" w:sz="4" w:space="0" w:color="auto"/>
              <w:right w:val="nil"/>
            </w:tcBorders>
            <w:shd w:val="clear" w:color="auto" w:fill="auto"/>
            <w:noWrap/>
            <w:tcMar>
              <w:top w:w="28" w:type="dxa"/>
              <w:bottom w:w="28" w:type="dxa"/>
            </w:tcMar>
            <w:hideMark/>
          </w:tcPr>
          <w:p w14:paraId="06E94A36" w14:textId="77777777" w:rsidR="004E2B5B" w:rsidRPr="0026312D" w:rsidRDefault="004E2B5B" w:rsidP="00532745">
            <w:pPr>
              <w:jc w:val="center"/>
              <w:rPr>
                <w:rFonts w:ascii="Times New Roman" w:hAnsi="Times New Roman" w:cs="Times New Roman"/>
                <w:b/>
                <w:bCs/>
                <w:color w:val="000000"/>
              </w:rPr>
            </w:pPr>
          </w:p>
        </w:tc>
        <w:tc>
          <w:tcPr>
            <w:tcW w:w="342" w:type="pct"/>
            <w:tcBorders>
              <w:top w:val="nil"/>
              <w:left w:val="nil"/>
              <w:bottom w:val="single" w:sz="4" w:space="0" w:color="auto"/>
              <w:right w:val="nil"/>
            </w:tcBorders>
            <w:shd w:val="clear" w:color="auto" w:fill="auto"/>
            <w:noWrap/>
            <w:tcMar>
              <w:top w:w="28" w:type="dxa"/>
              <w:bottom w:w="28" w:type="dxa"/>
            </w:tcMar>
            <w:hideMark/>
          </w:tcPr>
          <w:p w14:paraId="3ED0BB7B" w14:textId="77777777" w:rsidR="004E2B5B" w:rsidRPr="0026312D" w:rsidRDefault="004E2B5B" w:rsidP="00532745">
            <w:pPr>
              <w:jc w:val="center"/>
              <w:rPr>
                <w:rFonts w:ascii="Times New Roman" w:hAnsi="Times New Roman" w:cs="Times New Roman"/>
                <w:b/>
                <w:bCs/>
                <w:color w:val="000000"/>
              </w:rPr>
            </w:pPr>
            <w:r w:rsidRPr="0026312D">
              <w:rPr>
                <w:rFonts w:ascii="Times New Roman" w:hAnsi="Times New Roman" w:cs="Times New Roman"/>
                <w:b/>
                <w:bCs/>
                <w:color w:val="000000"/>
              </w:rPr>
              <w:t>2015</w:t>
            </w:r>
          </w:p>
        </w:tc>
        <w:tc>
          <w:tcPr>
            <w:tcW w:w="343" w:type="pct"/>
            <w:tcBorders>
              <w:top w:val="nil"/>
              <w:left w:val="nil"/>
              <w:bottom w:val="single" w:sz="4" w:space="0" w:color="auto"/>
              <w:right w:val="nil"/>
            </w:tcBorders>
            <w:shd w:val="clear" w:color="auto" w:fill="auto"/>
            <w:noWrap/>
            <w:tcMar>
              <w:top w:w="28" w:type="dxa"/>
              <w:bottom w:w="28" w:type="dxa"/>
            </w:tcMar>
            <w:hideMark/>
          </w:tcPr>
          <w:p w14:paraId="68B52A8F" w14:textId="77777777" w:rsidR="004E2B5B" w:rsidRPr="0026312D" w:rsidRDefault="004E2B5B" w:rsidP="00532745">
            <w:pPr>
              <w:jc w:val="center"/>
              <w:rPr>
                <w:rFonts w:ascii="Times New Roman" w:hAnsi="Times New Roman" w:cs="Times New Roman"/>
                <w:b/>
                <w:bCs/>
                <w:color w:val="000000"/>
              </w:rPr>
            </w:pPr>
            <w:r w:rsidRPr="0026312D">
              <w:rPr>
                <w:rFonts w:ascii="Times New Roman" w:hAnsi="Times New Roman" w:cs="Times New Roman"/>
                <w:b/>
                <w:bCs/>
                <w:color w:val="000000"/>
              </w:rPr>
              <w:t>2018</w:t>
            </w:r>
          </w:p>
        </w:tc>
        <w:tc>
          <w:tcPr>
            <w:tcW w:w="376" w:type="pct"/>
            <w:tcBorders>
              <w:top w:val="nil"/>
              <w:left w:val="nil"/>
              <w:bottom w:val="single" w:sz="4" w:space="0" w:color="auto"/>
              <w:right w:val="nil"/>
            </w:tcBorders>
            <w:shd w:val="clear" w:color="auto" w:fill="auto"/>
            <w:noWrap/>
            <w:tcMar>
              <w:top w:w="28" w:type="dxa"/>
              <w:bottom w:w="28" w:type="dxa"/>
            </w:tcMar>
            <w:hideMark/>
          </w:tcPr>
          <w:p w14:paraId="092E97BB" w14:textId="77777777" w:rsidR="004E2B5B" w:rsidRPr="0026312D" w:rsidRDefault="004E2B5B" w:rsidP="00532745">
            <w:pPr>
              <w:jc w:val="center"/>
              <w:rPr>
                <w:rFonts w:ascii="Times New Roman" w:hAnsi="Times New Roman" w:cs="Times New Roman"/>
                <w:b/>
                <w:bCs/>
                <w:color w:val="000000"/>
              </w:rPr>
            </w:pPr>
            <w:r w:rsidRPr="0026312D">
              <w:rPr>
                <w:rFonts w:ascii="Times New Roman" w:hAnsi="Times New Roman" w:cs="Times New Roman"/>
                <w:b/>
                <w:bCs/>
                <w:color w:val="000000"/>
              </w:rPr>
              <w:t>2021</w:t>
            </w:r>
          </w:p>
        </w:tc>
        <w:tc>
          <w:tcPr>
            <w:tcW w:w="415" w:type="pct"/>
            <w:tcBorders>
              <w:top w:val="nil"/>
              <w:left w:val="nil"/>
              <w:bottom w:val="single" w:sz="4" w:space="0" w:color="auto"/>
              <w:right w:val="nil"/>
            </w:tcBorders>
            <w:shd w:val="clear" w:color="auto" w:fill="auto"/>
            <w:noWrap/>
            <w:tcMar>
              <w:top w:w="28" w:type="dxa"/>
              <w:bottom w:w="28" w:type="dxa"/>
            </w:tcMar>
            <w:hideMark/>
          </w:tcPr>
          <w:p w14:paraId="5B7F8400" w14:textId="77777777" w:rsidR="004E2B5B" w:rsidRPr="0026312D" w:rsidRDefault="004E2B5B" w:rsidP="00532745">
            <w:pPr>
              <w:jc w:val="center"/>
              <w:rPr>
                <w:rFonts w:ascii="Times New Roman" w:hAnsi="Times New Roman" w:cs="Times New Roman"/>
                <w:b/>
                <w:bCs/>
                <w:color w:val="000000"/>
              </w:rPr>
            </w:pPr>
            <w:r w:rsidRPr="0026312D">
              <w:rPr>
                <w:rFonts w:ascii="Times New Roman" w:hAnsi="Times New Roman" w:cs="Times New Roman"/>
                <w:b/>
                <w:bCs/>
                <w:color w:val="000000"/>
              </w:rPr>
              <w:t>Mean</w:t>
            </w:r>
          </w:p>
        </w:tc>
        <w:tc>
          <w:tcPr>
            <w:tcW w:w="123" w:type="pct"/>
            <w:tcBorders>
              <w:top w:val="nil"/>
              <w:left w:val="nil"/>
              <w:bottom w:val="single" w:sz="4" w:space="0" w:color="auto"/>
              <w:right w:val="nil"/>
            </w:tcBorders>
            <w:shd w:val="clear" w:color="auto" w:fill="auto"/>
            <w:noWrap/>
            <w:tcMar>
              <w:top w:w="28" w:type="dxa"/>
              <w:bottom w:w="28" w:type="dxa"/>
            </w:tcMar>
            <w:hideMark/>
          </w:tcPr>
          <w:p w14:paraId="45F7CE24" w14:textId="77777777" w:rsidR="004E2B5B" w:rsidRPr="0026312D" w:rsidRDefault="004E2B5B" w:rsidP="00532745">
            <w:pPr>
              <w:jc w:val="center"/>
              <w:rPr>
                <w:rFonts w:ascii="Times New Roman" w:hAnsi="Times New Roman" w:cs="Times New Roman"/>
                <w:b/>
                <w:bCs/>
                <w:color w:val="000000"/>
              </w:rPr>
            </w:pPr>
          </w:p>
        </w:tc>
        <w:tc>
          <w:tcPr>
            <w:tcW w:w="494" w:type="pct"/>
            <w:tcBorders>
              <w:top w:val="nil"/>
              <w:left w:val="nil"/>
              <w:bottom w:val="single" w:sz="4" w:space="0" w:color="auto"/>
              <w:right w:val="nil"/>
            </w:tcBorders>
            <w:shd w:val="clear" w:color="auto" w:fill="auto"/>
            <w:noWrap/>
            <w:tcMar>
              <w:top w:w="28" w:type="dxa"/>
              <w:bottom w:w="28" w:type="dxa"/>
            </w:tcMar>
            <w:hideMark/>
          </w:tcPr>
          <w:p w14:paraId="4EAC0242"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NBR</w:t>
            </w:r>
          </w:p>
        </w:tc>
        <w:tc>
          <w:tcPr>
            <w:tcW w:w="722" w:type="pct"/>
            <w:tcBorders>
              <w:top w:val="nil"/>
              <w:left w:val="nil"/>
              <w:bottom w:val="single" w:sz="4" w:space="0" w:color="auto"/>
              <w:right w:val="nil"/>
            </w:tcBorders>
            <w:shd w:val="clear" w:color="auto" w:fill="auto"/>
            <w:noWrap/>
            <w:tcMar>
              <w:top w:w="28" w:type="dxa"/>
              <w:bottom w:w="28" w:type="dxa"/>
            </w:tcMar>
            <w:hideMark/>
          </w:tcPr>
          <w:p w14:paraId="37DF8D3F"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Description</w:t>
            </w:r>
          </w:p>
        </w:tc>
      </w:tr>
      <w:tr w:rsidR="0089094B" w:rsidRPr="00D6728E" w14:paraId="2D391824" w14:textId="77777777" w:rsidTr="001D0B5B">
        <w:trPr>
          <w:trHeight w:val="170"/>
        </w:trPr>
        <w:tc>
          <w:tcPr>
            <w:tcW w:w="1251" w:type="pct"/>
            <w:tcBorders>
              <w:top w:val="single" w:sz="4" w:space="0" w:color="auto"/>
              <w:left w:val="nil"/>
              <w:bottom w:val="nil"/>
              <w:right w:val="nil"/>
            </w:tcBorders>
            <w:shd w:val="clear" w:color="auto" w:fill="auto"/>
            <w:noWrap/>
            <w:tcMar>
              <w:top w:w="6" w:type="dxa"/>
              <w:bottom w:w="6" w:type="dxa"/>
            </w:tcMar>
            <w:hideMark/>
          </w:tcPr>
          <w:p w14:paraId="5C5839B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National Capital Region</w:t>
            </w:r>
          </w:p>
        </w:tc>
        <w:tc>
          <w:tcPr>
            <w:tcW w:w="810" w:type="pct"/>
            <w:tcBorders>
              <w:top w:val="single" w:sz="4" w:space="0" w:color="auto"/>
              <w:left w:val="nil"/>
              <w:bottom w:val="nil"/>
              <w:right w:val="nil"/>
            </w:tcBorders>
            <w:shd w:val="clear" w:color="auto" w:fill="auto"/>
            <w:noWrap/>
            <w:tcMar>
              <w:top w:w="6" w:type="dxa"/>
              <w:bottom w:w="6" w:type="dxa"/>
            </w:tcMar>
            <w:hideMark/>
          </w:tcPr>
          <w:p w14:paraId="3FAA74A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NCR</w:t>
            </w:r>
          </w:p>
        </w:tc>
        <w:tc>
          <w:tcPr>
            <w:tcW w:w="123" w:type="pct"/>
            <w:tcBorders>
              <w:top w:val="single" w:sz="4" w:space="0" w:color="auto"/>
              <w:left w:val="nil"/>
              <w:bottom w:val="nil"/>
              <w:right w:val="nil"/>
            </w:tcBorders>
            <w:shd w:val="clear" w:color="auto" w:fill="auto"/>
            <w:noWrap/>
            <w:tcMar>
              <w:top w:w="6" w:type="dxa"/>
              <w:bottom w:w="6" w:type="dxa"/>
            </w:tcMar>
            <w:hideMark/>
          </w:tcPr>
          <w:p w14:paraId="094AD2DD" w14:textId="77777777" w:rsidR="004E2B5B" w:rsidRPr="00F85269" w:rsidRDefault="004E2B5B" w:rsidP="00532745">
            <w:pPr>
              <w:rPr>
                <w:rFonts w:ascii="Times New Roman" w:hAnsi="Times New Roman" w:cs="Times New Roman"/>
                <w:color w:val="000000"/>
                <w:sz w:val="21"/>
                <w:szCs w:val="21"/>
              </w:rPr>
            </w:pPr>
          </w:p>
        </w:tc>
        <w:tc>
          <w:tcPr>
            <w:tcW w:w="342" w:type="pct"/>
            <w:tcBorders>
              <w:top w:val="single" w:sz="4" w:space="0" w:color="auto"/>
              <w:left w:val="nil"/>
              <w:bottom w:val="nil"/>
              <w:right w:val="nil"/>
            </w:tcBorders>
            <w:shd w:val="clear" w:color="auto" w:fill="auto"/>
            <w:noWrap/>
            <w:tcMar>
              <w:top w:w="6" w:type="dxa"/>
              <w:bottom w:w="6" w:type="dxa"/>
            </w:tcMar>
            <w:hideMark/>
          </w:tcPr>
          <w:p w14:paraId="16881CB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2.8</w:t>
            </w:r>
          </w:p>
        </w:tc>
        <w:tc>
          <w:tcPr>
            <w:tcW w:w="343" w:type="pct"/>
            <w:tcBorders>
              <w:top w:val="single" w:sz="4" w:space="0" w:color="auto"/>
              <w:left w:val="nil"/>
              <w:bottom w:val="nil"/>
              <w:right w:val="nil"/>
            </w:tcBorders>
            <w:shd w:val="clear" w:color="auto" w:fill="auto"/>
            <w:noWrap/>
            <w:tcMar>
              <w:top w:w="6" w:type="dxa"/>
              <w:bottom w:w="6" w:type="dxa"/>
            </w:tcMar>
            <w:hideMark/>
          </w:tcPr>
          <w:p w14:paraId="7EC337D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1.4</w:t>
            </w:r>
          </w:p>
        </w:tc>
        <w:tc>
          <w:tcPr>
            <w:tcW w:w="376" w:type="pct"/>
            <w:tcBorders>
              <w:top w:val="single" w:sz="4" w:space="0" w:color="auto"/>
              <w:left w:val="nil"/>
              <w:bottom w:val="nil"/>
              <w:right w:val="nil"/>
            </w:tcBorders>
            <w:shd w:val="clear" w:color="auto" w:fill="auto"/>
            <w:noWrap/>
            <w:tcMar>
              <w:top w:w="6" w:type="dxa"/>
              <w:bottom w:w="6" w:type="dxa"/>
            </w:tcMar>
            <w:hideMark/>
          </w:tcPr>
          <w:p w14:paraId="2241B08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2.2</w:t>
            </w:r>
          </w:p>
        </w:tc>
        <w:tc>
          <w:tcPr>
            <w:tcW w:w="415" w:type="pct"/>
            <w:tcBorders>
              <w:top w:val="single" w:sz="4" w:space="0" w:color="auto"/>
              <w:left w:val="nil"/>
              <w:bottom w:val="nil"/>
              <w:right w:val="nil"/>
            </w:tcBorders>
            <w:shd w:val="clear" w:color="auto" w:fill="auto"/>
            <w:noWrap/>
            <w:tcMar>
              <w:top w:w="6" w:type="dxa"/>
              <w:bottom w:w="6" w:type="dxa"/>
            </w:tcMar>
            <w:hideMark/>
          </w:tcPr>
          <w:p w14:paraId="4D1F313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2.1</w:t>
            </w:r>
          </w:p>
        </w:tc>
        <w:tc>
          <w:tcPr>
            <w:tcW w:w="123" w:type="pct"/>
            <w:tcBorders>
              <w:top w:val="single" w:sz="4" w:space="0" w:color="auto"/>
              <w:left w:val="nil"/>
              <w:bottom w:val="nil"/>
              <w:right w:val="nil"/>
            </w:tcBorders>
            <w:shd w:val="clear" w:color="auto" w:fill="auto"/>
            <w:noWrap/>
            <w:tcMar>
              <w:top w:w="6" w:type="dxa"/>
              <w:bottom w:w="6" w:type="dxa"/>
            </w:tcMar>
            <w:hideMark/>
          </w:tcPr>
          <w:p w14:paraId="40AF1D70" w14:textId="77777777" w:rsidR="004E2B5B" w:rsidRPr="00F85269" w:rsidRDefault="004E2B5B" w:rsidP="00532745">
            <w:pPr>
              <w:rPr>
                <w:rFonts w:ascii="Times New Roman" w:hAnsi="Times New Roman" w:cs="Times New Roman"/>
                <w:color w:val="000000"/>
                <w:sz w:val="21"/>
                <w:szCs w:val="21"/>
              </w:rPr>
            </w:pPr>
          </w:p>
        </w:tc>
        <w:tc>
          <w:tcPr>
            <w:tcW w:w="494" w:type="pct"/>
            <w:tcBorders>
              <w:top w:val="single" w:sz="4" w:space="0" w:color="auto"/>
              <w:left w:val="nil"/>
              <w:bottom w:val="nil"/>
              <w:right w:val="nil"/>
            </w:tcBorders>
            <w:shd w:val="clear" w:color="auto" w:fill="auto"/>
            <w:noWrap/>
            <w:tcMar>
              <w:top w:w="6" w:type="dxa"/>
              <w:bottom w:w="6" w:type="dxa"/>
            </w:tcMar>
            <w:hideMark/>
          </w:tcPr>
          <w:p w14:paraId="1909161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-0.057</w:t>
            </w:r>
          </w:p>
        </w:tc>
        <w:tc>
          <w:tcPr>
            <w:tcW w:w="722" w:type="pct"/>
            <w:tcBorders>
              <w:top w:val="single" w:sz="4" w:space="0" w:color="auto"/>
              <w:left w:val="nil"/>
              <w:bottom w:val="nil"/>
              <w:right w:val="nil"/>
            </w:tcBorders>
            <w:shd w:val="clear" w:color="auto" w:fill="auto"/>
            <w:noWrap/>
            <w:tcMar>
              <w:top w:w="6" w:type="dxa"/>
              <w:bottom w:w="6" w:type="dxa"/>
            </w:tcMar>
            <w:hideMark/>
          </w:tcPr>
          <w:p w14:paraId="0CA190B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0C2D4885"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25FF34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Abra</w:t>
            </w:r>
          </w:p>
        </w:tc>
        <w:tc>
          <w:tcPr>
            <w:tcW w:w="810" w:type="pct"/>
            <w:tcBorders>
              <w:top w:val="nil"/>
              <w:left w:val="nil"/>
              <w:bottom w:val="nil"/>
              <w:right w:val="nil"/>
            </w:tcBorders>
            <w:shd w:val="clear" w:color="auto" w:fill="auto"/>
            <w:noWrap/>
            <w:tcMar>
              <w:top w:w="6" w:type="dxa"/>
              <w:bottom w:w="6" w:type="dxa"/>
            </w:tcMar>
            <w:hideMark/>
          </w:tcPr>
          <w:p w14:paraId="36038D6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ABR</w:t>
            </w:r>
          </w:p>
        </w:tc>
        <w:tc>
          <w:tcPr>
            <w:tcW w:w="123" w:type="pct"/>
            <w:tcBorders>
              <w:top w:val="nil"/>
              <w:left w:val="nil"/>
              <w:bottom w:val="nil"/>
              <w:right w:val="nil"/>
            </w:tcBorders>
            <w:shd w:val="clear" w:color="auto" w:fill="auto"/>
            <w:noWrap/>
            <w:tcMar>
              <w:top w:w="6" w:type="dxa"/>
              <w:bottom w:w="6" w:type="dxa"/>
            </w:tcMar>
            <w:hideMark/>
          </w:tcPr>
          <w:p w14:paraId="4153A5BF"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10A634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19.9</w:t>
            </w:r>
          </w:p>
        </w:tc>
        <w:tc>
          <w:tcPr>
            <w:tcW w:w="343" w:type="pct"/>
            <w:tcBorders>
              <w:top w:val="nil"/>
              <w:left w:val="nil"/>
              <w:bottom w:val="nil"/>
              <w:right w:val="nil"/>
            </w:tcBorders>
            <w:shd w:val="clear" w:color="auto" w:fill="auto"/>
            <w:noWrap/>
            <w:tcMar>
              <w:top w:w="6" w:type="dxa"/>
              <w:bottom w:w="6" w:type="dxa"/>
            </w:tcMar>
            <w:hideMark/>
          </w:tcPr>
          <w:p w14:paraId="468EB0C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14.7</w:t>
            </w:r>
          </w:p>
        </w:tc>
        <w:tc>
          <w:tcPr>
            <w:tcW w:w="376" w:type="pct"/>
            <w:tcBorders>
              <w:top w:val="nil"/>
              <w:left w:val="nil"/>
              <w:bottom w:val="nil"/>
              <w:right w:val="nil"/>
            </w:tcBorders>
            <w:shd w:val="clear" w:color="auto" w:fill="auto"/>
            <w:noWrap/>
            <w:tcMar>
              <w:top w:w="6" w:type="dxa"/>
              <w:bottom w:w="6" w:type="dxa"/>
            </w:tcMar>
            <w:hideMark/>
          </w:tcPr>
          <w:p w14:paraId="6B204E9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15.8</w:t>
            </w:r>
          </w:p>
        </w:tc>
        <w:tc>
          <w:tcPr>
            <w:tcW w:w="415" w:type="pct"/>
            <w:tcBorders>
              <w:top w:val="nil"/>
              <w:left w:val="nil"/>
              <w:bottom w:val="nil"/>
              <w:right w:val="nil"/>
            </w:tcBorders>
            <w:shd w:val="clear" w:color="auto" w:fill="auto"/>
            <w:noWrap/>
            <w:tcMar>
              <w:top w:w="6" w:type="dxa"/>
              <w:bottom w:w="6" w:type="dxa"/>
            </w:tcMar>
            <w:hideMark/>
          </w:tcPr>
          <w:p w14:paraId="51737BE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16.8</w:t>
            </w:r>
          </w:p>
        </w:tc>
        <w:tc>
          <w:tcPr>
            <w:tcW w:w="123" w:type="pct"/>
            <w:tcBorders>
              <w:top w:val="nil"/>
              <w:left w:val="nil"/>
              <w:bottom w:val="nil"/>
              <w:right w:val="nil"/>
            </w:tcBorders>
            <w:shd w:val="clear" w:color="auto" w:fill="auto"/>
            <w:noWrap/>
            <w:tcMar>
              <w:top w:w="6" w:type="dxa"/>
              <w:bottom w:w="6" w:type="dxa"/>
            </w:tcMar>
            <w:hideMark/>
          </w:tcPr>
          <w:p w14:paraId="566420CF"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5A4B764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-0.065</w:t>
            </w:r>
          </w:p>
        </w:tc>
        <w:tc>
          <w:tcPr>
            <w:tcW w:w="722" w:type="pct"/>
            <w:tcBorders>
              <w:top w:val="nil"/>
              <w:left w:val="nil"/>
              <w:bottom w:val="nil"/>
              <w:right w:val="nil"/>
            </w:tcBorders>
            <w:shd w:val="clear" w:color="auto" w:fill="auto"/>
            <w:noWrap/>
            <w:tcMar>
              <w:top w:w="6" w:type="dxa"/>
              <w:bottom w:w="6" w:type="dxa"/>
            </w:tcMar>
            <w:hideMark/>
          </w:tcPr>
          <w:p w14:paraId="1C05237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7B7B7DD7"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043DF1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Apayao</w:t>
            </w:r>
          </w:p>
        </w:tc>
        <w:tc>
          <w:tcPr>
            <w:tcW w:w="810" w:type="pct"/>
            <w:tcBorders>
              <w:top w:val="nil"/>
              <w:left w:val="nil"/>
              <w:bottom w:val="nil"/>
              <w:right w:val="nil"/>
            </w:tcBorders>
            <w:shd w:val="clear" w:color="auto" w:fill="auto"/>
            <w:noWrap/>
            <w:tcMar>
              <w:top w:w="6" w:type="dxa"/>
              <w:bottom w:w="6" w:type="dxa"/>
            </w:tcMar>
            <w:hideMark/>
          </w:tcPr>
          <w:p w14:paraId="06D19DB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APA</w:t>
            </w:r>
          </w:p>
        </w:tc>
        <w:tc>
          <w:tcPr>
            <w:tcW w:w="123" w:type="pct"/>
            <w:tcBorders>
              <w:top w:val="nil"/>
              <w:left w:val="nil"/>
              <w:bottom w:val="nil"/>
              <w:right w:val="nil"/>
            </w:tcBorders>
            <w:shd w:val="clear" w:color="auto" w:fill="auto"/>
            <w:noWrap/>
            <w:tcMar>
              <w:top w:w="6" w:type="dxa"/>
              <w:bottom w:w="6" w:type="dxa"/>
            </w:tcMar>
            <w:hideMark/>
          </w:tcPr>
          <w:p w14:paraId="329B5536"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C20BE2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38.1</w:t>
            </w:r>
          </w:p>
        </w:tc>
        <w:tc>
          <w:tcPr>
            <w:tcW w:w="343" w:type="pct"/>
            <w:tcBorders>
              <w:top w:val="nil"/>
              <w:left w:val="nil"/>
              <w:bottom w:val="nil"/>
              <w:right w:val="nil"/>
            </w:tcBorders>
            <w:shd w:val="clear" w:color="auto" w:fill="auto"/>
            <w:noWrap/>
            <w:tcMar>
              <w:top w:w="6" w:type="dxa"/>
              <w:bottom w:w="6" w:type="dxa"/>
            </w:tcMar>
            <w:hideMark/>
          </w:tcPr>
          <w:p w14:paraId="5F2BA73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w:t>
            </w:r>
          </w:p>
        </w:tc>
        <w:tc>
          <w:tcPr>
            <w:tcW w:w="376" w:type="pct"/>
            <w:tcBorders>
              <w:top w:val="nil"/>
              <w:left w:val="nil"/>
              <w:bottom w:val="nil"/>
              <w:right w:val="nil"/>
            </w:tcBorders>
            <w:shd w:val="clear" w:color="auto" w:fill="auto"/>
            <w:noWrap/>
            <w:tcMar>
              <w:top w:w="6" w:type="dxa"/>
              <w:bottom w:w="6" w:type="dxa"/>
            </w:tcMar>
            <w:hideMark/>
          </w:tcPr>
          <w:p w14:paraId="28BB135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4.7</w:t>
            </w:r>
          </w:p>
        </w:tc>
        <w:tc>
          <w:tcPr>
            <w:tcW w:w="415" w:type="pct"/>
            <w:tcBorders>
              <w:top w:val="nil"/>
              <w:left w:val="nil"/>
              <w:bottom w:val="nil"/>
              <w:right w:val="nil"/>
            </w:tcBorders>
            <w:shd w:val="clear" w:color="auto" w:fill="auto"/>
            <w:noWrap/>
            <w:tcMar>
              <w:top w:w="6" w:type="dxa"/>
              <w:bottom w:w="6" w:type="dxa"/>
            </w:tcMar>
            <w:hideMark/>
          </w:tcPr>
          <w:p w14:paraId="2BE2D8F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19.6</w:t>
            </w:r>
          </w:p>
        </w:tc>
        <w:tc>
          <w:tcPr>
            <w:tcW w:w="123" w:type="pct"/>
            <w:tcBorders>
              <w:top w:val="nil"/>
              <w:left w:val="nil"/>
              <w:bottom w:val="nil"/>
              <w:right w:val="nil"/>
            </w:tcBorders>
            <w:shd w:val="clear" w:color="auto" w:fill="auto"/>
            <w:noWrap/>
            <w:tcMar>
              <w:top w:w="6" w:type="dxa"/>
              <w:bottom w:w="6" w:type="dxa"/>
            </w:tcMar>
            <w:hideMark/>
          </w:tcPr>
          <w:p w14:paraId="38A93638"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E91E3A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0.035</w:t>
            </w:r>
          </w:p>
        </w:tc>
        <w:tc>
          <w:tcPr>
            <w:tcW w:w="722" w:type="pct"/>
            <w:tcBorders>
              <w:top w:val="nil"/>
              <w:left w:val="nil"/>
              <w:bottom w:val="nil"/>
              <w:right w:val="nil"/>
            </w:tcBorders>
            <w:shd w:val="clear" w:color="auto" w:fill="auto"/>
            <w:noWrap/>
            <w:tcMar>
              <w:top w:w="6" w:type="dxa"/>
              <w:bottom w:w="6" w:type="dxa"/>
            </w:tcMar>
            <w:hideMark/>
          </w:tcPr>
          <w:p w14:paraId="4DD83BD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795B6136"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B9794C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Benguet</w:t>
            </w:r>
          </w:p>
        </w:tc>
        <w:tc>
          <w:tcPr>
            <w:tcW w:w="810" w:type="pct"/>
            <w:tcBorders>
              <w:top w:val="nil"/>
              <w:left w:val="nil"/>
              <w:bottom w:val="nil"/>
              <w:right w:val="nil"/>
            </w:tcBorders>
            <w:shd w:val="clear" w:color="auto" w:fill="auto"/>
            <w:noWrap/>
            <w:tcMar>
              <w:top w:w="6" w:type="dxa"/>
              <w:bottom w:w="6" w:type="dxa"/>
            </w:tcMar>
            <w:hideMark/>
          </w:tcPr>
          <w:p w14:paraId="11341AF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BEN</w:t>
            </w:r>
          </w:p>
        </w:tc>
        <w:tc>
          <w:tcPr>
            <w:tcW w:w="123" w:type="pct"/>
            <w:tcBorders>
              <w:top w:val="nil"/>
              <w:left w:val="nil"/>
              <w:bottom w:val="nil"/>
              <w:right w:val="nil"/>
            </w:tcBorders>
            <w:shd w:val="clear" w:color="auto" w:fill="auto"/>
            <w:noWrap/>
            <w:tcMar>
              <w:top w:w="6" w:type="dxa"/>
              <w:bottom w:w="6" w:type="dxa"/>
            </w:tcMar>
            <w:hideMark/>
          </w:tcPr>
          <w:p w14:paraId="16FB732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77DC84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2.6</w:t>
            </w:r>
          </w:p>
        </w:tc>
        <w:tc>
          <w:tcPr>
            <w:tcW w:w="343" w:type="pct"/>
            <w:tcBorders>
              <w:top w:val="nil"/>
              <w:left w:val="nil"/>
              <w:bottom w:val="nil"/>
              <w:right w:val="nil"/>
            </w:tcBorders>
            <w:shd w:val="clear" w:color="auto" w:fill="auto"/>
            <w:noWrap/>
            <w:tcMar>
              <w:top w:w="6" w:type="dxa"/>
              <w:bottom w:w="6" w:type="dxa"/>
            </w:tcMar>
            <w:hideMark/>
          </w:tcPr>
          <w:p w14:paraId="3F794A9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4.2</w:t>
            </w:r>
          </w:p>
        </w:tc>
        <w:tc>
          <w:tcPr>
            <w:tcW w:w="376" w:type="pct"/>
            <w:tcBorders>
              <w:top w:val="nil"/>
              <w:left w:val="nil"/>
              <w:bottom w:val="nil"/>
              <w:right w:val="nil"/>
            </w:tcBorders>
            <w:shd w:val="clear" w:color="auto" w:fill="auto"/>
            <w:noWrap/>
            <w:tcMar>
              <w:top w:w="6" w:type="dxa"/>
              <w:bottom w:w="6" w:type="dxa"/>
            </w:tcMar>
            <w:hideMark/>
          </w:tcPr>
          <w:p w14:paraId="2B2EA9C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3.9</w:t>
            </w:r>
          </w:p>
        </w:tc>
        <w:tc>
          <w:tcPr>
            <w:tcW w:w="415" w:type="pct"/>
            <w:tcBorders>
              <w:top w:val="nil"/>
              <w:left w:val="nil"/>
              <w:bottom w:val="nil"/>
              <w:right w:val="nil"/>
            </w:tcBorders>
            <w:shd w:val="clear" w:color="auto" w:fill="auto"/>
            <w:noWrap/>
            <w:tcMar>
              <w:top w:w="6" w:type="dxa"/>
              <w:bottom w:w="6" w:type="dxa"/>
            </w:tcMar>
            <w:hideMark/>
          </w:tcPr>
          <w:p w14:paraId="38339F2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3.6</w:t>
            </w:r>
          </w:p>
        </w:tc>
        <w:tc>
          <w:tcPr>
            <w:tcW w:w="123" w:type="pct"/>
            <w:tcBorders>
              <w:top w:val="nil"/>
              <w:left w:val="nil"/>
              <w:bottom w:val="nil"/>
              <w:right w:val="nil"/>
            </w:tcBorders>
            <w:shd w:val="clear" w:color="auto" w:fill="auto"/>
            <w:noWrap/>
            <w:tcMar>
              <w:top w:w="6" w:type="dxa"/>
              <w:bottom w:w="6" w:type="dxa"/>
            </w:tcMar>
            <w:hideMark/>
          </w:tcPr>
          <w:p w14:paraId="2F6DFBBB"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95EF6D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-0.072</w:t>
            </w:r>
          </w:p>
        </w:tc>
        <w:tc>
          <w:tcPr>
            <w:tcW w:w="722" w:type="pct"/>
            <w:tcBorders>
              <w:top w:val="nil"/>
              <w:left w:val="nil"/>
              <w:bottom w:val="nil"/>
              <w:right w:val="nil"/>
            </w:tcBorders>
            <w:shd w:val="clear" w:color="auto" w:fill="auto"/>
            <w:noWrap/>
            <w:tcMar>
              <w:top w:w="6" w:type="dxa"/>
              <w:bottom w:w="6" w:type="dxa"/>
            </w:tcMar>
            <w:hideMark/>
          </w:tcPr>
          <w:p w14:paraId="3B319CD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4542F659"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1AD44C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Ifugao </w:t>
            </w:r>
          </w:p>
        </w:tc>
        <w:tc>
          <w:tcPr>
            <w:tcW w:w="810" w:type="pct"/>
            <w:tcBorders>
              <w:top w:val="nil"/>
              <w:left w:val="nil"/>
              <w:bottom w:val="nil"/>
              <w:right w:val="nil"/>
            </w:tcBorders>
            <w:shd w:val="clear" w:color="auto" w:fill="auto"/>
            <w:noWrap/>
            <w:tcMar>
              <w:top w:w="6" w:type="dxa"/>
              <w:bottom w:w="6" w:type="dxa"/>
            </w:tcMar>
            <w:hideMark/>
          </w:tcPr>
          <w:p w14:paraId="2F34A9B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IFU</w:t>
            </w:r>
          </w:p>
        </w:tc>
        <w:tc>
          <w:tcPr>
            <w:tcW w:w="123" w:type="pct"/>
            <w:tcBorders>
              <w:top w:val="nil"/>
              <w:left w:val="nil"/>
              <w:bottom w:val="nil"/>
              <w:right w:val="nil"/>
            </w:tcBorders>
            <w:shd w:val="clear" w:color="auto" w:fill="auto"/>
            <w:noWrap/>
            <w:tcMar>
              <w:top w:w="6" w:type="dxa"/>
              <w:bottom w:w="6" w:type="dxa"/>
            </w:tcMar>
            <w:hideMark/>
          </w:tcPr>
          <w:p w14:paraId="125F8B07"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7665523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34.9</w:t>
            </w:r>
          </w:p>
        </w:tc>
        <w:tc>
          <w:tcPr>
            <w:tcW w:w="343" w:type="pct"/>
            <w:tcBorders>
              <w:top w:val="nil"/>
              <w:left w:val="nil"/>
              <w:bottom w:val="nil"/>
              <w:right w:val="nil"/>
            </w:tcBorders>
            <w:shd w:val="clear" w:color="auto" w:fill="auto"/>
            <w:noWrap/>
            <w:tcMar>
              <w:top w:w="6" w:type="dxa"/>
              <w:bottom w:w="6" w:type="dxa"/>
            </w:tcMar>
            <w:hideMark/>
          </w:tcPr>
          <w:p w14:paraId="280F536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9.9</w:t>
            </w:r>
          </w:p>
        </w:tc>
        <w:tc>
          <w:tcPr>
            <w:tcW w:w="376" w:type="pct"/>
            <w:tcBorders>
              <w:top w:val="nil"/>
              <w:left w:val="nil"/>
              <w:bottom w:val="nil"/>
              <w:right w:val="nil"/>
            </w:tcBorders>
            <w:shd w:val="clear" w:color="auto" w:fill="auto"/>
            <w:noWrap/>
            <w:tcMar>
              <w:top w:w="6" w:type="dxa"/>
              <w:bottom w:w="6" w:type="dxa"/>
            </w:tcMar>
            <w:hideMark/>
          </w:tcPr>
          <w:p w14:paraId="6EFE9CF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w:t>
            </w:r>
          </w:p>
        </w:tc>
        <w:tc>
          <w:tcPr>
            <w:tcW w:w="415" w:type="pct"/>
            <w:tcBorders>
              <w:top w:val="nil"/>
              <w:left w:val="nil"/>
              <w:bottom w:val="nil"/>
              <w:right w:val="nil"/>
            </w:tcBorders>
            <w:shd w:val="clear" w:color="auto" w:fill="auto"/>
            <w:noWrap/>
            <w:tcMar>
              <w:top w:w="6" w:type="dxa"/>
              <w:bottom w:w="6" w:type="dxa"/>
            </w:tcMar>
            <w:hideMark/>
          </w:tcPr>
          <w:p w14:paraId="38D8525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16.9</w:t>
            </w:r>
          </w:p>
        </w:tc>
        <w:tc>
          <w:tcPr>
            <w:tcW w:w="123" w:type="pct"/>
            <w:tcBorders>
              <w:top w:val="nil"/>
              <w:left w:val="nil"/>
              <w:bottom w:val="nil"/>
              <w:right w:val="nil"/>
            </w:tcBorders>
            <w:shd w:val="clear" w:color="auto" w:fill="auto"/>
            <w:noWrap/>
            <w:tcMar>
              <w:top w:w="6" w:type="dxa"/>
              <w:bottom w:w="6" w:type="dxa"/>
            </w:tcMar>
            <w:hideMark/>
          </w:tcPr>
          <w:p w14:paraId="5DDBF72C"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5AA640D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-0.068</w:t>
            </w:r>
          </w:p>
        </w:tc>
        <w:tc>
          <w:tcPr>
            <w:tcW w:w="722" w:type="pct"/>
            <w:tcBorders>
              <w:top w:val="nil"/>
              <w:left w:val="nil"/>
              <w:bottom w:val="nil"/>
              <w:right w:val="nil"/>
            </w:tcBorders>
            <w:shd w:val="clear" w:color="auto" w:fill="auto"/>
            <w:noWrap/>
            <w:tcMar>
              <w:top w:w="6" w:type="dxa"/>
              <w:bottom w:w="6" w:type="dxa"/>
            </w:tcMar>
            <w:hideMark/>
          </w:tcPr>
          <w:p w14:paraId="3711E9C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F149BD8"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4F199D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Kalinga </w:t>
            </w:r>
          </w:p>
        </w:tc>
        <w:tc>
          <w:tcPr>
            <w:tcW w:w="810" w:type="pct"/>
            <w:tcBorders>
              <w:top w:val="nil"/>
              <w:left w:val="nil"/>
              <w:bottom w:val="nil"/>
              <w:right w:val="nil"/>
            </w:tcBorders>
            <w:shd w:val="clear" w:color="auto" w:fill="auto"/>
            <w:noWrap/>
            <w:tcMar>
              <w:top w:w="6" w:type="dxa"/>
              <w:bottom w:w="6" w:type="dxa"/>
            </w:tcMar>
            <w:hideMark/>
          </w:tcPr>
          <w:p w14:paraId="33A86B7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KAL</w:t>
            </w:r>
          </w:p>
        </w:tc>
        <w:tc>
          <w:tcPr>
            <w:tcW w:w="123" w:type="pct"/>
            <w:tcBorders>
              <w:top w:val="nil"/>
              <w:left w:val="nil"/>
              <w:bottom w:val="nil"/>
              <w:right w:val="nil"/>
            </w:tcBorders>
            <w:shd w:val="clear" w:color="auto" w:fill="auto"/>
            <w:noWrap/>
            <w:tcMar>
              <w:top w:w="6" w:type="dxa"/>
              <w:bottom w:w="6" w:type="dxa"/>
            </w:tcMar>
            <w:hideMark/>
          </w:tcPr>
          <w:p w14:paraId="5F30305D"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56BC421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34.5</w:t>
            </w:r>
          </w:p>
        </w:tc>
        <w:tc>
          <w:tcPr>
            <w:tcW w:w="343" w:type="pct"/>
            <w:tcBorders>
              <w:top w:val="nil"/>
              <w:left w:val="nil"/>
              <w:bottom w:val="nil"/>
              <w:right w:val="nil"/>
            </w:tcBorders>
            <w:shd w:val="clear" w:color="auto" w:fill="auto"/>
            <w:noWrap/>
            <w:tcMar>
              <w:top w:w="6" w:type="dxa"/>
              <w:bottom w:w="6" w:type="dxa"/>
            </w:tcMar>
            <w:hideMark/>
          </w:tcPr>
          <w:p w14:paraId="0F40523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9.2</w:t>
            </w:r>
          </w:p>
        </w:tc>
        <w:tc>
          <w:tcPr>
            <w:tcW w:w="376" w:type="pct"/>
            <w:tcBorders>
              <w:top w:val="nil"/>
              <w:left w:val="nil"/>
              <w:bottom w:val="nil"/>
              <w:right w:val="nil"/>
            </w:tcBorders>
            <w:shd w:val="clear" w:color="auto" w:fill="auto"/>
            <w:noWrap/>
            <w:tcMar>
              <w:top w:w="6" w:type="dxa"/>
              <w:bottom w:w="6" w:type="dxa"/>
            </w:tcMar>
            <w:hideMark/>
          </w:tcPr>
          <w:p w14:paraId="319DA92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5.6</w:t>
            </w:r>
          </w:p>
        </w:tc>
        <w:tc>
          <w:tcPr>
            <w:tcW w:w="415" w:type="pct"/>
            <w:tcBorders>
              <w:top w:val="nil"/>
              <w:left w:val="nil"/>
              <w:bottom w:val="nil"/>
              <w:right w:val="nil"/>
            </w:tcBorders>
            <w:shd w:val="clear" w:color="auto" w:fill="auto"/>
            <w:noWrap/>
            <w:tcMar>
              <w:top w:w="6" w:type="dxa"/>
              <w:bottom w:w="6" w:type="dxa"/>
            </w:tcMar>
            <w:hideMark/>
          </w:tcPr>
          <w:p w14:paraId="086EC2A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16.4</w:t>
            </w:r>
          </w:p>
        </w:tc>
        <w:tc>
          <w:tcPr>
            <w:tcW w:w="123" w:type="pct"/>
            <w:tcBorders>
              <w:top w:val="nil"/>
              <w:left w:val="nil"/>
              <w:bottom w:val="nil"/>
              <w:right w:val="nil"/>
            </w:tcBorders>
            <w:shd w:val="clear" w:color="auto" w:fill="auto"/>
            <w:noWrap/>
            <w:tcMar>
              <w:top w:w="6" w:type="dxa"/>
              <w:bottom w:w="6" w:type="dxa"/>
            </w:tcMar>
            <w:hideMark/>
          </w:tcPr>
          <w:p w14:paraId="1C2DCB06"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3D2568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0.168</w:t>
            </w:r>
          </w:p>
        </w:tc>
        <w:tc>
          <w:tcPr>
            <w:tcW w:w="722" w:type="pct"/>
            <w:tcBorders>
              <w:top w:val="nil"/>
              <w:left w:val="nil"/>
              <w:bottom w:val="nil"/>
              <w:right w:val="nil"/>
            </w:tcBorders>
            <w:shd w:val="clear" w:color="auto" w:fill="auto"/>
            <w:noWrap/>
            <w:tcMar>
              <w:top w:w="6" w:type="dxa"/>
              <w:bottom w:w="6" w:type="dxa"/>
            </w:tcMar>
            <w:hideMark/>
          </w:tcPr>
          <w:p w14:paraId="574F7A5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0AAE692D"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74AB713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Mt. Province</w:t>
            </w:r>
          </w:p>
        </w:tc>
        <w:tc>
          <w:tcPr>
            <w:tcW w:w="810" w:type="pct"/>
            <w:tcBorders>
              <w:top w:val="nil"/>
              <w:left w:val="nil"/>
              <w:bottom w:val="nil"/>
              <w:right w:val="nil"/>
            </w:tcBorders>
            <w:shd w:val="clear" w:color="auto" w:fill="auto"/>
            <w:noWrap/>
            <w:tcMar>
              <w:top w:w="6" w:type="dxa"/>
              <w:bottom w:w="6" w:type="dxa"/>
            </w:tcMar>
            <w:hideMark/>
          </w:tcPr>
          <w:p w14:paraId="7022B98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MOU</w:t>
            </w:r>
          </w:p>
        </w:tc>
        <w:tc>
          <w:tcPr>
            <w:tcW w:w="123" w:type="pct"/>
            <w:tcBorders>
              <w:top w:val="nil"/>
              <w:left w:val="nil"/>
              <w:bottom w:val="nil"/>
              <w:right w:val="nil"/>
            </w:tcBorders>
            <w:shd w:val="clear" w:color="auto" w:fill="auto"/>
            <w:noWrap/>
            <w:tcMar>
              <w:top w:w="6" w:type="dxa"/>
              <w:bottom w:w="6" w:type="dxa"/>
            </w:tcMar>
            <w:hideMark/>
          </w:tcPr>
          <w:p w14:paraId="7F34173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C6C0C4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33.1</w:t>
            </w:r>
          </w:p>
        </w:tc>
        <w:tc>
          <w:tcPr>
            <w:tcW w:w="343" w:type="pct"/>
            <w:tcBorders>
              <w:top w:val="nil"/>
              <w:left w:val="nil"/>
              <w:bottom w:val="nil"/>
              <w:right w:val="nil"/>
            </w:tcBorders>
            <w:shd w:val="clear" w:color="auto" w:fill="auto"/>
            <w:noWrap/>
            <w:tcMar>
              <w:top w:w="6" w:type="dxa"/>
              <w:bottom w:w="6" w:type="dxa"/>
            </w:tcMar>
            <w:hideMark/>
          </w:tcPr>
          <w:p w14:paraId="281FAB2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17.1</w:t>
            </w:r>
          </w:p>
        </w:tc>
        <w:tc>
          <w:tcPr>
            <w:tcW w:w="376" w:type="pct"/>
            <w:tcBorders>
              <w:top w:val="nil"/>
              <w:left w:val="nil"/>
              <w:bottom w:val="nil"/>
              <w:right w:val="nil"/>
            </w:tcBorders>
            <w:shd w:val="clear" w:color="auto" w:fill="auto"/>
            <w:noWrap/>
            <w:tcMar>
              <w:top w:w="6" w:type="dxa"/>
              <w:bottom w:w="6" w:type="dxa"/>
            </w:tcMar>
            <w:hideMark/>
          </w:tcPr>
          <w:p w14:paraId="61F6BDB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15.3</w:t>
            </w:r>
          </w:p>
        </w:tc>
        <w:tc>
          <w:tcPr>
            <w:tcW w:w="415" w:type="pct"/>
            <w:tcBorders>
              <w:top w:val="nil"/>
              <w:left w:val="nil"/>
              <w:bottom w:val="nil"/>
              <w:right w:val="nil"/>
            </w:tcBorders>
            <w:shd w:val="clear" w:color="auto" w:fill="auto"/>
            <w:noWrap/>
            <w:tcMar>
              <w:top w:w="6" w:type="dxa"/>
              <w:bottom w:w="6" w:type="dxa"/>
            </w:tcMar>
            <w:hideMark/>
          </w:tcPr>
          <w:p w14:paraId="51D892D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21.8</w:t>
            </w:r>
          </w:p>
        </w:tc>
        <w:tc>
          <w:tcPr>
            <w:tcW w:w="123" w:type="pct"/>
            <w:tcBorders>
              <w:top w:val="nil"/>
              <w:left w:val="nil"/>
              <w:bottom w:val="nil"/>
              <w:right w:val="nil"/>
            </w:tcBorders>
            <w:shd w:val="clear" w:color="auto" w:fill="auto"/>
            <w:noWrap/>
            <w:tcMar>
              <w:top w:w="6" w:type="dxa"/>
              <w:bottom w:w="6" w:type="dxa"/>
            </w:tcMar>
            <w:hideMark/>
          </w:tcPr>
          <w:p w14:paraId="7C86CE0C"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5A9B912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-0.128</w:t>
            </w:r>
          </w:p>
        </w:tc>
        <w:tc>
          <w:tcPr>
            <w:tcW w:w="722" w:type="pct"/>
            <w:tcBorders>
              <w:top w:val="nil"/>
              <w:left w:val="nil"/>
              <w:bottom w:val="nil"/>
              <w:right w:val="nil"/>
            </w:tcBorders>
            <w:shd w:val="clear" w:color="auto" w:fill="auto"/>
            <w:noWrap/>
            <w:tcMar>
              <w:top w:w="6" w:type="dxa"/>
              <w:bottom w:w="6" w:type="dxa"/>
            </w:tcMar>
            <w:hideMark/>
          </w:tcPr>
          <w:p w14:paraId="1D1D5E1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2D4E63AE"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6005A343" w14:textId="77777777" w:rsidR="004E2B5B" w:rsidRPr="00F85269" w:rsidRDefault="004E2B5B" w:rsidP="00532745">
            <w:pPr>
              <w:rPr>
                <w:rFonts w:ascii="Times New Roman" w:hAnsi="Times New Roman" w:cs="Times New Roman"/>
                <w:color w:val="000000"/>
                <w:sz w:val="21"/>
                <w:szCs w:val="21"/>
              </w:rPr>
            </w:pPr>
            <w:proofErr w:type="spellStart"/>
            <w:r w:rsidRPr="00F85269">
              <w:rPr>
                <w:rFonts w:ascii="Times New Roman" w:hAnsi="Times New Roman" w:cs="Times New Roman"/>
                <w:color w:val="000000"/>
                <w:sz w:val="21"/>
                <w:szCs w:val="21"/>
              </w:rPr>
              <w:t>Ilocos</w:t>
            </w:r>
            <w:proofErr w:type="spellEnd"/>
            <w:r w:rsidRPr="00F85269">
              <w:rPr>
                <w:rFonts w:ascii="Times New Roman" w:hAnsi="Times New Roman" w:cs="Times New Roman"/>
                <w:color w:val="000000"/>
                <w:sz w:val="21"/>
                <w:szCs w:val="21"/>
              </w:rPr>
              <w:t xml:space="preserve"> Norte</w:t>
            </w:r>
          </w:p>
        </w:tc>
        <w:tc>
          <w:tcPr>
            <w:tcW w:w="810" w:type="pct"/>
            <w:tcBorders>
              <w:top w:val="nil"/>
              <w:left w:val="nil"/>
              <w:bottom w:val="nil"/>
              <w:right w:val="nil"/>
            </w:tcBorders>
            <w:shd w:val="clear" w:color="auto" w:fill="auto"/>
            <w:noWrap/>
            <w:tcMar>
              <w:top w:w="6" w:type="dxa"/>
              <w:bottom w:w="6" w:type="dxa"/>
            </w:tcMar>
            <w:hideMark/>
          </w:tcPr>
          <w:p w14:paraId="535518D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ILN</w:t>
            </w:r>
          </w:p>
        </w:tc>
        <w:tc>
          <w:tcPr>
            <w:tcW w:w="123" w:type="pct"/>
            <w:tcBorders>
              <w:top w:val="nil"/>
              <w:left w:val="nil"/>
              <w:bottom w:val="nil"/>
              <w:right w:val="nil"/>
            </w:tcBorders>
            <w:shd w:val="clear" w:color="auto" w:fill="auto"/>
            <w:noWrap/>
            <w:tcMar>
              <w:top w:w="6" w:type="dxa"/>
              <w:bottom w:w="6" w:type="dxa"/>
            </w:tcMar>
            <w:hideMark/>
          </w:tcPr>
          <w:p w14:paraId="02A76965"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B83076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5.2</w:t>
            </w:r>
          </w:p>
        </w:tc>
        <w:tc>
          <w:tcPr>
            <w:tcW w:w="343" w:type="pct"/>
            <w:tcBorders>
              <w:top w:val="nil"/>
              <w:left w:val="nil"/>
              <w:bottom w:val="nil"/>
              <w:right w:val="nil"/>
            </w:tcBorders>
            <w:shd w:val="clear" w:color="auto" w:fill="auto"/>
            <w:noWrap/>
            <w:tcMar>
              <w:top w:w="6" w:type="dxa"/>
              <w:bottom w:w="6" w:type="dxa"/>
            </w:tcMar>
            <w:hideMark/>
          </w:tcPr>
          <w:p w14:paraId="1CBEFD3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3.1</w:t>
            </w:r>
          </w:p>
        </w:tc>
        <w:tc>
          <w:tcPr>
            <w:tcW w:w="376" w:type="pct"/>
            <w:tcBorders>
              <w:top w:val="nil"/>
              <w:left w:val="nil"/>
              <w:bottom w:val="nil"/>
              <w:right w:val="nil"/>
            </w:tcBorders>
            <w:shd w:val="clear" w:color="auto" w:fill="auto"/>
            <w:noWrap/>
            <w:tcMar>
              <w:top w:w="6" w:type="dxa"/>
              <w:bottom w:w="6" w:type="dxa"/>
            </w:tcMar>
            <w:hideMark/>
          </w:tcPr>
          <w:p w14:paraId="660503D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1.7</w:t>
            </w:r>
          </w:p>
        </w:tc>
        <w:tc>
          <w:tcPr>
            <w:tcW w:w="415" w:type="pct"/>
            <w:tcBorders>
              <w:top w:val="nil"/>
              <w:left w:val="nil"/>
              <w:bottom w:val="nil"/>
              <w:right w:val="nil"/>
            </w:tcBorders>
            <w:shd w:val="clear" w:color="auto" w:fill="auto"/>
            <w:noWrap/>
            <w:tcMar>
              <w:top w:w="6" w:type="dxa"/>
              <w:bottom w:w="6" w:type="dxa"/>
            </w:tcMar>
            <w:hideMark/>
          </w:tcPr>
          <w:p w14:paraId="697044C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3.3</w:t>
            </w:r>
          </w:p>
        </w:tc>
        <w:tc>
          <w:tcPr>
            <w:tcW w:w="123" w:type="pct"/>
            <w:tcBorders>
              <w:top w:val="nil"/>
              <w:left w:val="nil"/>
              <w:bottom w:val="nil"/>
              <w:right w:val="nil"/>
            </w:tcBorders>
            <w:shd w:val="clear" w:color="auto" w:fill="auto"/>
            <w:noWrap/>
            <w:tcMar>
              <w:top w:w="6" w:type="dxa"/>
              <w:bottom w:w="6" w:type="dxa"/>
            </w:tcMar>
            <w:hideMark/>
          </w:tcPr>
          <w:p w14:paraId="130BC763"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5ECD7D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0.023</w:t>
            </w:r>
          </w:p>
        </w:tc>
        <w:tc>
          <w:tcPr>
            <w:tcW w:w="722" w:type="pct"/>
            <w:tcBorders>
              <w:top w:val="nil"/>
              <w:left w:val="nil"/>
              <w:bottom w:val="nil"/>
              <w:right w:val="nil"/>
            </w:tcBorders>
            <w:shd w:val="clear" w:color="auto" w:fill="auto"/>
            <w:noWrap/>
            <w:tcMar>
              <w:top w:w="6" w:type="dxa"/>
              <w:bottom w:w="6" w:type="dxa"/>
            </w:tcMar>
            <w:hideMark/>
          </w:tcPr>
          <w:p w14:paraId="2A201EE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6491C16F"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352C2EF" w14:textId="77777777" w:rsidR="004E2B5B" w:rsidRPr="00F85269" w:rsidRDefault="004E2B5B" w:rsidP="00532745">
            <w:pPr>
              <w:rPr>
                <w:rFonts w:ascii="Times New Roman" w:hAnsi="Times New Roman" w:cs="Times New Roman"/>
                <w:color w:val="000000"/>
                <w:sz w:val="21"/>
                <w:szCs w:val="21"/>
              </w:rPr>
            </w:pPr>
            <w:proofErr w:type="spellStart"/>
            <w:r w:rsidRPr="00F85269">
              <w:rPr>
                <w:rFonts w:ascii="Times New Roman" w:hAnsi="Times New Roman" w:cs="Times New Roman"/>
                <w:color w:val="000000"/>
                <w:sz w:val="21"/>
                <w:szCs w:val="21"/>
              </w:rPr>
              <w:t>Ilocos</w:t>
            </w:r>
            <w:proofErr w:type="spellEnd"/>
            <w:r w:rsidRPr="00F85269">
              <w:rPr>
                <w:rFonts w:ascii="Times New Roman" w:hAnsi="Times New Roman" w:cs="Times New Roman"/>
                <w:color w:val="000000"/>
                <w:sz w:val="21"/>
                <w:szCs w:val="21"/>
              </w:rPr>
              <w:t xml:space="preserve"> Sur</w:t>
            </w:r>
          </w:p>
        </w:tc>
        <w:tc>
          <w:tcPr>
            <w:tcW w:w="810" w:type="pct"/>
            <w:tcBorders>
              <w:top w:val="nil"/>
              <w:left w:val="nil"/>
              <w:bottom w:val="nil"/>
              <w:right w:val="nil"/>
            </w:tcBorders>
            <w:shd w:val="clear" w:color="auto" w:fill="auto"/>
            <w:noWrap/>
            <w:tcMar>
              <w:top w:w="6" w:type="dxa"/>
              <w:bottom w:w="6" w:type="dxa"/>
            </w:tcMar>
            <w:hideMark/>
          </w:tcPr>
          <w:p w14:paraId="090D118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ILS</w:t>
            </w:r>
          </w:p>
        </w:tc>
        <w:tc>
          <w:tcPr>
            <w:tcW w:w="123" w:type="pct"/>
            <w:tcBorders>
              <w:top w:val="nil"/>
              <w:left w:val="nil"/>
              <w:bottom w:val="nil"/>
              <w:right w:val="nil"/>
            </w:tcBorders>
            <w:shd w:val="clear" w:color="auto" w:fill="auto"/>
            <w:noWrap/>
            <w:tcMar>
              <w:top w:w="6" w:type="dxa"/>
              <w:bottom w:w="6" w:type="dxa"/>
            </w:tcMar>
            <w:hideMark/>
          </w:tcPr>
          <w:p w14:paraId="5567606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79EA5E3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10.8</w:t>
            </w:r>
          </w:p>
        </w:tc>
        <w:tc>
          <w:tcPr>
            <w:tcW w:w="343" w:type="pct"/>
            <w:tcBorders>
              <w:top w:val="nil"/>
              <w:left w:val="nil"/>
              <w:bottom w:val="nil"/>
              <w:right w:val="nil"/>
            </w:tcBorders>
            <w:shd w:val="clear" w:color="auto" w:fill="auto"/>
            <w:noWrap/>
            <w:tcMar>
              <w:top w:w="6" w:type="dxa"/>
              <w:bottom w:w="6" w:type="dxa"/>
            </w:tcMar>
            <w:hideMark/>
          </w:tcPr>
          <w:p w14:paraId="2F2DDF3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5.5</w:t>
            </w:r>
          </w:p>
        </w:tc>
        <w:tc>
          <w:tcPr>
            <w:tcW w:w="376" w:type="pct"/>
            <w:tcBorders>
              <w:top w:val="nil"/>
              <w:left w:val="nil"/>
              <w:bottom w:val="nil"/>
              <w:right w:val="nil"/>
            </w:tcBorders>
            <w:shd w:val="clear" w:color="auto" w:fill="auto"/>
            <w:noWrap/>
            <w:tcMar>
              <w:top w:w="6" w:type="dxa"/>
              <w:bottom w:w="6" w:type="dxa"/>
            </w:tcMar>
            <w:hideMark/>
          </w:tcPr>
          <w:p w14:paraId="0DD91C7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11.5</w:t>
            </w:r>
          </w:p>
        </w:tc>
        <w:tc>
          <w:tcPr>
            <w:tcW w:w="415" w:type="pct"/>
            <w:tcBorders>
              <w:top w:val="nil"/>
              <w:left w:val="nil"/>
              <w:bottom w:val="nil"/>
              <w:right w:val="nil"/>
            </w:tcBorders>
            <w:shd w:val="clear" w:color="auto" w:fill="auto"/>
            <w:noWrap/>
            <w:tcMar>
              <w:top w:w="6" w:type="dxa"/>
              <w:bottom w:w="6" w:type="dxa"/>
            </w:tcMar>
            <w:hideMark/>
          </w:tcPr>
          <w:p w14:paraId="5D25F91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9.3</w:t>
            </w:r>
          </w:p>
        </w:tc>
        <w:tc>
          <w:tcPr>
            <w:tcW w:w="123" w:type="pct"/>
            <w:tcBorders>
              <w:top w:val="nil"/>
              <w:left w:val="nil"/>
              <w:bottom w:val="nil"/>
              <w:right w:val="nil"/>
            </w:tcBorders>
            <w:shd w:val="clear" w:color="auto" w:fill="auto"/>
            <w:noWrap/>
            <w:tcMar>
              <w:top w:w="6" w:type="dxa"/>
              <w:bottom w:w="6" w:type="dxa"/>
            </w:tcMar>
            <w:hideMark/>
          </w:tcPr>
          <w:p w14:paraId="14D2BF5B"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7403B62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-0.036</w:t>
            </w:r>
          </w:p>
        </w:tc>
        <w:tc>
          <w:tcPr>
            <w:tcW w:w="722" w:type="pct"/>
            <w:tcBorders>
              <w:top w:val="nil"/>
              <w:left w:val="nil"/>
              <w:bottom w:val="nil"/>
              <w:right w:val="nil"/>
            </w:tcBorders>
            <w:shd w:val="clear" w:color="auto" w:fill="auto"/>
            <w:noWrap/>
            <w:tcMar>
              <w:top w:w="6" w:type="dxa"/>
              <w:bottom w:w="6" w:type="dxa"/>
            </w:tcMar>
            <w:hideMark/>
          </w:tcPr>
          <w:p w14:paraId="4D70344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BFC3573"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6B6AA0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La Union</w:t>
            </w:r>
          </w:p>
        </w:tc>
        <w:tc>
          <w:tcPr>
            <w:tcW w:w="810" w:type="pct"/>
            <w:tcBorders>
              <w:top w:val="nil"/>
              <w:left w:val="nil"/>
              <w:bottom w:val="nil"/>
              <w:right w:val="nil"/>
            </w:tcBorders>
            <w:shd w:val="clear" w:color="auto" w:fill="auto"/>
            <w:noWrap/>
            <w:tcMar>
              <w:top w:w="6" w:type="dxa"/>
              <w:bottom w:w="6" w:type="dxa"/>
            </w:tcMar>
            <w:hideMark/>
          </w:tcPr>
          <w:p w14:paraId="68A574D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LUN</w:t>
            </w:r>
          </w:p>
        </w:tc>
        <w:tc>
          <w:tcPr>
            <w:tcW w:w="123" w:type="pct"/>
            <w:tcBorders>
              <w:top w:val="nil"/>
              <w:left w:val="nil"/>
              <w:bottom w:val="nil"/>
              <w:right w:val="nil"/>
            </w:tcBorders>
            <w:shd w:val="clear" w:color="auto" w:fill="auto"/>
            <w:noWrap/>
            <w:tcMar>
              <w:top w:w="6" w:type="dxa"/>
              <w:bottom w:w="6" w:type="dxa"/>
            </w:tcMar>
            <w:hideMark/>
          </w:tcPr>
          <w:p w14:paraId="2E7FE240"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7B17870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13.5</w:t>
            </w:r>
          </w:p>
        </w:tc>
        <w:tc>
          <w:tcPr>
            <w:tcW w:w="343" w:type="pct"/>
            <w:tcBorders>
              <w:top w:val="nil"/>
              <w:left w:val="nil"/>
              <w:bottom w:val="nil"/>
              <w:right w:val="nil"/>
            </w:tcBorders>
            <w:shd w:val="clear" w:color="auto" w:fill="auto"/>
            <w:noWrap/>
            <w:tcMar>
              <w:top w:w="6" w:type="dxa"/>
              <w:bottom w:w="6" w:type="dxa"/>
            </w:tcMar>
            <w:hideMark/>
          </w:tcPr>
          <w:p w14:paraId="50A48A0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2.9</w:t>
            </w:r>
          </w:p>
        </w:tc>
        <w:tc>
          <w:tcPr>
            <w:tcW w:w="376" w:type="pct"/>
            <w:tcBorders>
              <w:top w:val="nil"/>
              <w:left w:val="nil"/>
              <w:bottom w:val="nil"/>
              <w:right w:val="nil"/>
            </w:tcBorders>
            <w:shd w:val="clear" w:color="auto" w:fill="auto"/>
            <w:noWrap/>
            <w:tcMar>
              <w:top w:w="6" w:type="dxa"/>
              <w:bottom w:w="6" w:type="dxa"/>
            </w:tcMar>
            <w:hideMark/>
          </w:tcPr>
          <w:p w14:paraId="534F66D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6.6</w:t>
            </w:r>
          </w:p>
        </w:tc>
        <w:tc>
          <w:tcPr>
            <w:tcW w:w="415" w:type="pct"/>
            <w:tcBorders>
              <w:top w:val="nil"/>
              <w:left w:val="nil"/>
              <w:bottom w:val="nil"/>
              <w:right w:val="nil"/>
            </w:tcBorders>
            <w:shd w:val="clear" w:color="auto" w:fill="auto"/>
            <w:noWrap/>
            <w:tcMar>
              <w:top w:w="6" w:type="dxa"/>
              <w:bottom w:w="6" w:type="dxa"/>
            </w:tcMar>
            <w:hideMark/>
          </w:tcPr>
          <w:p w14:paraId="2829001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7.7</w:t>
            </w:r>
          </w:p>
        </w:tc>
        <w:tc>
          <w:tcPr>
            <w:tcW w:w="123" w:type="pct"/>
            <w:tcBorders>
              <w:top w:val="nil"/>
              <w:left w:val="nil"/>
              <w:bottom w:val="nil"/>
              <w:right w:val="nil"/>
            </w:tcBorders>
            <w:shd w:val="clear" w:color="auto" w:fill="auto"/>
            <w:noWrap/>
            <w:tcMar>
              <w:top w:w="6" w:type="dxa"/>
              <w:bottom w:w="6" w:type="dxa"/>
            </w:tcMar>
            <w:hideMark/>
          </w:tcPr>
          <w:p w14:paraId="47F5AF8D"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375C805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-0.077</w:t>
            </w:r>
          </w:p>
        </w:tc>
        <w:tc>
          <w:tcPr>
            <w:tcW w:w="722" w:type="pct"/>
            <w:tcBorders>
              <w:top w:val="nil"/>
              <w:left w:val="nil"/>
              <w:bottom w:val="nil"/>
              <w:right w:val="nil"/>
            </w:tcBorders>
            <w:shd w:val="clear" w:color="auto" w:fill="auto"/>
            <w:noWrap/>
            <w:tcMar>
              <w:top w:w="6" w:type="dxa"/>
              <w:bottom w:w="6" w:type="dxa"/>
            </w:tcMar>
            <w:hideMark/>
          </w:tcPr>
          <w:p w14:paraId="72B4C52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61E2AF8"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59B2CF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Pangasinan </w:t>
            </w:r>
          </w:p>
        </w:tc>
        <w:tc>
          <w:tcPr>
            <w:tcW w:w="810" w:type="pct"/>
            <w:tcBorders>
              <w:top w:val="nil"/>
              <w:left w:val="nil"/>
              <w:bottom w:val="nil"/>
              <w:right w:val="nil"/>
            </w:tcBorders>
            <w:shd w:val="clear" w:color="auto" w:fill="auto"/>
            <w:noWrap/>
            <w:tcMar>
              <w:top w:w="6" w:type="dxa"/>
              <w:bottom w:w="6" w:type="dxa"/>
            </w:tcMar>
            <w:hideMark/>
          </w:tcPr>
          <w:p w14:paraId="1D1884F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PAN</w:t>
            </w:r>
          </w:p>
        </w:tc>
        <w:tc>
          <w:tcPr>
            <w:tcW w:w="123" w:type="pct"/>
            <w:tcBorders>
              <w:top w:val="nil"/>
              <w:left w:val="nil"/>
              <w:bottom w:val="nil"/>
              <w:right w:val="nil"/>
            </w:tcBorders>
            <w:shd w:val="clear" w:color="auto" w:fill="auto"/>
            <w:noWrap/>
            <w:tcMar>
              <w:top w:w="6" w:type="dxa"/>
              <w:bottom w:w="6" w:type="dxa"/>
            </w:tcMar>
            <w:hideMark/>
          </w:tcPr>
          <w:p w14:paraId="50B239B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05D2BF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16.9</w:t>
            </w:r>
          </w:p>
        </w:tc>
        <w:tc>
          <w:tcPr>
            <w:tcW w:w="343" w:type="pct"/>
            <w:tcBorders>
              <w:top w:val="nil"/>
              <w:left w:val="nil"/>
              <w:bottom w:val="nil"/>
              <w:right w:val="nil"/>
            </w:tcBorders>
            <w:shd w:val="clear" w:color="auto" w:fill="auto"/>
            <w:noWrap/>
            <w:tcMar>
              <w:top w:w="6" w:type="dxa"/>
              <w:bottom w:w="6" w:type="dxa"/>
            </w:tcMar>
            <w:hideMark/>
          </w:tcPr>
          <w:p w14:paraId="716BD68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9.3</w:t>
            </w:r>
          </w:p>
        </w:tc>
        <w:tc>
          <w:tcPr>
            <w:tcW w:w="376" w:type="pct"/>
            <w:tcBorders>
              <w:top w:val="nil"/>
              <w:left w:val="nil"/>
              <w:bottom w:val="nil"/>
              <w:right w:val="nil"/>
            </w:tcBorders>
            <w:shd w:val="clear" w:color="auto" w:fill="auto"/>
            <w:noWrap/>
            <w:tcMar>
              <w:top w:w="6" w:type="dxa"/>
              <w:bottom w:w="6" w:type="dxa"/>
            </w:tcMar>
            <w:hideMark/>
          </w:tcPr>
          <w:p w14:paraId="5111DD4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13.9</w:t>
            </w:r>
          </w:p>
        </w:tc>
        <w:tc>
          <w:tcPr>
            <w:tcW w:w="415" w:type="pct"/>
            <w:tcBorders>
              <w:top w:val="nil"/>
              <w:left w:val="nil"/>
              <w:bottom w:val="nil"/>
              <w:right w:val="nil"/>
            </w:tcBorders>
            <w:shd w:val="clear" w:color="auto" w:fill="auto"/>
            <w:noWrap/>
            <w:tcMar>
              <w:top w:w="6" w:type="dxa"/>
              <w:bottom w:w="6" w:type="dxa"/>
            </w:tcMar>
            <w:hideMark/>
          </w:tcPr>
          <w:p w14:paraId="356387F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13.4</w:t>
            </w:r>
          </w:p>
        </w:tc>
        <w:tc>
          <w:tcPr>
            <w:tcW w:w="123" w:type="pct"/>
            <w:tcBorders>
              <w:top w:val="nil"/>
              <w:left w:val="nil"/>
              <w:bottom w:val="nil"/>
              <w:right w:val="nil"/>
            </w:tcBorders>
            <w:shd w:val="clear" w:color="auto" w:fill="auto"/>
            <w:noWrap/>
            <w:tcMar>
              <w:top w:w="6" w:type="dxa"/>
              <w:bottom w:w="6" w:type="dxa"/>
            </w:tcMar>
            <w:hideMark/>
          </w:tcPr>
          <w:p w14:paraId="466338DD"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678949F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-0.022</w:t>
            </w:r>
          </w:p>
        </w:tc>
        <w:tc>
          <w:tcPr>
            <w:tcW w:w="722" w:type="pct"/>
            <w:tcBorders>
              <w:top w:val="nil"/>
              <w:left w:val="nil"/>
              <w:bottom w:val="nil"/>
              <w:right w:val="nil"/>
            </w:tcBorders>
            <w:shd w:val="clear" w:color="auto" w:fill="auto"/>
            <w:noWrap/>
            <w:tcMar>
              <w:top w:w="6" w:type="dxa"/>
              <w:bottom w:w="6" w:type="dxa"/>
            </w:tcMar>
            <w:hideMark/>
          </w:tcPr>
          <w:p w14:paraId="18E7F7E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6466268C"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1E631B9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Cagayan</w:t>
            </w:r>
          </w:p>
        </w:tc>
        <w:tc>
          <w:tcPr>
            <w:tcW w:w="810" w:type="pct"/>
            <w:tcBorders>
              <w:top w:val="nil"/>
              <w:left w:val="nil"/>
              <w:bottom w:val="nil"/>
              <w:right w:val="nil"/>
            </w:tcBorders>
            <w:shd w:val="clear" w:color="auto" w:fill="auto"/>
            <w:noWrap/>
            <w:tcMar>
              <w:top w:w="6" w:type="dxa"/>
              <w:bottom w:w="6" w:type="dxa"/>
            </w:tcMar>
            <w:hideMark/>
          </w:tcPr>
          <w:p w14:paraId="5B269C9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CAG</w:t>
            </w:r>
          </w:p>
        </w:tc>
        <w:tc>
          <w:tcPr>
            <w:tcW w:w="123" w:type="pct"/>
            <w:tcBorders>
              <w:top w:val="nil"/>
              <w:left w:val="nil"/>
              <w:bottom w:val="nil"/>
              <w:right w:val="nil"/>
            </w:tcBorders>
            <w:shd w:val="clear" w:color="auto" w:fill="auto"/>
            <w:noWrap/>
            <w:tcMar>
              <w:top w:w="6" w:type="dxa"/>
              <w:bottom w:w="6" w:type="dxa"/>
            </w:tcMar>
            <w:hideMark/>
          </w:tcPr>
          <w:p w14:paraId="7351344C"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D504EB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14</w:t>
            </w:r>
          </w:p>
        </w:tc>
        <w:tc>
          <w:tcPr>
            <w:tcW w:w="343" w:type="pct"/>
            <w:tcBorders>
              <w:top w:val="nil"/>
              <w:left w:val="nil"/>
              <w:bottom w:val="nil"/>
              <w:right w:val="nil"/>
            </w:tcBorders>
            <w:shd w:val="clear" w:color="auto" w:fill="auto"/>
            <w:noWrap/>
            <w:tcMar>
              <w:top w:w="6" w:type="dxa"/>
              <w:bottom w:w="6" w:type="dxa"/>
            </w:tcMar>
            <w:hideMark/>
          </w:tcPr>
          <w:p w14:paraId="5CE83C6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12.5</w:t>
            </w:r>
          </w:p>
        </w:tc>
        <w:tc>
          <w:tcPr>
            <w:tcW w:w="376" w:type="pct"/>
            <w:tcBorders>
              <w:top w:val="nil"/>
              <w:left w:val="nil"/>
              <w:bottom w:val="nil"/>
              <w:right w:val="nil"/>
            </w:tcBorders>
            <w:shd w:val="clear" w:color="auto" w:fill="auto"/>
            <w:noWrap/>
            <w:tcMar>
              <w:top w:w="6" w:type="dxa"/>
              <w:bottom w:w="6" w:type="dxa"/>
            </w:tcMar>
            <w:hideMark/>
          </w:tcPr>
          <w:p w14:paraId="54626CF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7.3</w:t>
            </w:r>
          </w:p>
        </w:tc>
        <w:tc>
          <w:tcPr>
            <w:tcW w:w="415" w:type="pct"/>
            <w:tcBorders>
              <w:top w:val="nil"/>
              <w:left w:val="nil"/>
              <w:bottom w:val="nil"/>
              <w:right w:val="nil"/>
            </w:tcBorders>
            <w:shd w:val="clear" w:color="auto" w:fill="auto"/>
            <w:noWrap/>
            <w:tcMar>
              <w:top w:w="6" w:type="dxa"/>
              <w:bottom w:w="6" w:type="dxa"/>
            </w:tcMar>
            <w:hideMark/>
          </w:tcPr>
          <w:p w14:paraId="5EFC5F3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11.3</w:t>
            </w:r>
          </w:p>
        </w:tc>
        <w:tc>
          <w:tcPr>
            <w:tcW w:w="123" w:type="pct"/>
            <w:tcBorders>
              <w:top w:val="nil"/>
              <w:left w:val="nil"/>
              <w:bottom w:val="nil"/>
              <w:right w:val="nil"/>
            </w:tcBorders>
            <w:shd w:val="clear" w:color="auto" w:fill="auto"/>
            <w:noWrap/>
            <w:tcMar>
              <w:top w:w="6" w:type="dxa"/>
              <w:bottom w:w="6" w:type="dxa"/>
            </w:tcMar>
            <w:hideMark/>
          </w:tcPr>
          <w:p w14:paraId="12DD55AA"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502C135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0.144</w:t>
            </w:r>
          </w:p>
        </w:tc>
        <w:tc>
          <w:tcPr>
            <w:tcW w:w="722" w:type="pct"/>
            <w:tcBorders>
              <w:top w:val="nil"/>
              <w:left w:val="nil"/>
              <w:bottom w:val="nil"/>
              <w:right w:val="nil"/>
            </w:tcBorders>
            <w:shd w:val="clear" w:color="auto" w:fill="auto"/>
            <w:noWrap/>
            <w:tcMar>
              <w:top w:w="6" w:type="dxa"/>
              <w:bottom w:w="6" w:type="dxa"/>
            </w:tcMar>
            <w:hideMark/>
          </w:tcPr>
          <w:p w14:paraId="45EE5CA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4F024164"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DE1B09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Isabela</w:t>
            </w:r>
          </w:p>
        </w:tc>
        <w:tc>
          <w:tcPr>
            <w:tcW w:w="810" w:type="pct"/>
            <w:tcBorders>
              <w:top w:val="nil"/>
              <w:left w:val="nil"/>
              <w:bottom w:val="nil"/>
              <w:right w:val="nil"/>
            </w:tcBorders>
            <w:shd w:val="clear" w:color="auto" w:fill="auto"/>
            <w:noWrap/>
            <w:tcMar>
              <w:top w:w="6" w:type="dxa"/>
              <w:bottom w:w="6" w:type="dxa"/>
            </w:tcMar>
            <w:hideMark/>
          </w:tcPr>
          <w:p w14:paraId="163F46C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ISA</w:t>
            </w:r>
          </w:p>
        </w:tc>
        <w:tc>
          <w:tcPr>
            <w:tcW w:w="123" w:type="pct"/>
            <w:tcBorders>
              <w:top w:val="nil"/>
              <w:left w:val="nil"/>
              <w:bottom w:val="nil"/>
              <w:right w:val="nil"/>
            </w:tcBorders>
            <w:shd w:val="clear" w:color="auto" w:fill="auto"/>
            <w:noWrap/>
            <w:tcMar>
              <w:top w:w="6" w:type="dxa"/>
              <w:bottom w:w="6" w:type="dxa"/>
            </w:tcMar>
            <w:hideMark/>
          </w:tcPr>
          <w:p w14:paraId="148AF831"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3260369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12.4</w:t>
            </w:r>
          </w:p>
        </w:tc>
        <w:tc>
          <w:tcPr>
            <w:tcW w:w="343" w:type="pct"/>
            <w:tcBorders>
              <w:top w:val="nil"/>
              <w:left w:val="nil"/>
              <w:bottom w:val="nil"/>
              <w:right w:val="nil"/>
            </w:tcBorders>
            <w:shd w:val="clear" w:color="auto" w:fill="auto"/>
            <w:noWrap/>
            <w:tcMar>
              <w:top w:w="6" w:type="dxa"/>
              <w:bottom w:w="6" w:type="dxa"/>
            </w:tcMar>
            <w:hideMark/>
          </w:tcPr>
          <w:p w14:paraId="301BCB1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13.2</w:t>
            </w:r>
          </w:p>
        </w:tc>
        <w:tc>
          <w:tcPr>
            <w:tcW w:w="376" w:type="pct"/>
            <w:tcBorders>
              <w:top w:val="nil"/>
              <w:left w:val="nil"/>
              <w:bottom w:val="nil"/>
              <w:right w:val="nil"/>
            </w:tcBorders>
            <w:shd w:val="clear" w:color="auto" w:fill="auto"/>
            <w:noWrap/>
            <w:tcMar>
              <w:top w:w="6" w:type="dxa"/>
              <w:bottom w:w="6" w:type="dxa"/>
            </w:tcMar>
            <w:hideMark/>
          </w:tcPr>
          <w:p w14:paraId="354B626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15.9</w:t>
            </w:r>
          </w:p>
        </w:tc>
        <w:tc>
          <w:tcPr>
            <w:tcW w:w="415" w:type="pct"/>
            <w:tcBorders>
              <w:top w:val="nil"/>
              <w:left w:val="nil"/>
              <w:bottom w:val="nil"/>
              <w:right w:val="nil"/>
            </w:tcBorders>
            <w:shd w:val="clear" w:color="auto" w:fill="auto"/>
            <w:noWrap/>
            <w:tcMar>
              <w:top w:w="6" w:type="dxa"/>
              <w:bottom w:w="6" w:type="dxa"/>
            </w:tcMar>
            <w:hideMark/>
          </w:tcPr>
          <w:p w14:paraId="280B384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13.8</w:t>
            </w:r>
          </w:p>
        </w:tc>
        <w:tc>
          <w:tcPr>
            <w:tcW w:w="123" w:type="pct"/>
            <w:tcBorders>
              <w:top w:val="nil"/>
              <w:left w:val="nil"/>
              <w:bottom w:val="nil"/>
              <w:right w:val="nil"/>
            </w:tcBorders>
            <w:shd w:val="clear" w:color="auto" w:fill="auto"/>
            <w:noWrap/>
            <w:tcMar>
              <w:top w:w="6" w:type="dxa"/>
              <w:bottom w:w="6" w:type="dxa"/>
            </w:tcMar>
            <w:hideMark/>
          </w:tcPr>
          <w:p w14:paraId="517BB9DD"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2962F9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0.099</w:t>
            </w:r>
          </w:p>
        </w:tc>
        <w:tc>
          <w:tcPr>
            <w:tcW w:w="722" w:type="pct"/>
            <w:tcBorders>
              <w:top w:val="nil"/>
              <w:left w:val="nil"/>
              <w:bottom w:val="nil"/>
              <w:right w:val="nil"/>
            </w:tcBorders>
            <w:shd w:val="clear" w:color="auto" w:fill="auto"/>
            <w:noWrap/>
            <w:tcMar>
              <w:top w:w="6" w:type="dxa"/>
              <w:bottom w:w="6" w:type="dxa"/>
            </w:tcMar>
            <w:hideMark/>
          </w:tcPr>
          <w:p w14:paraId="26ACD20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702252D7"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249373E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Nueva Vizcaya </w:t>
            </w:r>
          </w:p>
        </w:tc>
        <w:tc>
          <w:tcPr>
            <w:tcW w:w="810" w:type="pct"/>
            <w:tcBorders>
              <w:top w:val="nil"/>
              <w:left w:val="nil"/>
              <w:bottom w:val="nil"/>
              <w:right w:val="nil"/>
            </w:tcBorders>
            <w:shd w:val="clear" w:color="auto" w:fill="auto"/>
            <w:noWrap/>
            <w:tcMar>
              <w:top w:w="6" w:type="dxa"/>
              <w:bottom w:w="6" w:type="dxa"/>
            </w:tcMar>
            <w:hideMark/>
          </w:tcPr>
          <w:p w14:paraId="47D2C90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NUV</w:t>
            </w:r>
          </w:p>
        </w:tc>
        <w:tc>
          <w:tcPr>
            <w:tcW w:w="123" w:type="pct"/>
            <w:tcBorders>
              <w:top w:val="nil"/>
              <w:left w:val="nil"/>
              <w:bottom w:val="nil"/>
              <w:right w:val="nil"/>
            </w:tcBorders>
            <w:shd w:val="clear" w:color="auto" w:fill="auto"/>
            <w:noWrap/>
            <w:tcMar>
              <w:top w:w="6" w:type="dxa"/>
              <w:bottom w:w="6" w:type="dxa"/>
            </w:tcMar>
            <w:hideMark/>
          </w:tcPr>
          <w:p w14:paraId="7C75DB8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5074357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10.5</w:t>
            </w:r>
          </w:p>
        </w:tc>
        <w:tc>
          <w:tcPr>
            <w:tcW w:w="343" w:type="pct"/>
            <w:tcBorders>
              <w:top w:val="nil"/>
              <w:left w:val="nil"/>
              <w:bottom w:val="nil"/>
              <w:right w:val="nil"/>
            </w:tcBorders>
            <w:shd w:val="clear" w:color="auto" w:fill="auto"/>
            <w:noWrap/>
            <w:tcMar>
              <w:top w:w="6" w:type="dxa"/>
              <w:bottom w:w="6" w:type="dxa"/>
            </w:tcMar>
            <w:hideMark/>
          </w:tcPr>
          <w:p w14:paraId="15340BA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11.6</w:t>
            </w:r>
          </w:p>
        </w:tc>
        <w:tc>
          <w:tcPr>
            <w:tcW w:w="376" w:type="pct"/>
            <w:tcBorders>
              <w:top w:val="nil"/>
              <w:left w:val="nil"/>
              <w:bottom w:val="nil"/>
              <w:right w:val="nil"/>
            </w:tcBorders>
            <w:shd w:val="clear" w:color="auto" w:fill="auto"/>
            <w:noWrap/>
            <w:tcMar>
              <w:top w:w="6" w:type="dxa"/>
              <w:bottom w:w="6" w:type="dxa"/>
            </w:tcMar>
            <w:hideMark/>
          </w:tcPr>
          <w:p w14:paraId="08AF849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10.8</w:t>
            </w:r>
          </w:p>
        </w:tc>
        <w:tc>
          <w:tcPr>
            <w:tcW w:w="415" w:type="pct"/>
            <w:tcBorders>
              <w:top w:val="nil"/>
              <w:left w:val="nil"/>
              <w:bottom w:val="nil"/>
              <w:right w:val="nil"/>
            </w:tcBorders>
            <w:shd w:val="clear" w:color="auto" w:fill="auto"/>
            <w:noWrap/>
            <w:tcMar>
              <w:top w:w="6" w:type="dxa"/>
              <w:bottom w:w="6" w:type="dxa"/>
            </w:tcMar>
            <w:hideMark/>
          </w:tcPr>
          <w:p w14:paraId="507F8CC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w:t>
            </w:r>
          </w:p>
        </w:tc>
        <w:tc>
          <w:tcPr>
            <w:tcW w:w="123" w:type="pct"/>
            <w:tcBorders>
              <w:top w:val="nil"/>
              <w:left w:val="nil"/>
              <w:bottom w:val="nil"/>
              <w:right w:val="nil"/>
            </w:tcBorders>
            <w:shd w:val="clear" w:color="auto" w:fill="auto"/>
            <w:noWrap/>
            <w:tcMar>
              <w:top w:w="6" w:type="dxa"/>
              <w:bottom w:w="6" w:type="dxa"/>
            </w:tcMar>
            <w:hideMark/>
          </w:tcPr>
          <w:p w14:paraId="48484692"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7C8233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0.014</w:t>
            </w:r>
          </w:p>
        </w:tc>
        <w:tc>
          <w:tcPr>
            <w:tcW w:w="722" w:type="pct"/>
            <w:tcBorders>
              <w:top w:val="nil"/>
              <w:left w:val="nil"/>
              <w:bottom w:val="nil"/>
              <w:right w:val="nil"/>
            </w:tcBorders>
            <w:shd w:val="clear" w:color="auto" w:fill="auto"/>
            <w:noWrap/>
            <w:tcMar>
              <w:top w:w="6" w:type="dxa"/>
              <w:bottom w:w="6" w:type="dxa"/>
            </w:tcMar>
            <w:hideMark/>
          </w:tcPr>
          <w:p w14:paraId="73FA9B3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54454660"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6FD100A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Quirino</w:t>
            </w:r>
          </w:p>
        </w:tc>
        <w:tc>
          <w:tcPr>
            <w:tcW w:w="810" w:type="pct"/>
            <w:tcBorders>
              <w:top w:val="nil"/>
              <w:left w:val="nil"/>
              <w:bottom w:val="nil"/>
              <w:right w:val="nil"/>
            </w:tcBorders>
            <w:shd w:val="clear" w:color="auto" w:fill="auto"/>
            <w:noWrap/>
            <w:tcMar>
              <w:top w:w="6" w:type="dxa"/>
              <w:bottom w:w="6" w:type="dxa"/>
            </w:tcMar>
            <w:hideMark/>
          </w:tcPr>
          <w:p w14:paraId="4013254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QUI</w:t>
            </w:r>
          </w:p>
        </w:tc>
        <w:tc>
          <w:tcPr>
            <w:tcW w:w="123" w:type="pct"/>
            <w:tcBorders>
              <w:top w:val="nil"/>
              <w:left w:val="nil"/>
              <w:bottom w:val="nil"/>
              <w:right w:val="nil"/>
            </w:tcBorders>
            <w:shd w:val="clear" w:color="auto" w:fill="auto"/>
            <w:noWrap/>
            <w:tcMar>
              <w:top w:w="6" w:type="dxa"/>
              <w:bottom w:w="6" w:type="dxa"/>
            </w:tcMar>
            <w:hideMark/>
          </w:tcPr>
          <w:p w14:paraId="398A7641"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FE7647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20.3</w:t>
            </w:r>
          </w:p>
        </w:tc>
        <w:tc>
          <w:tcPr>
            <w:tcW w:w="343" w:type="pct"/>
            <w:tcBorders>
              <w:top w:val="nil"/>
              <w:left w:val="nil"/>
              <w:bottom w:val="nil"/>
              <w:right w:val="nil"/>
            </w:tcBorders>
            <w:shd w:val="clear" w:color="auto" w:fill="auto"/>
            <w:noWrap/>
            <w:tcMar>
              <w:top w:w="6" w:type="dxa"/>
              <w:bottom w:w="6" w:type="dxa"/>
            </w:tcMar>
            <w:hideMark/>
          </w:tcPr>
          <w:p w14:paraId="3B05322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8.9</w:t>
            </w:r>
          </w:p>
        </w:tc>
        <w:tc>
          <w:tcPr>
            <w:tcW w:w="376" w:type="pct"/>
            <w:tcBorders>
              <w:top w:val="nil"/>
              <w:left w:val="nil"/>
              <w:bottom w:val="nil"/>
              <w:right w:val="nil"/>
            </w:tcBorders>
            <w:shd w:val="clear" w:color="auto" w:fill="auto"/>
            <w:noWrap/>
            <w:tcMar>
              <w:top w:w="6" w:type="dxa"/>
              <w:bottom w:w="6" w:type="dxa"/>
            </w:tcMar>
            <w:hideMark/>
          </w:tcPr>
          <w:p w14:paraId="516283C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6.2</w:t>
            </w:r>
          </w:p>
        </w:tc>
        <w:tc>
          <w:tcPr>
            <w:tcW w:w="415" w:type="pct"/>
            <w:tcBorders>
              <w:top w:val="nil"/>
              <w:left w:val="nil"/>
              <w:bottom w:val="nil"/>
              <w:right w:val="nil"/>
            </w:tcBorders>
            <w:shd w:val="clear" w:color="auto" w:fill="auto"/>
            <w:noWrap/>
            <w:tcMar>
              <w:top w:w="6" w:type="dxa"/>
              <w:bottom w:w="6" w:type="dxa"/>
            </w:tcMar>
            <w:hideMark/>
          </w:tcPr>
          <w:p w14:paraId="4B6608D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11.8</w:t>
            </w:r>
          </w:p>
        </w:tc>
        <w:tc>
          <w:tcPr>
            <w:tcW w:w="123" w:type="pct"/>
            <w:tcBorders>
              <w:top w:val="nil"/>
              <w:left w:val="nil"/>
              <w:bottom w:val="nil"/>
              <w:right w:val="nil"/>
            </w:tcBorders>
            <w:shd w:val="clear" w:color="auto" w:fill="auto"/>
            <w:noWrap/>
            <w:tcMar>
              <w:top w:w="6" w:type="dxa"/>
              <w:bottom w:w="6" w:type="dxa"/>
            </w:tcMar>
            <w:hideMark/>
          </w:tcPr>
          <w:p w14:paraId="246DE5A4"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70F8DA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-0.023</w:t>
            </w:r>
          </w:p>
        </w:tc>
        <w:tc>
          <w:tcPr>
            <w:tcW w:w="722" w:type="pct"/>
            <w:tcBorders>
              <w:top w:val="nil"/>
              <w:left w:val="nil"/>
              <w:bottom w:val="nil"/>
              <w:right w:val="nil"/>
            </w:tcBorders>
            <w:shd w:val="clear" w:color="auto" w:fill="auto"/>
            <w:noWrap/>
            <w:tcMar>
              <w:top w:w="6" w:type="dxa"/>
              <w:bottom w:w="6" w:type="dxa"/>
            </w:tcMar>
            <w:hideMark/>
          </w:tcPr>
          <w:p w14:paraId="1AB95D8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7B8479BF"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0A9BE4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Aurora </w:t>
            </w:r>
          </w:p>
        </w:tc>
        <w:tc>
          <w:tcPr>
            <w:tcW w:w="810" w:type="pct"/>
            <w:tcBorders>
              <w:top w:val="nil"/>
              <w:left w:val="nil"/>
              <w:bottom w:val="nil"/>
              <w:right w:val="nil"/>
            </w:tcBorders>
            <w:shd w:val="clear" w:color="auto" w:fill="auto"/>
            <w:noWrap/>
            <w:tcMar>
              <w:top w:w="6" w:type="dxa"/>
              <w:bottom w:w="6" w:type="dxa"/>
            </w:tcMar>
            <w:hideMark/>
          </w:tcPr>
          <w:p w14:paraId="0AF53E6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AUR</w:t>
            </w:r>
          </w:p>
        </w:tc>
        <w:tc>
          <w:tcPr>
            <w:tcW w:w="123" w:type="pct"/>
            <w:tcBorders>
              <w:top w:val="nil"/>
              <w:left w:val="nil"/>
              <w:bottom w:val="nil"/>
              <w:right w:val="nil"/>
            </w:tcBorders>
            <w:shd w:val="clear" w:color="auto" w:fill="auto"/>
            <w:noWrap/>
            <w:tcMar>
              <w:top w:w="6" w:type="dxa"/>
              <w:bottom w:w="6" w:type="dxa"/>
            </w:tcMar>
            <w:hideMark/>
          </w:tcPr>
          <w:p w14:paraId="7D67A705"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C7F599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27.3</w:t>
            </w:r>
          </w:p>
        </w:tc>
        <w:tc>
          <w:tcPr>
            <w:tcW w:w="343" w:type="pct"/>
            <w:tcBorders>
              <w:top w:val="nil"/>
              <w:left w:val="nil"/>
              <w:bottom w:val="nil"/>
              <w:right w:val="nil"/>
            </w:tcBorders>
            <w:shd w:val="clear" w:color="auto" w:fill="auto"/>
            <w:noWrap/>
            <w:tcMar>
              <w:top w:w="6" w:type="dxa"/>
              <w:bottom w:w="6" w:type="dxa"/>
            </w:tcMar>
            <w:hideMark/>
          </w:tcPr>
          <w:p w14:paraId="0C9D1EA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11.8</w:t>
            </w:r>
          </w:p>
        </w:tc>
        <w:tc>
          <w:tcPr>
            <w:tcW w:w="376" w:type="pct"/>
            <w:tcBorders>
              <w:top w:val="nil"/>
              <w:left w:val="nil"/>
              <w:bottom w:val="nil"/>
              <w:right w:val="nil"/>
            </w:tcBorders>
            <w:shd w:val="clear" w:color="auto" w:fill="auto"/>
            <w:noWrap/>
            <w:tcMar>
              <w:top w:w="6" w:type="dxa"/>
              <w:bottom w:w="6" w:type="dxa"/>
            </w:tcMar>
            <w:hideMark/>
          </w:tcPr>
          <w:p w14:paraId="02AE690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16.5</w:t>
            </w:r>
          </w:p>
        </w:tc>
        <w:tc>
          <w:tcPr>
            <w:tcW w:w="415" w:type="pct"/>
            <w:tcBorders>
              <w:top w:val="nil"/>
              <w:left w:val="nil"/>
              <w:bottom w:val="nil"/>
              <w:right w:val="nil"/>
            </w:tcBorders>
            <w:shd w:val="clear" w:color="auto" w:fill="auto"/>
            <w:noWrap/>
            <w:tcMar>
              <w:top w:w="6" w:type="dxa"/>
              <w:bottom w:w="6" w:type="dxa"/>
            </w:tcMar>
            <w:hideMark/>
          </w:tcPr>
          <w:p w14:paraId="7800026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18.5</w:t>
            </w:r>
          </w:p>
        </w:tc>
        <w:tc>
          <w:tcPr>
            <w:tcW w:w="123" w:type="pct"/>
            <w:tcBorders>
              <w:top w:val="nil"/>
              <w:left w:val="nil"/>
              <w:bottom w:val="nil"/>
              <w:right w:val="nil"/>
            </w:tcBorders>
            <w:shd w:val="clear" w:color="auto" w:fill="auto"/>
            <w:noWrap/>
            <w:tcMar>
              <w:top w:w="6" w:type="dxa"/>
              <w:bottom w:w="6" w:type="dxa"/>
            </w:tcMar>
            <w:hideMark/>
          </w:tcPr>
          <w:p w14:paraId="33688FCC"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D614B0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-0.096</w:t>
            </w:r>
          </w:p>
        </w:tc>
        <w:tc>
          <w:tcPr>
            <w:tcW w:w="722" w:type="pct"/>
            <w:tcBorders>
              <w:top w:val="nil"/>
              <w:left w:val="nil"/>
              <w:bottom w:val="nil"/>
              <w:right w:val="nil"/>
            </w:tcBorders>
            <w:shd w:val="clear" w:color="auto" w:fill="auto"/>
            <w:noWrap/>
            <w:tcMar>
              <w:top w:w="6" w:type="dxa"/>
              <w:bottom w:w="6" w:type="dxa"/>
            </w:tcMar>
            <w:hideMark/>
          </w:tcPr>
          <w:p w14:paraId="2887C45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4B3BF054"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243F986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Bataan</w:t>
            </w:r>
          </w:p>
        </w:tc>
        <w:tc>
          <w:tcPr>
            <w:tcW w:w="810" w:type="pct"/>
            <w:tcBorders>
              <w:top w:val="nil"/>
              <w:left w:val="nil"/>
              <w:bottom w:val="nil"/>
              <w:right w:val="nil"/>
            </w:tcBorders>
            <w:shd w:val="clear" w:color="auto" w:fill="auto"/>
            <w:noWrap/>
            <w:tcMar>
              <w:top w:w="6" w:type="dxa"/>
              <w:bottom w:w="6" w:type="dxa"/>
            </w:tcMar>
            <w:hideMark/>
          </w:tcPr>
          <w:p w14:paraId="36C6D01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BAN</w:t>
            </w:r>
          </w:p>
        </w:tc>
        <w:tc>
          <w:tcPr>
            <w:tcW w:w="123" w:type="pct"/>
            <w:tcBorders>
              <w:top w:val="nil"/>
              <w:left w:val="nil"/>
              <w:bottom w:val="nil"/>
              <w:right w:val="nil"/>
            </w:tcBorders>
            <w:shd w:val="clear" w:color="auto" w:fill="auto"/>
            <w:noWrap/>
            <w:tcMar>
              <w:top w:w="6" w:type="dxa"/>
              <w:bottom w:w="6" w:type="dxa"/>
            </w:tcMar>
            <w:hideMark/>
          </w:tcPr>
          <w:p w14:paraId="04298A9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8B6E8A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0.8</w:t>
            </w:r>
          </w:p>
        </w:tc>
        <w:tc>
          <w:tcPr>
            <w:tcW w:w="343" w:type="pct"/>
            <w:tcBorders>
              <w:top w:val="nil"/>
              <w:left w:val="nil"/>
              <w:bottom w:val="nil"/>
              <w:right w:val="nil"/>
            </w:tcBorders>
            <w:shd w:val="clear" w:color="auto" w:fill="auto"/>
            <w:noWrap/>
            <w:tcMar>
              <w:top w:w="6" w:type="dxa"/>
              <w:bottom w:w="6" w:type="dxa"/>
            </w:tcMar>
            <w:hideMark/>
          </w:tcPr>
          <w:p w14:paraId="2C08E73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5.8</w:t>
            </w:r>
          </w:p>
        </w:tc>
        <w:tc>
          <w:tcPr>
            <w:tcW w:w="376" w:type="pct"/>
            <w:tcBorders>
              <w:top w:val="nil"/>
              <w:left w:val="nil"/>
              <w:bottom w:val="nil"/>
              <w:right w:val="nil"/>
            </w:tcBorders>
            <w:shd w:val="clear" w:color="auto" w:fill="auto"/>
            <w:noWrap/>
            <w:tcMar>
              <w:top w:w="6" w:type="dxa"/>
              <w:bottom w:w="6" w:type="dxa"/>
            </w:tcMar>
            <w:hideMark/>
          </w:tcPr>
          <w:p w14:paraId="6C9A6BC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w:t>
            </w:r>
          </w:p>
        </w:tc>
        <w:tc>
          <w:tcPr>
            <w:tcW w:w="415" w:type="pct"/>
            <w:tcBorders>
              <w:top w:val="nil"/>
              <w:left w:val="nil"/>
              <w:bottom w:val="nil"/>
              <w:right w:val="nil"/>
            </w:tcBorders>
            <w:shd w:val="clear" w:color="auto" w:fill="auto"/>
            <w:noWrap/>
            <w:tcMar>
              <w:top w:w="6" w:type="dxa"/>
              <w:bottom w:w="6" w:type="dxa"/>
            </w:tcMar>
            <w:hideMark/>
          </w:tcPr>
          <w:p w14:paraId="7B2508A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5.2</w:t>
            </w:r>
          </w:p>
        </w:tc>
        <w:tc>
          <w:tcPr>
            <w:tcW w:w="123" w:type="pct"/>
            <w:tcBorders>
              <w:top w:val="nil"/>
              <w:left w:val="nil"/>
              <w:bottom w:val="nil"/>
              <w:right w:val="nil"/>
            </w:tcBorders>
            <w:shd w:val="clear" w:color="auto" w:fill="auto"/>
            <w:noWrap/>
            <w:tcMar>
              <w:top w:w="6" w:type="dxa"/>
              <w:bottom w:w="6" w:type="dxa"/>
            </w:tcMar>
            <w:hideMark/>
          </w:tcPr>
          <w:p w14:paraId="56CAEA54"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18C80B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-0.04</w:t>
            </w:r>
          </w:p>
        </w:tc>
        <w:tc>
          <w:tcPr>
            <w:tcW w:w="722" w:type="pct"/>
            <w:tcBorders>
              <w:top w:val="nil"/>
              <w:left w:val="nil"/>
              <w:bottom w:val="nil"/>
              <w:right w:val="nil"/>
            </w:tcBorders>
            <w:shd w:val="clear" w:color="auto" w:fill="auto"/>
            <w:noWrap/>
            <w:tcMar>
              <w:top w:w="6" w:type="dxa"/>
              <w:bottom w:w="6" w:type="dxa"/>
            </w:tcMar>
            <w:hideMark/>
          </w:tcPr>
          <w:p w14:paraId="4633C5E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33FF4FF6"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557FB64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Bulacan</w:t>
            </w:r>
          </w:p>
        </w:tc>
        <w:tc>
          <w:tcPr>
            <w:tcW w:w="810" w:type="pct"/>
            <w:tcBorders>
              <w:top w:val="nil"/>
              <w:left w:val="nil"/>
              <w:bottom w:val="nil"/>
              <w:right w:val="nil"/>
            </w:tcBorders>
            <w:shd w:val="clear" w:color="auto" w:fill="auto"/>
            <w:noWrap/>
            <w:tcMar>
              <w:top w:w="6" w:type="dxa"/>
              <w:bottom w:w="6" w:type="dxa"/>
            </w:tcMar>
            <w:hideMark/>
          </w:tcPr>
          <w:p w14:paraId="1F81CED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BUL</w:t>
            </w:r>
          </w:p>
        </w:tc>
        <w:tc>
          <w:tcPr>
            <w:tcW w:w="123" w:type="pct"/>
            <w:tcBorders>
              <w:top w:val="nil"/>
              <w:left w:val="nil"/>
              <w:bottom w:val="nil"/>
              <w:right w:val="nil"/>
            </w:tcBorders>
            <w:shd w:val="clear" w:color="auto" w:fill="auto"/>
            <w:noWrap/>
            <w:tcMar>
              <w:top w:w="6" w:type="dxa"/>
              <w:bottom w:w="6" w:type="dxa"/>
            </w:tcMar>
            <w:hideMark/>
          </w:tcPr>
          <w:p w14:paraId="51E8D549"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C4B40C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3.1</w:t>
            </w:r>
          </w:p>
        </w:tc>
        <w:tc>
          <w:tcPr>
            <w:tcW w:w="343" w:type="pct"/>
            <w:tcBorders>
              <w:top w:val="nil"/>
              <w:left w:val="nil"/>
              <w:bottom w:val="nil"/>
              <w:right w:val="nil"/>
            </w:tcBorders>
            <w:shd w:val="clear" w:color="auto" w:fill="auto"/>
            <w:noWrap/>
            <w:tcMar>
              <w:top w:w="6" w:type="dxa"/>
              <w:bottom w:w="6" w:type="dxa"/>
            </w:tcMar>
            <w:hideMark/>
          </w:tcPr>
          <w:p w14:paraId="1E01551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3.5</w:t>
            </w:r>
          </w:p>
        </w:tc>
        <w:tc>
          <w:tcPr>
            <w:tcW w:w="376" w:type="pct"/>
            <w:tcBorders>
              <w:top w:val="nil"/>
              <w:left w:val="nil"/>
              <w:bottom w:val="nil"/>
              <w:right w:val="nil"/>
            </w:tcBorders>
            <w:shd w:val="clear" w:color="auto" w:fill="auto"/>
            <w:noWrap/>
            <w:tcMar>
              <w:top w:w="6" w:type="dxa"/>
              <w:bottom w:w="6" w:type="dxa"/>
            </w:tcMar>
            <w:hideMark/>
          </w:tcPr>
          <w:p w14:paraId="342AD0D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8.3</w:t>
            </w:r>
          </w:p>
        </w:tc>
        <w:tc>
          <w:tcPr>
            <w:tcW w:w="415" w:type="pct"/>
            <w:tcBorders>
              <w:top w:val="nil"/>
              <w:left w:val="nil"/>
              <w:bottom w:val="nil"/>
              <w:right w:val="nil"/>
            </w:tcBorders>
            <w:shd w:val="clear" w:color="auto" w:fill="auto"/>
            <w:noWrap/>
            <w:tcMar>
              <w:top w:w="6" w:type="dxa"/>
              <w:bottom w:w="6" w:type="dxa"/>
            </w:tcMar>
            <w:hideMark/>
          </w:tcPr>
          <w:p w14:paraId="699A8E6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w:t>
            </w:r>
          </w:p>
        </w:tc>
        <w:tc>
          <w:tcPr>
            <w:tcW w:w="123" w:type="pct"/>
            <w:tcBorders>
              <w:top w:val="nil"/>
              <w:left w:val="nil"/>
              <w:bottom w:val="nil"/>
              <w:right w:val="nil"/>
            </w:tcBorders>
            <w:shd w:val="clear" w:color="auto" w:fill="auto"/>
            <w:noWrap/>
            <w:tcMar>
              <w:top w:w="6" w:type="dxa"/>
              <w:bottom w:w="6" w:type="dxa"/>
            </w:tcMar>
            <w:hideMark/>
          </w:tcPr>
          <w:p w14:paraId="69555456"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0991686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-0.059</w:t>
            </w:r>
          </w:p>
        </w:tc>
        <w:tc>
          <w:tcPr>
            <w:tcW w:w="722" w:type="pct"/>
            <w:tcBorders>
              <w:top w:val="nil"/>
              <w:left w:val="nil"/>
              <w:bottom w:val="nil"/>
              <w:right w:val="nil"/>
            </w:tcBorders>
            <w:shd w:val="clear" w:color="auto" w:fill="auto"/>
            <w:noWrap/>
            <w:tcMar>
              <w:top w:w="6" w:type="dxa"/>
              <w:bottom w:w="6" w:type="dxa"/>
            </w:tcMar>
            <w:hideMark/>
          </w:tcPr>
          <w:p w14:paraId="2A5FB06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7D565F54"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64AB637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Nueva Ecija </w:t>
            </w:r>
          </w:p>
        </w:tc>
        <w:tc>
          <w:tcPr>
            <w:tcW w:w="810" w:type="pct"/>
            <w:tcBorders>
              <w:top w:val="nil"/>
              <w:left w:val="nil"/>
              <w:bottom w:val="nil"/>
              <w:right w:val="nil"/>
            </w:tcBorders>
            <w:shd w:val="clear" w:color="auto" w:fill="auto"/>
            <w:noWrap/>
            <w:tcMar>
              <w:top w:w="6" w:type="dxa"/>
              <w:bottom w:w="6" w:type="dxa"/>
            </w:tcMar>
            <w:hideMark/>
          </w:tcPr>
          <w:p w14:paraId="1E13909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NUE</w:t>
            </w:r>
          </w:p>
        </w:tc>
        <w:tc>
          <w:tcPr>
            <w:tcW w:w="123" w:type="pct"/>
            <w:tcBorders>
              <w:top w:val="nil"/>
              <w:left w:val="nil"/>
              <w:bottom w:val="nil"/>
              <w:right w:val="nil"/>
            </w:tcBorders>
            <w:shd w:val="clear" w:color="auto" w:fill="auto"/>
            <w:noWrap/>
            <w:tcMar>
              <w:top w:w="6" w:type="dxa"/>
              <w:bottom w:w="6" w:type="dxa"/>
            </w:tcMar>
            <w:hideMark/>
          </w:tcPr>
          <w:p w14:paraId="6F9DD753"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155A846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16.8</w:t>
            </w:r>
          </w:p>
        </w:tc>
        <w:tc>
          <w:tcPr>
            <w:tcW w:w="343" w:type="pct"/>
            <w:tcBorders>
              <w:top w:val="nil"/>
              <w:left w:val="nil"/>
              <w:bottom w:val="nil"/>
              <w:right w:val="nil"/>
            </w:tcBorders>
            <w:shd w:val="clear" w:color="auto" w:fill="auto"/>
            <w:noWrap/>
            <w:tcMar>
              <w:top w:w="6" w:type="dxa"/>
              <w:bottom w:w="6" w:type="dxa"/>
            </w:tcMar>
            <w:hideMark/>
          </w:tcPr>
          <w:p w14:paraId="4C959FE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6.6</w:t>
            </w:r>
          </w:p>
        </w:tc>
        <w:tc>
          <w:tcPr>
            <w:tcW w:w="376" w:type="pct"/>
            <w:tcBorders>
              <w:top w:val="nil"/>
              <w:left w:val="nil"/>
              <w:bottom w:val="nil"/>
              <w:right w:val="nil"/>
            </w:tcBorders>
            <w:shd w:val="clear" w:color="auto" w:fill="auto"/>
            <w:noWrap/>
            <w:tcMar>
              <w:top w:w="6" w:type="dxa"/>
              <w:bottom w:w="6" w:type="dxa"/>
            </w:tcMar>
            <w:hideMark/>
          </w:tcPr>
          <w:p w14:paraId="23246E3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w:t>
            </w:r>
          </w:p>
        </w:tc>
        <w:tc>
          <w:tcPr>
            <w:tcW w:w="415" w:type="pct"/>
            <w:tcBorders>
              <w:top w:val="nil"/>
              <w:left w:val="nil"/>
              <w:bottom w:val="nil"/>
              <w:right w:val="nil"/>
            </w:tcBorders>
            <w:shd w:val="clear" w:color="auto" w:fill="auto"/>
            <w:noWrap/>
            <w:tcMar>
              <w:top w:w="6" w:type="dxa"/>
              <w:bottom w:w="6" w:type="dxa"/>
            </w:tcMar>
            <w:hideMark/>
          </w:tcPr>
          <w:p w14:paraId="47A5BD4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11.1</w:t>
            </w:r>
          </w:p>
        </w:tc>
        <w:tc>
          <w:tcPr>
            <w:tcW w:w="123" w:type="pct"/>
            <w:tcBorders>
              <w:top w:val="nil"/>
              <w:left w:val="nil"/>
              <w:bottom w:val="nil"/>
              <w:right w:val="nil"/>
            </w:tcBorders>
            <w:shd w:val="clear" w:color="auto" w:fill="auto"/>
            <w:noWrap/>
            <w:tcMar>
              <w:top w:w="6" w:type="dxa"/>
              <w:bottom w:w="6" w:type="dxa"/>
            </w:tcMar>
            <w:hideMark/>
          </w:tcPr>
          <w:p w14:paraId="3C5C1415"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337B2CB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0.032</w:t>
            </w:r>
          </w:p>
        </w:tc>
        <w:tc>
          <w:tcPr>
            <w:tcW w:w="722" w:type="pct"/>
            <w:tcBorders>
              <w:top w:val="nil"/>
              <w:left w:val="nil"/>
              <w:bottom w:val="nil"/>
              <w:right w:val="nil"/>
            </w:tcBorders>
            <w:shd w:val="clear" w:color="auto" w:fill="auto"/>
            <w:noWrap/>
            <w:tcMar>
              <w:top w:w="6" w:type="dxa"/>
              <w:bottom w:w="6" w:type="dxa"/>
            </w:tcMar>
            <w:hideMark/>
          </w:tcPr>
          <w:p w14:paraId="176E4B9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47871140"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75940F4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Pampanga</w:t>
            </w:r>
          </w:p>
        </w:tc>
        <w:tc>
          <w:tcPr>
            <w:tcW w:w="810" w:type="pct"/>
            <w:tcBorders>
              <w:top w:val="nil"/>
              <w:left w:val="nil"/>
              <w:bottom w:val="nil"/>
              <w:right w:val="nil"/>
            </w:tcBorders>
            <w:shd w:val="clear" w:color="auto" w:fill="auto"/>
            <w:noWrap/>
            <w:tcMar>
              <w:top w:w="6" w:type="dxa"/>
              <w:bottom w:w="6" w:type="dxa"/>
            </w:tcMar>
            <w:hideMark/>
          </w:tcPr>
          <w:p w14:paraId="4C1BEB7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PAM</w:t>
            </w:r>
          </w:p>
        </w:tc>
        <w:tc>
          <w:tcPr>
            <w:tcW w:w="123" w:type="pct"/>
            <w:tcBorders>
              <w:top w:val="nil"/>
              <w:left w:val="nil"/>
              <w:bottom w:val="nil"/>
              <w:right w:val="nil"/>
            </w:tcBorders>
            <w:shd w:val="clear" w:color="auto" w:fill="auto"/>
            <w:noWrap/>
            <w:tcMar>
              <w:top w:w="6" w:type="dxa"/>
              <w:bottom w:w="6" w:type="dxa"/>
            </w:tcMar>
            <w:hideMark/>
          </w:tcPr>
          <w:p w14:paraId="6626179D"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5E64CFE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2.7</w:t>
            </w:r>
          </w:p>
        </w:tc>
        <w:tc>
          <w:tcPr>
            <w:tcW w:w="343" w:type="pct"/>
            <w:tcBorders>
              <w:top w:val="nil"/>
              <w:left w:val="nil"/>
              <w:bottom w:val="nil"/>
              <w:right w:val="nil"/>
            </w:tcBorders>
            <w:shd w:val="clear" w:color="auto" w:fill="auto"/>
            <w:noWrap/>
            <w:tcMar>
              <w:top w:w="6" w:type="dxa"/>
              <w:bottom w:w="6" w:type="dxa"/>
            </w:tcMar>
            <w:hideMark/>
          </w:tcPr>
          <w:p w14:paraId="5C87CF8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2.1</w:t>
            </w:r>
          </w:p>
        </w:tc>
        <w:tc>
          <w:tcPr>
            <w:tcW w:w="376" w:type="pct"/>
            <w:tcBorders>
              <w:top w:val="nil"/>
              <w:left w:val="nil"/>
              <w:bottom w:val="nil"/>
              <w:right w:val="nil"/>
            </w:tcBorders>
            <w:shd w:val="clear" w:color="auto" w:fill="auto"/>
            <w:noWrap/>
            <w:tcMar>
              <w:top w:w="6" w:type="dxa"/>
              <w:bottom w:w="6" w:type="dxa"/>
            </w:tcMar>
            <w:hideMark/>
          </w:tcPr>
          <w:p w14:paraId="6130E08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2.9</w:t>
            </w:r>
          </w:p>
        </w:tc>
        <w:tc>
          <w:tcPr>
            <w:tcW w:w="415" w:type="pct"/>
            <w:tcBorders>
              <w:top w:val="nil"/>
              <w:left w:val="nil"/>
              <w:bottom w:val="nil"/>
              <w:right w:val="nil"/>
            </w:tcBorders>
            <w:shd w:val="clear" w:color="auto" w:fill="auto"/>
            <w:noWrap/>
            <w:tcMar>
              <w:top w:w="6" w:type="dxa"/>
              <w:bottom w:w="6" w:type="dxa"/>
            </w:tcMar>
            <w:hideMark/>
          </w:tcPr>
          <w:p w14:paraId="2B238D1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2.6</w:t>
            </w:r>
          </w:p>
        </w:tc>
        <w:tc>
          <w:tcPr>
            <w:tcW w:w="123" w:type="pct"/>
            <w:tcBorders>
              <w:top w:val="nil"/>
              <w:left w:val="nil"/>
              <w:bottom w:val="nil"/>
              <w:right w:val="nil"/>
            </w:tcBorders>
            <w:shd w:val="clear" w:color="auto" w:fill="auto"/>
            <w:noWrap/>
            <w:tcMar>
              <w:top w:w="6" w:type="dxa"/>
              <w:bottom w:w="6" w:type="dxa"/>
            </w:tcMar>
            <w:hideMark/>
          </w:tcPr>
          <w:p w14:paraId="0DE97019"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F7E2B6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-0.038</w:t>
            </w:r>
          </w:p>
        </w:tc>
        <w:tc>
          <w:tcPr>
            <w:tcW w:w="722" w:type="pct"/>
            <w:tcBorders>
              <w:top w:val="nil"/>
              <w:left w:val="nil"/>
              <w:bottom w:val="nil"/>
              <w:right w:val="nil"/>
            </w:tcBorders>
            <w:shd w:val="clear" w:color="auto" w:fill="auto"/>
            <w:noWrap/>
            <w:tcMar>
              <w:top w:w="6" w:type="dxa"/>
              <w:bottom w:w="6" w:type="dxa"/>
            </w:tcMar>
            <w:hideMark/>
          </w:tcPr>
          <w:p w14:paraId="3653CA5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501F48CD"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23AD985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Tarlac</w:t>
            </w:r>
          </w:p>
        </w:tc>
        <w:tc>
          <w:tcPr>
            <w:tcW w:w="810" w:type="pct"/>
            <w:tcBorders>
              <w:top w:val="nil"/>
              <w:left w:val="nil"/>
              <w:bottom w:val="nil"/>
              <w:right w:val="nil"/>
            </w:tcBorders>
            <w:shd w:val="clear" w:color="auto" w:fill="auto"/>
            <w:noWrap/>
            <w:tcMar>
              <w:top w:w="6" w:type="dxa"/>
              <w:bottom w:w="6" w:type="dxa"/>
            </w:tcMar>
            <w:hideMark/>
          </w:tcPr>
          <w:p w14:paraId="55B953F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TAR</w:t>
            </w:r>
          </w:p>
        </w:tc>
        <w:tc>
          <w:tcPr>
            <w:tcW w:w="123" w:type="pct"/>
            <w:tcBorders>
              <w:top w:val="nil"/>
              <w:left w:val="nil"/>
              <w:bottom w:val="nil"/>
              <w:right w:val="nil"/>
            </w:tcBorders>
            <w:shd w:val="clear" w:color="auto" w:fill="auto"/>
            <w:noWrap/>
            <w:tcMar>
              <w:top w:w="6" w:type="dxa"/>
              <w:bottom w:w="6" w:type="dxa"/>
            </w:tcMar>
            <w:hideMark/>
          </w:tcPr>
          <w:p w14:paraId="41D7CE5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F142A7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13.2</w:t>
            </w:r>
          </w:p>
        </w:tc>
        <w:tc>
          <w:tcPr>
            <w:tcW w:w="343" w:type="pct"/>
            <w:tcBorders>
              <w:top w:val="nil"/>
              <w:left w:val="nil"/>
              <w:bottom w:val="nil"/>
              <w:right w:val="nil"/>
            </w:tcBorders>
            <w:shd w:val="clear" w:color="auto" w:fill="auto"/>
            <w:noWrap/>
            <w:tcMar>
              <w:top w:w="6" w:type="dxa"/>
              <w:bottom w:w="6" w:type="dxa"/>
            </w:tcMar>
            <w:hideMark/>
          </w:tcPr>
          <w:p w14:paraId="13ACD91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7.7</w:t>
            </w:r>
          </w:p>
        </w:tc>
        <w:tc>
          <w:tcPr>
            <w:tcW w:w="376" w:type="pct"/>
            <w:tcBorders>
              <w:top w:val="nil"/>
              <w:left w:val="nil"/>
              <w:bottom w:val="nil"/>
              <w:right w:val="nil"/>
            </w:tcBorders>
            <w:shd w:val="clear" w:color="auto" w:fill="auto"/>
            <w:noWrap/>
            <w:tcMar>
              <w:top w:w="6" w:type="dxa"/>
              <w:bottom w:w="6" w:type="dxa"/>
            </w:tcMar>
            <w:hideMark/>
          </w:tcPr>
          <w:p w14:paraId="6910148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8.1</w:t>
            </w:r>
          </w:p>
        </w:tc>
        <w:tc>
          <w:tcPr>
            <w:tcW w:w="415" w:type="pct"/>
            <w:tcBorders>
              <w:top w:val="nil"/>
              <w:left w:val="nil"/>
              <w:bottom w:val="nil"/>
              <w:right w:val="nil"/>
            </w:tcBorders>
            <w:shd w:val="clear" w:color="auto" w:fill="auto"/>
            <w:noWrap/>
            <w:tcMar>
              <w:top w:w="6" w:type="dxa"/>
              <w:bottom w:w="6" w:type="dxa"/>
            </w:tcMar>
            <w:hideMark/>
          </w:tcPr>
          <w:p w14:paraId="28EF5C9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9.7</w:t>
            </w:r>
          </w:p>
        </w:tc>
        <w:tc>
          <w:tcPr>
            <w:tcW w:w="123" w:type="pct"/>
            <w:tcBorders>
              <w:top w:val="nil"/>
              <w:left w:val="nil"/>
              <w:bottom w:val="nil"/>
              <w:right w:val="nil"/>
            </w:tcBorders>
            <w:shd w:val="clear" w:color="auto" w:fill="auto"/>
            <w:noWrap/>
            <w:tcMar>
              <w:top w:w="6" w:type="dxa"/>
              <w:bottom w:w="6" w:type="dxa"/>
            </w:tcMar>
            <w:hideMark/>
          </w:tcPr>
          <w:p w14:paraId="01C03B38"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6AC7A7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-0.023</w:t>
            </w:r>
          </w:p>
        </w:tc>
        <w:tc>
          <w:tcPr>
            <w:tcW w:w="722" w:type="pct"/>
            <w:tcBorders>
              <w:top w:val="nil"/>
              <w:left w:val="nil"/>
              <w:bottom w:val="nil"/>
              <w:right w:val="nil"/>
            </w:tcBorders>
            <w:shd w:val="clear" w:color="auto" w:fill="auto"/>
            <w:noWrap/>
            <w:tcMar>
              <w:top w:w="6" w:type="dxa"/>
              <w:bottom w:w="6" w:type="dxa"/>
            </w:tcMar>
            <w:hideMark/>
          </w:tcPr>
          <w:p w14:paraId="61E2AD4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24CFE02E"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5B38B48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Zambales </w:t>
            </w:r>
          </w:p>
        </w:tc>
        <w:tc>
          <w:tcPr>
            <w:tcW w:w="810" w:type="pct"/>
            <w:tcBorders>
              <w:top w:val="nil"/>
              <w:left w:val="nil"/>
              <w:bottom w:val="nil"/>
              <w:right w:val="nil"/>
            </w:tcBorders>
            <w:shd w:val="clear" w:color="auto" w:fill="auto"/>
            <w:noWrap/>
            <w:tcMar>
              <w:top w:w="6" w:type="dxa"/>
              <w:bottom w:w="6" w:type="dxa"/>
            </w:tcMar>
            <w:hideMark/>
          </w:tcPr>
          <w:p w14:paraId="29730AB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ZMB</w:t>
            </w:r>
          </w:p>
        </w:tc>
        <w:tc>
          <w:tcPr>
            <w:tcW w:w="123" w:type="pct"/>
            <w:tcBorders>
              <w:top w:val="nil"/>
              <w:left w:val="nil"/>
              <w:bottom w:val="nil"/>
              <w:right w:val="nil"/>
            </w:tcBorders>
            <w:shd w:val="clear" w:color="auto" w:fill="auto"/>
            <w:noWrap/>
            <w:tcMar>
              <w:top w:w="6" w:type="dxa"/>
              <w:bottom w:w="6" w:type="dxa"/>
            </w:tcMar>
            <w:hideMark/>
          </w:tcPr>
          <w:p w14:paraId="3D6E0C1B"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1D33F8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12.3</w:t>
            </w:r>
          </w:p>
        </w:tc>
        <w:tc>
          <w:tcPr>
            <w:tcW w:w="343" w:type="pct"/>
            <w:tcBorders>
              <w:top w:val="nil"/>
              <w:left w:val="nil"/>
              <w:bottom w:val="nil"/>
              <w:right w:val="nil"/>
            </w:tcBorders>
            <w:shd w:val="clear" w:color="auto" w:fill="auto"/>
            <w:noWrap/>
            <w:tcMar>
              <w:top w:w="6" w:type="dxa"/>
              <w:bottom w:w="6" w:type="dxa"/>
            </w:tcMar>
            <w:hideMark/>
          </w:tcPr>
          <w:p w14:paraId="6039D29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10.9</w:t>
            </w:r>
          </w:p>
        </w:tc>
        <w:tc>
          <w:tcPr>
            <w:tcW w:w="376" w:type="pct"/>
            <w:tcBorders>
              <w:top w:val="nil"/>
              <w:left w:val="nil"/>
              <w:bottom w:val="nil"/>
              <w:right w:val="nil"/>
            </w:tcBorders>
            <w:shd w:val="clear" w:color="auto" w:fill="auto"/>
            <w:noWrap/>
            <w:tcMar>
              <w:top w:w="6" w:type="dxa"/>
              <w:bottom w:w="6" w:type="dxa"/>
            </w:tcMar>
            <w:hideMark/>
          </w:tcPr>
          <w:p w14:paraId="2551114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17.7</w:t>
            </w:r>
          </w:p>
        </w:tc>
        <w:tc>
          <w:tcPr>
            <w:tcW w:w="415" w:type="pct"/>
            <w:tcBorders>
              <w:top w:val="nil"/>
              <w:left w:val="nil"/>
              <w:bottom w:val="nil"/>
              <w:right w:val="nil"/>
            </w:tcBorders>
            <w:shd w:val="clear" w:color="auto" w:fill="auto"/>
            <w:noWrap/>
            <w:tcMar>
              <w:top w:w="6" w:type="dxa"/>
              <w:bottom w:w="6" w:type="dxa"/>
            </w:tcMar>
            <w:hideMark/>
          </w:tcPr>
          <w:p w14:paraId="32106E2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13.6</w:t>
            </w:r>
          </w:p>
        </w:tc>
        <w:tc>
          <w:tcPr>
            <w:tcW w:w="123" w:type="pct"/>
            <w:tcBorders>
              <w:top w:val="nil"/>
              <w:left w:val="nil"/>
              <w:bottom w:val="nil"/>
              <w:right w:val="nil"/>
            </w:tcBorders>
            <w:shd w:val="clear" w:color="auto" w:fill="auto"/>
            <w:noWrap/>
            <w:tcMar>
              <w:top w:w="6" w:type="dxa"/>
              <w:bottom w:w="6" w:type="dxa"/>
            </w:tcMar>
            <w:hideMark/>
          </w:tcPr>
          <w:p w14:paraId="3B5F22E4"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BCA524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-0.037</w:t>
            </w:r>
          </w:p>
        </w:tc>
        <w:tc>
          <w:tcPr>
            <w:tcW w:w="722" w:type="pct"/>
            <w:tcBorders>
              <w:top w:val="nil"/>
              <w:left w:val="nil"/>
              <w:bottom w:val="nil"/>
              <w:right w:val="nil"/>
            </w:tcBorders>
            <w:shd w:val="clear" w:color="auto" w:fill="auto"/>
            <w:noWrap/>
            <w:tcMar>
              <w:top w:w="6" w:type="dxa"/>
              <w:bottom w:w="6" w:type="dxa"/>
            </w:tcMar>
            <w:hideMark/>
          </w:tcPr>
          <w:p w14:paraId="2BC44D2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7C20F2F1"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55D7FB7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Batangas </w:t>
            </w:r>
          </w:p>
        </w:tc>
        <w:tc>
          <w:tcPr>
            <w:tcW w:w="810" w:type="pct"/>
            <w:tcBorders>
              <w:top w:val="nil"/>
              <w:left w:val="nil"/>
              <w:bottom w:val="nil"/>
              <w:right w:val="nil"/>
            </w:tcBorders>
            <w:shd w:val="clear" w:color="auto" w:fill="auto"/>
            <w:noWrap/>
            <w:tcMar>
              <w:top w:w="6" w:type="dxa"/>
              <w:bottom w:w="6" w:type="dxa"/>
            </w:tcMar>
            <w:hideMark/>
          </w:tcPr>
          <w:p w14:paraId="59D7956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BTG</w:t>
            </w:r>
          </w:p>
        </w:tc>
        <w:tc>
          <w:tcPr>
            <w:tcW w:w="123" w:type="pct"/>
            <w:tcBorders>
              <w:top w:val="nil"/>
              <w:left w:val="nil"/>
              <w:bottom w:val="nil"/>
              <w:right w:val="nil"/>
            </w:tcBorders>
            <w:shd w:val="clear" w:color="auto" w:fill="auto"/>
            <w:noWrap/>
            <w:tcMar>
              <w:top w:w="6" w:type="dxa"/>
              <w:bottom w:w="6" w:type="dxa"/>
            </w:tcMar>
            <w:hideMark/>
          </w:tcPr>
          <w:p w14:paraId="3E8C0DC0"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1DF85D7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17.4</w:t>
            </w:r>
          </w:p>
        </w:tc>
        <w:tc>
          <w:tcPr>
            <w:tcW w:w="343" w:type="pct"/>
            <w:tcBorders>
              <w:top w:val="nil"/>
              <w:left w:val="nil"/>
              <w:bottom w:val="nil"/>
              <w:right w:val="nil"/>
            </w:tcBorders>
            <w:shd w:val="clear" w:color="auto" w:fill="auto"/>
            <w:noWrap/>
            <w:tcMar>
              <w:top w:w="6" w:type="dxa"/>
              <w:bottom w:w="6" w:type="dxa"/>
            </w:tcMar>
            <w:hideMark/>
          </w:tcPr>
          <w:p w14:paraId="5C26421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8.6</w:t>
            </w:r>
          </w:p>
        </w:tc>
        <w:tc>
          <w:tcPr>
            <w:tcW w:w="376" w:type="pct"/>
            <w:tcBorders>
              <w:top w:val="nil"/>
              <w:left w:val="nil"/>
              <w:bottom w:val="nil"/>
              <w:right w:val="nil"/>
            </w:tcBorders>
            <w:shd w:val="clear" w:color="auto" w:fill="auto"/>
            <w:noWrap/>
            <w:tcMar>
              <w:top w:w="6" w:type="dxa"/>
              <w:bottom w:w="6" w:type="dxa"/>
            </w:tcMar>
            <w:hideMark/>
          </w:tcPr>
          <w:p w14:paraId="42C3795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4.3</w:t>
            </w:r>
          </w:p>
        </w:tc>
        <w:tc>
          <w:tcPr>
            <w:tcW w:w="415" w:type="pct"/>
            <w:tcBorders>
              <w:top w:val="nil"/>
              <w:left w:val="nil"/>
              <w:bottom w:val="nil"/>
              <w:right w:val="nil"/>
            </w:tcBorders>
            <w:shd w:val="clear" w:color="auto" w:fill="auto"/>
            <w:noWrap/>
            <w:tcMar>
              <w:top w:w="6" w:type="dxa"/>
              <w:bottom w:w="6" w:type="dxa"/>
            </w:tcMar>
            <w:hideMark/>
          </w:tcPr>
          <w:p w14:paraId="60124BB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10.1</w:t>
            </w:r>
          </w:p>
        </w:tc>
        <w:tc>
          <w:tcPr>
            <w:tcW w:w="123" w:type="pct"/>
            <w:tcBorders>
              <w:top w:val="nil"/>
              <w:left w:val="nil"/>
              <w:bottom w:val="nil"/>
              <w:right w:val="nil"/>
            </w:tcBorders>
            <w:shd w:val="clear" w:color="auto" w:fill="auto"/>
            <w:noWrap/>
            <w:tcMar>
              <w:top w:w="6" w:type="dxa"/>
              <w:bottom w:w="6" w:type="dxa"/>
            </w:tcMar>
            <w:hideMark/>
          </w:tcPr>
          <w:p w14:paraId="38F011F6"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6CEDD9B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-0.091</w:t>
            </w:r>
          </w:p>
        </w:tc>
        <w:tc>
          <w:tcPr>
            <w:tcW w:w="722" w:type="pct"/>
            <w:tcBorders>
              <w:top w:val="nil"/>
              <w:left w:val="nil"/>
              <w:bottom w:val="nil"/>
              <w:right w:val="nil"/>
            </w:tcBorders>
            <w:shd w:val="clear" w:color="auto" w:fill="auto"/>
            <w:noWrap/>
            <w:tcMar>
              <w:top w:w="6" w:type="dxa"/>
              <w:bottom w:w="6" w:type="dxa"/>
            </w:tcMar>
            <w:hideMark/>
          </w:tcPr>
          <w:p w14:paraId="7BC6290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CC93B84"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1714FC1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Cavite </w:t>
            </w:r>
          </w:p>
        </w:tc>
        <w:tc>
          <w:tcPr>
            <w:tcW w:w="810" w:type="pct"/>
            <w:tcBorders>
              <w:top w:val="nil"/>
              <w:left w:val="nil"/>
              <w:bottom w:val="nil"/>
              <w:right w:val="nil"/>
            </w:tcBorders>
            <w:shd w:val="clear" w:color="auto" w:fill="auto"/>
            <w:noWrap/>
            <w:tcMar>
              <w:top w:w="6" w:type="dxa"/>
              <w:bottom w:w="6" w:type="dxa"/>
            </w:tcMar>
            <w:hideMark/>
          </w:tcPr>
          <w:p w14:paraId="1B16DD0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CAV</w:t>
            </w:r>
          </w:p>
        </w:tc>
        <w:tc>
          <w:tcPr>
            <w:tcW w:w="123" w:type="pct"/>
            <w:tcBorders>
              <w:top w:val="nil"/>
              <w:left w:val="nil"/>
              <w:bottom w:val="nil"/>
              <w:right w:val="nil"/>
            </w:tcBorders>
            <w:shd w:val="clear" w:color="auto" w:fill="auto"/>
            <w:noWrap/>
            <w:tcMar>
              <w:top w:w="6" w:type="dxa"/>
              <w:bottom w:w="6" w:type="dxa"/>
            </w:tcMar>
            <w:hideMark/>
          </w:tcPr>
          <w:p w14:paraId="572A7956"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137DB4A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6.1</w:t>
            </w:r>
          </w:p>
        </w:tc>
        <w:tc>
          <w:tcPr>
            <w:tcW w:w="343" w:type="pct"/>
            <w:tcBorders>
              <w:top w:val="nil"/>
              <w:left w:val="nil"/>
              <w:bottom w:val="nil"/>
              <w:right w:val="nil"/>
            </w:tcBorders>
            <w:shd w:val="clear" w:color="auto" w:fill="auto"/>
            <w:noWrap/>
            <w:tcMar>
              <w:top w:w="6" w:type="dxa"/>
              <w:bottom w:w="6" w:type="dxa"/>
            </w:tcMar>
            <w:hideMark/>
          </w:tcPr>
          <w:p w14:paraId="58875CE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3.7</w:t>
            </w:r>
          </w:p>
        </w:tc>
        <w:tc>
          <w:tcPr>
            <w:tcW w:w="376" w:type="pct"/>
            <w:tcBorders>
              <w:top w:val="nil"/>
              <w:left w:val="nil"/>
              <w:bottom w:val="nil"/>
              <w:right w:val="nil"/>
            </w:tcBorders>
            <w:shd w:val="clear" w:color="auto" w:fill="auto"/>
            <w:noWrap/>
            <w:tcMar>
              <w:top w:w="6" w:type="dxa"/>
              <w:bottom w:w="6" w:type="dxa"/>
            </w:tcMar>
            <w:hideMark/>
          </w:tcPr>
          <w:p w14:paraId="5C03F0A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7.1</w:t>
            </w:r>
          </w:p>
        </w:tc>
        <w:tc>
          <w:tcPr>
            <w:tcW w:w="415" w:type="pct"/>
            <w:tcBorders>
              <w:top w:val="nil"/>
              <w:left w:val="nil"/>
              <w:bottom w:val="nil"/>
              <w:right w:val="nil"/>
            </w:tcBorders>
            <w:shd w:val="clear" w:color="auto" w:fill="auto"/>
            <w:noWrap/>
            <w:tcMar>
              <w:top w:w="6" w:type="dxa"/>
              <w:bottom w:w="6" w:type="dxa"/>
            </w:tcMar>
            <w:hideMark/>
          </w:tcPr>
          <w:p w14:paraId="1E33C4E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5.6</w:t>
            </w:r>
          </w:p>
        </w:tc>
        <w:tc>
          <w:tcPr>
            <w:tcW w:w="123" w:type="pct"/>
            <w:tcBorders>
              <w:top w:val="nil"/>
              <w:left w:val="nil"/>
              <w:bottom w:val="nil"/>
              <w:right w:val="nil"/>
            </w:tcBorders>
            <w:shd w:val="clear" w:color="auto" w:fill="auto"/>
            <w:noWrap/>
            <w:tcMar>
              <w:top w:w="6" w:type="dxa"/>
              <w:bottom w:w="6" w:type="dxa"/>
            </w:tcMar>
            <w:hideMark/>
          </w:tcPr>
          <w:p w14:paraId="4315BF63"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345C214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-0.077</w:t>
            </w:r>
          </w:p>
        </w:tc>
        <w:tc>
          <w:tcPr>
            <w:tcW w:w="722" w:type="pct"/>
            <w:tcBorders>
              <w:top w:val="nil"/>
              <w:left w:val="nil"/>
              <w:bottom w:val="nil"/>
              <w:right w:val="nil"/>
            </w:tcBorders>
            <w:shd w:val="clear" w:color="auto" w:fill="auto"/>
            <w:noWrap/>
            <w:tcMar>
              <w:top w:w="6" w:type="dxa"/>
              <w:bottom w:w="6" w:type="dxa"/>
            </w:tcMar>
            <w:hideMark/>
          </w:tcPr>
          <w:p w14:paraId="4D75018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350B24B5"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6EFD00C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Laguna</w:t>
            </w:r>
          </w:p>
        </w:tc>
        <w:tc>
          <w:tcPr>
            <w:tcW w:w="810" w:type="pct"/>
            <w:tcBorders>
              <w:top w:val="nil"/>
              <w:left w:val="nil"/>
              <w:bottom w:val="nil"/>
              <w:right w:val="nil"/>
            </w:tcBorders>
            <w:shd w:val="clear" w:color="auto" w:fill="auto"/>
            <w:noWrap/>
            <w:tcMar>
              <w:top w:w="6" w:type="dxa"/>
              <w:bottom w:w="6" w:type="dxa"/>
            </w:tcMar>
            <w:hideMark/>
          </w:tcPr>
          <w:p w14:paraId="7B12E91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LAG</w:t>
            </w:r>
          </w:p>
        </w:tc>
        <w:tc>
          <w:tcPr>
            <w:tcW w:w="123" w:type="pct"/>
            <w:tcBorders>
              <w:top w:val="nil"/>
              <w:left w:val="nil"/>
              <w:bottom w:val="nil"/>
              <w:right w:val="nil"/>
            </w:tcBorders>
            <w:shd w:val="clear" w:color="auto" w:fill="auto"/>
            <w:noWrap/>
            <w:tcMar>
              <w:top w:w="6" w:type="dxa"/>
              <w:bottom w:w="6" w:type="dxa"/>
            </w:tcMar>
            <w:hideMark/>
          </w:tcPr>
          <w:p w14:paraId="1F8516A9"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FC31C3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3.8</w:t>
            </w:r>
          </w:p>
        </w:tc>
        <w:tc>
          <w:tcPr>
            <w:tcW w:w="343" w:type="pct"/>
            <w:tcBorders>
              <w:top w:val="nil"/>
              <w:left w:val="nil"/>
              <w:bottom w:val="nil"/>
              <w:right w:val="nil"/>
            </w:tcBorders>
            <w:shd w:val="clear" w:color="auto" w:fill="auto"/>
            <w:noWrap/>
            <w:tcMar>
              <w:top w:w="6" w:type="dxa"/>
              <w:bottom w:w="6" w:type="dxa"/>
            </w:tcMar>
            <w:hideMark/>
          </w:tcPr>
          <w:p w14:paraId="0B1F885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2.7</w:t>
            </w:r>
          </w:p>
        </w:tc>
        <w:tc>
          <w:tcPr>
            <w:tcW w:w="376" w:type="pct"/>
            <w:tcBorders>
              <w:top w:val="nil"/>
              <w:left w:val="nil"/>
              <w:bottom w:val="nil"/>
              <w:right w:val="nil"/>
            </w:tcBorders>
            <w:shd w:val="clear" w:color="auto" w:fill="auto"/>
            <w:noWrap/>
            <w:tcMar>
              <w:top w:w="6" w:type="dxa"/>
              <w:bottom w:w="6" w:type="dxa"/>
            </w:tcMar>
            <w:hideMark/>
          </w:tcPr>
          <w:p w14:paraId="53BE10D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6.9</w:t>
            </w:r>
          </w:p>
        </w:tc>
        <w:tc>
          <w:tcPr>
            <w:tcW w:w="415" w:type="pct"/>
            <w:tcBorders>
              <w:top w:val="nil"/>
              <w:left w:val="nil"/>
              <w:bottom w:val="nil"/>
              <w:right w:val="nil"/>
            </w:tcBorders>
            <w:shd w:val="clear" w:color="auto" w:fill="auto"/>
            <w:noWrap/>
            <w:tcMar>
              <w:top w:w="6" w:type="dxa"/>
              <w:bottom w:w="6" w:type="dxa"/>
            </w:tcMar>
            <w:hideMark/>
          </w:tcPr>
          <w:p w14:paraId="3D994B3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4.5</w:t>
            </w:r>
          </w:p>
        </w:tc>
        <w:tc>
          <w:tcPr>
            <w:tcW w:w="123" w:type="pct"/>
            <w:tcBorders>
              <w:top w:val="nil"/>
              <w:left w:val="nil"/>
              <w:bottom w:val="nil"/>
              <w:right w:val="nil"/>
            </w:tcBorders>
            <w:shd w:val="clear" w:color="auto" w:fill="auto"/>
            <w:noWrap/>
            <w:tcMar>
              <w:top w:w="6" w:type="dxa"/>
              <w:bottom w:w="6" w:type="dxa"/>
            </w:tcMar>
            <w:hideMark/>
          </w:tcPr>
          <w:p w14:paraId="3CE77CE2"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7AEC64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w:t>
            </w:r>
          </w:p>
        </w:tc>
        <w:tc>
          <w:tcPr>
            <w:tcW w:w="722" w:type="pct"/>
            <w:tcBorders>
              <w:top w:val="nil"/>
              <w:left w:val="nil"/>
              <w:bottom w:val="nil"/>
              <w:right w:val="nil"/>
            </w:tcBorders>
            <w:shd w:val="clear" w:color="auto" w:fill="auto"/>
            <w:noWrap/>
            <w:tcMar>
              <w:top w:w="6" w:type="dxa"/>
              <w:bottom w:w="6" w:type="dxa"/>
            </w:tcMar>
            <w:hideMark/>
          </w:tcPr>
          <w:p w14:paraId="26F8E23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203C2655"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78C0D9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Quezon </w:t>
            </w:r>
          </w:p>
        </w:tc>
        <w:tc>
          <w:tcPr>
            <w:tcW w:w="810" w:type="pct"/>
            <w:tcBorders>
              <w:top w:val="nil"/>
              <w:left w:val="nil"/>
              <w:bottom w:val="nil"/>
              <w:right w:val="nil"/>
            </w:tcBorders>
            <w:shd w:val="clear" w:color="auto" w:fill="auto"/>
            <w:noWrap/>
            <w:tcMar>
              <w:top w:w="6" w:type="dxa"/>
              <w:bottom w:w="6" w:type="dxa"/>
            </w:tcMar>
            <w:hideMark/>
          </w:tcPr>
          <w:p w14:paraId="22F251E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QUE</w:t>
            </w:r>
          </w:p>
        </w:tc>
        <w:tc>
          <w:tcPr>
            <w:tcW w:w="123" w:type="pct"/>
            <w:tcBorders>
              <w:top w:val="nil"/>
              <w:left w:val="nil"/>
              <w:bottom w:val="nil"/>
              <w:right w:val="nil"/>
            </w:tcBorders>
            <w:shd w:val="clear" w:color="auto" w:fill="auto"/>
            <w:noWrap/>
            <w:tcMar>
              <w:top w:w="6" w:type="dxa"/>
              <w:bottom w:w="6" w:type="dxa"/>
            </w:tcMar>
            <w:hideMark/>
          </w:tcPr>
          <w:p w14:paraId="453C713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3AD03F9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18.4</w:t>
            </w:r>
          </w:p>
        </w:tc>
        <w:tc>
          <w:tcPr>
            <w:tcW w:w="343" w:type="pct"/>
            <w:tcBorders>
              <w:top w:val="nil"/>
              <w:left w:val="nil"/>
              <w:bottom w:val="nil"/>
              <w:right w:val="nil"/>
            </w:tcBorders>
            <w:shd w:val="clear" w:color="auto" w:fill="auto"/>
            <w:noWrap/>
            <w:tcMar>
              <w:top w:w="6" w:type="dxa"/>
              <w:bottom w:w="6" w:type="dxa"/>
            </w:tcMar>
            <w:hideMark/>
          </w:tcPr>
          <w:p w14:paraId="62238FC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9.3</w:t>
            </w:r>
          </w:p>
        </w:tc>
        <w:tc>
          <w:tcPr>
            <w:tcW w:w="376" w:type="pct"/>
            <w:tcBorders>
              <w:top w:val="nil"/>
              <w:left w:val="nil"/>
              <w:bottom w:val="nil"/>
              <w:right w:val="nil"/>
            </w:tcBorders>
            <w:shd w:val="clear" w:color="auto" w:fill="auto"/>
            <w:noWrap/>
            <w:tcMar>
              <w:top w:w="6" w:type="dxa"/>
              <w:bottom w:w="6" w:type="dxa"/>
            </w:tcMar>
            <w:hideMark/>
          </w:tcPr>
          <w:p w14:paraId="09502AB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16.3</w:t>
            </w:r>
          </w:p>
        </w:tc>
        <w:tc>
          <w:tcPr>
            <w:tcW w:w="415" w:type="pct"/>
            <w:tcBorders>
              <w:top w:val="nil"/>
              <w:left w:val="nil"/>
              <w:bottom w:val="nil"/>
              <w:right w:val="nil"/>
            </w:tcBorders>
            <w:shd w:val="clear" w:color="auto" w:fill="auto"/>
            <w:noWrap/>
            <w:tcMar>
              <w:top w:w="6" w:type="dxa"/>
              <w:bottom w:w="6" w:type="dxa"/>
            </w:tcMar>
            <w:hideMark/>
          </w:tcPr>
          <w:p w14:paraId="6383DC1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14.7</w:t>
            </w:r>
          </w:p>
        </w:tc>
        <w:tc>
          <w:tcPr>
            <w:tcW w:w="123" w:type="pct"/>
            <w:tcBorders>
              <w:top w:val="nil"/>
              <w:left w:val="nil"/>
              <w:bottom w:val="nil"/>
              <w:right w:val="nil"/>
            </w:tcBorders>
            <w:shd w:val="clear" w:color="auto" w:fill="auto"/>
            <w:noWrap/>
            <w:tcMar>
              <w:top w:w="6" w:type="dxa"/>
              <w:bottom w:w="6" w:type="dxa"/>
            </w:tcMar>
            <w:hideMark/>
          </w:tcPr>
          <w:p w14:paraId="549F32E0"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7A6F910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-0.096</w:t>
            </w:r>
          </w:p>
        </w:tc>
        <w:tc>
          <w:tcPr>
            <w:tcW w:w="722" w:type="pct"/>
            <w:tcBorders>
              <w:top w:val="nil"/>
              <w:left w:val="nil"/>
              <w:bottom w:val="nil"/>
              <w:right w:val="nil"/>
            </w:tcBorders>
            <w:shd w:val="clear" w:color="auto" w:fill="auto"/>
            <w:noWrap/>
            <w:tcMar>
              <w:top w:w="6" w:type="dxa"/>
              <w:bottom w:w="6" w:type="dxa"/>
            </w:tcMar>
            <w:hideMark/>
          </w:tcPr>
          <w:p w14:paraId="251B37E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71A4AFC6"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E97521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Rizal</w:t>
            </w:r>
          </w:p>
        </w:tc>
        <w:tc>
          <w:tcPr>
            <w:tcW w:w="810" w:type="pct"/>
            <w:tcBorders>
              <w:top w:val="nil"/>
              <w:left w:val="nil"/>
              <w:bottom w:val="nil"/>
              <w:right w:val="nil"/>
            </w:tcBorders>
            <w:shd w:val="clear" w:color="auto" w:fill="auto"/>
            <w:noWrap/>
            <w:tcMar>
              <w:top w:w="6" w:type="dxa"/>
              <w:bottom w:w="6" w:type="dxa"/>
            </w:tcMar>
            <w:hideMark/>
          </w:tcPr>
          <w:p w14:paraId="4E33F8B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RIZ</w:t>
            </w:r>
          </w:p>
        </w:tc>
        <w:tc>
          <w:tcPr>
            <w:tcW w:w="123" w:type="pct"/>
            <w:tcBorders>
              <w:top w:val="nil"/>
              <w:left w:val="nil"/>
              <w:bottom w:val="nil"/>
              <w:right w:val="nil"/>
            </w:tcBorders>
            <w:shd w:val="clear" w:color="auto" w:fill="auto"/>
            <w:noWrap/>
            <w:tcMar>
              <w:top w:w="6" w:type="dxa"/>
              <w:bottom w:w="6" w:type="dxa"/>
            </w:tcMar>
            <w:hideMark/>
          </w:tcPr>
          <w:p w14:paraId="3AD97A91"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43FF0B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4.1</w:t>
            </w:r>
          </w:p>
        </w:tc>
        <w:tc>
          <w:tcPr>
            <w:tcW w:w="343" w:type="pct"/>
            <w:tcBorders>
              <w:top w:val="nil"/>
              <w:left w:val="nil"/>
              <w:bottom w:val="nil"/>
              <w:right w:val="nil"/>
            </w:tcBorders>
            <w:shd w:val="clear" w:color="auto" w:fill="auto"/>
            <w:noWrap/>
            <w:tcMar>
              <w:top w:w="6" w:type="dxa"/>
              <w:bottom w:w="6" w:type="dxa"/>
            </w:tcMar>
            <w:hideMark/>
          </w:tcPr>
          <w:p w14:paraId="6402160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3.3</w:t>
            </w:r>
          </w:p>
        </w:tc>
        <w:tc>
          <w:tcPr>
            <w:tcW w:w="376" w:type="pct"/>
            <w:tcBorders>
              <w:top w:val="nil"/>
              <w:left w:val="nil"/>
              <w:bottom w:val="nil"/>
              <w:right w:val="nil"/>
            </w:tcBorders>
            <w:shd w:val="clear" w:color="auto" w:fill="auto"/>
            <w:noWrap/>
            <w:tcMar>
              <w:top w:w="6" w:type="dxa"/>
              <w:bottom w:w="6" w:type="dxa"/>
            </w:tcMar>
            <w:hideMark/>
          </w:tcPr>
          <w:p w14:paraId="3F143FA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4.3</w:t>
            </w:r>
          </w:p>
        </w:tc>
        <w:tc>
          <w:tcPr>
            <w:tcW w:w="415" w:type="pct"/>
            <w:tcBorders>
              <w:top w:val="nil"/>
              <w:left w:val="nil"/>
              <w:bottom w:val="nil"/>
              <w:right w:val="nil"/>
            </w:tcBorders>
            <w:shd w:val="clear" w:color="auto" w:fill="auto"/>
            <w:noWrap/>
            <w:tcMar>
              <w:top w:w="6" w:type="dxa"/>
              <w:bottom w:w="6" w:type="dxa"/>
            </w:tcMar>
            <w:hideMark/>
          </w:tcPr>
          <w:p w14:paraId="06DA77C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3.9</w:t>
            </w:r>
          </w:p>
        </w:tc>
        <w:tc>
          <w:tcPr>
            <w:tcW w:w="123" w:type="pct"/>
            <w:tcBorders>
              <w:top w:val="nil"/>
              <w:left w:val="nil"/>
              <w:bottom w:val="nil"/>
              <w:right w:val="nil"/>
            </w:tcBorders>
            <w:shd w:val="clear" w:color="auto" w:fill="auto"/>
            <w:noWrap/>
            <w:tcMar>
              <w:top w:w="6" w:type="dxa"/>
              <w:bottom w:w="6" w:type="dxa"/>
            </w:tcMar>
            <w:hideMark/>
          </w:tcPr>
          <w:p w14:paraId="063106A7"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1D8D87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-0.067</w:t>
            </w:r>
          </w:p>
        </w:tc>
        <w:tc>
          <w:tcPr>
            <w:tcW w:w="722" w:type="pct"/>
            <w:tcBorders>
              <w:top w:val="nil"/>
              <w:left w:val="nil"/>
              <w:bottom w:val="nil"/>
              <w:right w:val="nil"/>
            </w:tcBorders>
            <w:shd w:val="clear" w:color="auto" w:fill="auto"/>
            <w:noWrap/>
            <w:tcMar>
              <w:top w:w="6" w:type="dxa"/>
              <w:bottom w:w="6" w:type="dxa"/>
            </w:tcMar>
            <w:hideMark/>
          </w:tcPr>
          <w:p w14:paraId="16F5E02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3E21112D"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55F831F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Marinduque </w:t>
            </w:r>
          </w:p>
        </w:tc>
        <w:tc>
          <w:tcPr>
            <w:tcW w:w="810" w:type="pct"/>
            <w:tcBorders>
              <w:top w:val="nil"/>
              <w:left w:val="nil"/>
              <w:bottom w:val="nil"/>
              <w:right w:val="nil"/>
            </w:tcBorders>
            <w:shd w:val="clear" w:color="auto" w:fill="auto"/>
            <w:noWrap/>
            <w:tcMar>
              <w:top w:w="6" w:type="dxa"/>
              <w:bottom w:w="6" w:type="dxa"/>
            </w:tcMar>
            <w:hideMark/>
          </w:tcPr>
          <w:p w14:paraId="2DA0E3D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MAD</w:t>
            </w:r>
          </w:p>
        </w:tc>
        <w:tc>
          <w:tcPr>
            <w:tcW w:w="123" w:type="pct"/>
            <w:tcBorders>
              <w:top w:val="nil"/>
              <w:left w:val="nil"/>
              <w:bottom w:val="nil"/>
              <w:right w:val="nil"/>
            </w:tcBorders>
            <w:shd w:val="clear" w:color="auto" w:fill="auto"/>
            <w:noWrap/>
            <w:tcMar>
              <w:top w:w="6" w:type="dxa"/>
              <w:bottom w:w="6" w:type="dxa"/>
            </w:tcMar>
            <w:hideMark/>
          </w:tcPr>
          <w:p w14:paraId="10524BB0"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02E4D7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12.5</w:t>
            </w:r>
          </w:p>
        </w:tc>
        <w:tc>
          <w:tcPr>
            <w:tcW w:w="343" w:type="pct"/>
            <w:tcBorders>
              <w:top w:val="nil"/>
              <w:left w:val="nil"/>
              <w:bottom w:val="nil"/>
              <w:right w:val="nil"/>
            </w:tcBorders>
            <w:shd w:val="clear" w:color="auto" w:fill="auto"/>
            <w:noWrap/>
            <w:tcMar>
              <w:top w:w="6" w:type="dxa"/>
              <w:bottom w:w="6" w:type="dxa"/>
            </w:tcMar>
            <w:hideMark/>
          </w:tcPr>
          <w:p w14:paraId="4B5EC6B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w:t>
            </w:r>
          </w:p>
        </w:tc>
        <w:tc>
          <w:tcPr>
            <w:tcW w:w="376" w:type="pct"/>
            <w:tcBorders>
              <w:top w:val="nil"/>
              <w:left w:val="nil"/>
              <w:bottom w:val="nil"/>
              <w:right w:val="nil"/>
            </w:tcBorders>
            <w:shd w:val="clear" w:color="auto" w:fill="auto"/>
            <w:noWrap/>
            <w:tcMar>
              <w:top w:w="6" w:type="dxa"/>
              <w:bottom w:w="6" w:type="dxa"/>
            </w:tcMar>
            <w:hideMark/>
          </w:tcPr>
          <w:p w14:paraId="0DFA375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15.6</w:t>
            </w:r>
          </w:p>
        </w:tc>
        <w:tc>
          <w:tcPr>
            <w:tcW w:w="415" w:type="pct"/>
            <w:tcBorders>
              <w:top w:val="nil"/>
              <w:left w:val="nil"/>
              <w:bottom w:val="nil"/>
              <w:right w:val="nil"/>
            </w:tcBorders>
            <w:shd w:val="clear" w:color="auto" w:fill="auto"/>
            <w:noWrap/>
            <w:tcMar>
              <w:top w:w="6" w:type="dxa"/>
              <w:bottom w:w="6" w:type="dxa"/>
            </w:tcMar>
            <w:hideMark/>
          </w:tcPr>
          <w:p w14:paraId="5328FA4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12.7</w:t>
            </w:r>
          </w:p>
        </w:tc>
        <w:tc>
          <w:tcPr>
            <w:tcW w:w="123" w:type="pct"/>
            <w:tcBorders>
              <w:top w:val="nil"/>
              <w:left w:val="nil"/>
              <w:bottom w:val="nil"/>
              <w:right w:val="nil"/>
            </w:tcBorders>
            <w:shd w:val="clear" w:color="auto" w:fill="auto"/>
            <w:noWrap/>
            <w:tcMar>
              <w:top w:w="6" w:type="dxa"/>
              <w:bottom w:w="6" w:type="dxa"/>
            </w:tcMar>
            <w:hideMark/>
          </w:tcPr>
          <w:p w14:paraId="6616B6E2"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072D95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-0.101</w:t>
            </w:r>
          </w:p>
        </w:tc>
        <w:tc>
          <w:tcPr>
            <w:tcW w:w="722" w:type="pct"/>
            <w:tcBorders>
              <w:top w:val="nil"/>
              <w:left w:val="nil"/>
              <w:bottom w:val="nil"/>
              <w:right w:val="nil"/>
            </w:tcBorders>
            <w:shd w:val="clear" w:color="auto" w:fill="auto"/>
            <w:noWrap/>
            <w:tcMar>
              <w:top w:w="6" w:type="dxa"/>
              <w:bottom w:w="6" w:type="dxa"/>
            </w:tcMar>
            <w:hideMark/>
          </w:tcPr>
          <w:p w14:paraId="2107AA6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5D331DCB"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159CCA6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Occidental Mindoro</w:t>
            </w:r>
          </w:p>
        </w:tc>
        <w:tc>
          <w:tcPr>
            <w:tcW w:w="810" w:type="pct"/>
            <w:tcBorders>
              <w:top w:val="nil"/>
              <w:left w:val="nil"/>
              <w:bottom w:val="nil"/>
              <w:right w:val="nil"/>
            </w:tcBorders>
            <w:shd w:val="clear" w:color="auto" w:fill="auto"/>
            <w:noWrap/>
            <w:tcMar>
              <w:top w:w="6" w:type="dxa"/>
              <w:bottom w:w="6" w:type="dxa"/>
            </w:tcMar>
            <w:hideMark/>
          </w:tcPr>
          <w:p w14:paraId="3B0ECB0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MDC</w:t>
            </w:r>
          </w:p>
        </w:tc>
        <w:tc>
          <w:tcPr>
            <w:tcW w:w="123" w:type="pct"/>
            <w:tcBorders>
              <w:top w:val="nil"/>
              <w:left w:val="nil"/>
              <w:bottom w:val="nil"/>
              <w:right w:val="nil"/>
            </w:tcBorders>
            <w:shd w:val="clear" w:color="auto" w:fill="auto"/>
            <w:noWrap/>
            <w:tcMar>
              <w:top w:w="6" w:type="dxa"/>
              <w:bottom w:w="6" w:type="dxa"/>
            </w:tcMar>
            <w:hideMark/>
          </w:tcPr>
          <w:p w14:paraId="4190C3E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9B883B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30.5</w:t>
            </w:r>
          </w:p>
        </w:tc>
        <w:tc>
          <w:tcPr>
            <w:tcW w:w="343" w:type="pct"/>
            <w:tcBorders>
              <w:top w:val="nil"/>
              <w:left w:val="nil"/>
              <w:bottom w:val="nil"/>
              <w:right w:val="nil"/>
            </w:tcBorders>
            <w:shd w:val="clear" w:color="auto" w:fill="auto"/>
            <w:noWrap/>
            <w:tcMar>
              <w:top w:w="6" w:type="dxa"/>
              <w:bottom w:w="6" w:type="dxa"/>
            </w:tcMar>
            <w:hideMark/>
          </w:tcPr>
          <w:p w14:paraId="66A27EB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16.1</w:t>
            </w:r>
          </w:p>
        </w:tc>
        <w:tc>
          <w:tcPr>
            <w:tcW w:w="376" w:type="pct"/>
            <w:tcBorders>
              <w:top w:val="nil"/>
              <w:left w:val="nil"/>
              <w:bottom w:val="nil"/>
              <w:right w:val="nil"/>
            </w:tcBorders>
            <w:shd w:val="clear" w:color="auto" w:fill="auto"/>
            <w:noWrap/>
            <w:tcMar>
              <w:top w:w="6" w:type="dxa"/>
              <w:bottom w:w="6" w:type="dxa"/>
            </w:tcMar>
            <w:hideMark/>
          </w:tcPr>
          <w:p w14:paraId="02E40DE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23</w:t>
            </w:r>
          </w:p>
        </w:tc>
        <w:tc>
          <w:tcPr>
            <w:tcW w:w="415" w:type="pct"/>
            <w:tcBorders>
              <w:top w:val="nil"/>
              <w:left w:val="nil"/>
              <w:bottom w:val="nil"/>
              <w:right w:val="nil"/>
            </w:tcBorders>
            <w:shd w:val="clear" w:color="auto" w:fill="auto"/>
            <w:noWrap/>
            <w:tcMar>
              <w:top w:w="6" w:type="dxa"/>
              <w:bottom w:w="6" w:type="dxa"/>
            </w:tcMar>
            <w:hideMark/>
          </w:tcPr>
          <w:p w14:paraId="01F5D4C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23.2</w:t>
            </w:r>
          </w:p>
        </w:tc>
        <w:tc>
          <w:tcPr>
            <w:tcW w:w="123" w:type="pct"/>
            <w:tcBorders>
              <w:top w:val="nil"/>
              <w:left w:val="nil"/>
              <w:bottom w:val="nil"/>
              <w:right w:val="nil"/>
            </w:tcBorders>
            <w:shd w:val="clear" w:color="auto" w:fill="auto"/>
            <w:noWrap/>
            <w:tcMar>
              <w:top w:w="6" w:type="dxa"/>
              <w:bottom w:w="6" w:type="dxa"/>
            </w:tcMar>
            <w:hideMark/>
          </w:tcPr>
          <w:p w14:paraId="4EEF72F6"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531A347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-0.018</w:t>
            </w:r>
          </w:p>
        </w:tc>
        <w:tc>
          <w:tcPr>
            <w:tcW w:w="722" w:type="pct"/>
            <w:tcBorders>
              <w:top w:val="nil"/>
              <w:left w:val="nil"/>
              <w:bottom w:val="nil"/>
              <w:right w:val="nil"/>
            </w:tcBorders>
            <w:shd w:val="clear" w:color="auto" w:fill="auto"/>
            <w:noWrap/>
            <w:tcMar>
              <w:top w:w="6" w:type="dxa"/>
              <w:bottom w:w="6" w:type="dxa"/>
            </w:tcMar>
            <w:hideMark/>
          </w:tcPr>
          <w:p w14:paraId="2F5B50A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6650F519"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D0AD4E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Oriental Mindoro</w:t>
            </w:r>
          </w:p>
        </w:tc>
        <w:tc>
          <w:tcPr>
            <w:tcW w:w="810" w:type="pct"/>
            <w:tcBorders>
              <w:top w:val="nil"/>
              <w:left w:val="nil"/>
              <w:bottom w:val="nil"/>
              <w:right w:val="nil"/>
            </w:tcBorders>
            <w:shd w:val="clear" w:color="auto" w:fill="auto"/>
            <w:noWrap/>
            <w:tcMar>
              <w:top w:w="6" w:type="dxa"/>
              <w:bottom w:w="6" w:type="dxa"/>
            </w:tcMar>
            <w:hideMark/>
          </w:tcPr>
          <w:p w14:paraId="7395974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MDR</w:t>
            </w:r>
          </w:p>
        </w:tc>
        <w:tc>
          <w:tcPr>
            <w:tcW w:w="123" w:type="pct"/>
            <w:tcBorders>
              <w:top w:val="nil"/>
              <w:left w:val="nil"/>
              <w:bottom w:val="nil"/>
              <w:right w:val="nil"/>
            </w:tcBorders>
            <w:shd w:val="clear" w:color="auto" w:fill="auto"/>
            <w:noWrap/>
            <w:tcMar>
              <w:top w:w="6" w:type="dxa"/>
              <w:bottom w:w="6" w:type="dxa"/>
            </w:tcMar>
            <w:hideMark/>
          </w:tcPr>
          <w:p w14:paraId="4CDA3D76"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B74C5A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15.3</w:t>
            </w:r>
          </w:p>
        </w:tc>
        <w:tc>
          <w:tcPr>
            <w:tcW w:w="343" w:type="pct"/>
            <w:tcBorders>
              <w:top w:val="nil"/>
              <w:left w:val="nil"/>
              <w:bottom w:val="nil"/>
              <w:right w:val="nil"/>
            </w:tcBorders>
            <w:shd w:val="clear" w:color="auto" w:fill="auto"/>
            <w:noWrap/>
            <w:tcMar>
              <w:top w:w="6" w:type="dxa"/>
              <w:bottom w:w="6" w:type="dxa"/>
            </w:tcMar>
            <w:hideMark/>
          </w:tcPr>
          <w:p w14:paraId="79CEDC0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7.3</w:t>
            </w:r>
          </w:p>
        </w:tc>
        <w:tc>
          <w:tcPr>
            <w:tcW w:w="376" w:type="pct"/>
            <w:tcBorders>
              <w:top w:val="nil"/>
              <w:left w:val="nil"/>
              <w:bottom w:val="nil"/>
              <w:right w:val="nil"/>
            </w:tcBorders>
            <w:shd w:val="clear" w:color="auto" w:fill="auto"/>
            <w:noWrap/>
            <w:tcMar>
              <w:top w:w="6" w:type="dxa"/>
              <w:bottom w:w="6" w:type="dxa"/>
            </w:tcMar>
            <w:hideMark/>
          </w:tcPr>
          <w:p w14:paraId="0FDBBBE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12.8</w:t>
            </w:r>
          </w:p>
        </w:tc>
        <w:tc>
          <w:tcPr>
            <w:tcW w:w="415" w:type="pct"/>
            <w:tcBorders>
              <w:top w:val="nil"/>
              <w:left w:val="nil"/>
              <w:bottom w:val="nil"/>
              <w:right w:val="nil"/>
            </w:tcBorders>
            <w:shd w:val="clear" w:color="auto" w:fill="auto"/>
            <w:noWrap/>
            <w:tcMar>
              <w:top w:w="6" w:type="dxa"/>
              <w:bottom w:w="6" w:type="dxa"/>
            </w:tcMar>
            <w:hideMark/>
          </w:tcPr>
          <w:p w14:paraId="7BC4722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11.8</w:t>
            </w:r>
          </w:p>
        </w:tc>
        <w:tc>
          <w:tcPr>
            <w:tcW w:w="123" w:type="pct"/>
            <w:tcBorders>
              <w:top w:val="nil"/>
              <w:left w:val="nil"/>
              <w:bottom w:val="nil"/>
              <w:right w:val="nil"/>
            </w:tcBorders>
            <w:shd w:val="clear" w:color="auto" w:fill="auto"/>
            <w:noWrap/>
            <w:tcMar>
              <w:top w:w="6" w:type="dxa"/>
              <w:bottom w:w="6" w:type="dxa"/>
            </w:tcMar>
            <w:hideMark/>
          </w:tcPr>
          <w:p w14:paraId="3A5BDE7E"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717354B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0.076</w:t>
            </w:r>
          </w:p>
        </w:tc>
        <w:tc>
          <w:tcPr>
            <w:tcW w:w="722" w:type="pct"/>
            <w:tcBorders>
              <w:top w:val="nil"/>
              <w:left w:val="nil"/>
              <w:bottom w:val="nil"/>
              <w:right w:val="nil"/>
            </w:tcBorders>
            <w:shd w:val="clear" w:color="auto" w:fill="auto"/>
            <w:noWrap/>
            <w:tcMar>
              <w:top w:w="6" w:type="dxa"/>
              <w:bottom w:w="6" w:type="dxa"/>
            </w:tcMar>
            <w:hideMark/>
          </w:tcPr>
          <w:p w14:paraId="70862BF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432F4FEE"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AD7A89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Palawan </w:t>
            </w:r>
          </w:p>
        </w:tc>
        <w:tc>
          <w:tcPr>
            <w:tcW w:w="810" w:type="pct"/>
            <w:tcBorders>
              <w:top w:val="nil"/>
              <w:left w:val="nil"/>
              <w:bottom w:val="nil"/>
              <w:right w:val="nil"/>
            </w:tcBorders>
            <w:shd w:val="clear" w:color="auto" w:fill="auto"/>
            <w:noWrap/>
            <w:tcMar>
              <w:top w:w="6" w:type="dxa"/>
              <w:bottom w:w="6" w:type="dxa"/>
            </w:tcMar>
            <w:hideMark/>
          </w:tcPr>
          <w:p w14:paraId="4E6C2B0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PLW</w:t>
            </w:r>
          </w:p>
        </w:tc>
        <w:tc>
          <w:tcPr>
            <w:tcW w:w="123" w:type="pct"/>
            <w:tcBorders>
              <w:top w:val="nil"/>
              <w:left w:val="nil"/>
              <w:bottom w:val="nil"/>
              <w:right w:val="nil"/>
            </w:tcBorders>
            <w:shd w:val="clear" w:color="auto" w:fill="auto"/>
            <w:noWrap/>
            <w:tcMar>
              <w:top w:w="6" w:type="dxa"/>
              <w:bottom w:w="6" w:type="dxa"/>
            </w:tcMar>
            <w:hideMark/>
          </w:tcPr>
          <w:p w14:paraId="26BCB5BE"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309504F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12.6</w:t>
            </w:r>
          </w:p>
        </w:tc>
        <w:tc>
          <w:tcPr>
            <w:tcW w:w="343" w:type="pct"/>
            <w:tcBorders>
              <w:top w:val="nil"/>
              <w:left w:val="nil"/>
              <w:bottom w:val="nil"/>
              <w:right w:val="nil"/>
            </w:tcBorders>
            <w:shd w:val="clear" w:color="auto" w:fill="auto"/>
            <w:noWrap/>
            <w:tcMar>
              <w:top w:w="6" w:type="dxa"/>
              <w:bottom w:w="6" w:type="dxa"/>
            </w:tcMar>
            <w:hideMark/>
          </w:tcPr>
          <w:p w14:paraId="5FEBD0B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8.2</w:t>
            </w:r>
          </w:p>
        </w:tc>
        <w:tc>
          <w:tcPr>
            <w:tcW w:w="376" w:type="pct"/>
            <w:tcBorders>
              <w:top w:val="nil"/>
              <w:left w:val="nil"/>
              <w:bottom w:val="nil"/>
              <w:right w:val="nil"/>
            </w:tcBorders>
            <w:shd w:val="clear" w:color="auto" w:fill="auto"/>
            <w:noWrap/>
            <w:tcMar>
              <w:top w:w="6" w:type="dxa"/>
              <w:bottom w:w="6" w:type="dxa"/>
            </w:tcMar>
            <w:hideMark/>
          </w:tcPr>
          <w:p w14:paraId="74B1FE2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9.4</w:t>
            </w:r>
          </w:p>
        </w:tc>
        <w:tc>
          <w:tcPr>
            <w:tcW w:w="415" w:type="pct"/>
            <w:tcBorders>
              <w:top w:val="nil"/>
              <w:left w:val="nil"/>
              <w:bottom w:val="nil"/>
              <w:right w:val="nil"/>
            </w:tcBorders>
            <w:shd w:val="clear" w:color="auto" w:fill="auto"/>
            <w:noWrap/>
            <w:tcMar>
              <w:top w:w="6" w:type="dxa"/>
              <w:bottom w:w="6" w:type="dxa"/>
            </w:tcMar>
            <w:hideMark/>
          </w:tcPr>
          <w:p w14:paraId="6B6FEE9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10.1</w:t>
            </w:r>
          </w:p>
        </w:tc>
        <w:tc>
          <w:tcPr>
            <w:tcW w:w="123" w:type="pct"/>
            <w:tcBorders>
              <w:top w:val="nil"/>
              <w:left w:val="nil"/>
              <w:bottom w:val="nil"/>
              <w:right w:val="nil"/>
            </w:tcBorders>
            <w:shd w:val="clear" w:color="auto" w:fill="auto"/>
            <w:noWrap/>
            <w:tcMar>
              <w:top w:w="6" w:type="dxa"/>
              <w:bottom w:w="6" w:type="dxa"/>
            </w:tcMar>
            <w:hideMark/>
          </w:tcPr>
          <w:p w14:paraId="402006C5"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7B0822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0.006</w:t>
            </w:r>
          </w:p>
        </w:tc>
        <w:tc>
          <w:tcPr>
            <w:tcW w:w="722" w:type="pct"/>
            <w:tcBorders>
              <w:top w:val="nil"/>
              <w:left w:val="nil"/>
              <w:bottom w:val="nil"/>
              <w:right w:val="nil"/>
            </w:tcBorders>
            <w:shd w:val="clear" w:color="auto" w:fill="auto"/>
            <w:noWrap/>
            <w:tcMar>
              <w:top w:w="6" w:type="dxa"/>
              <w:bottom w:w="6" w:type="dxa"/>
            </w:tcMar>
            <w:hideMark/>
          </w:tcPr>
          <w:p w14:paraId="397E73D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1B194785"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91A403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Romblon </w:t>
            </w:r>
          </w:p>
        </w:tc>
        <w:tc>
          <w:tcPr>
            <w:tcW w:w="810" w:type="pct"/>
            <w:tcBorders>
              <w:top w:val="nil"/>
              <w:left w:val="nil"/>
              <w:bottom w:val="nil"/>
              <w:right w:val="nil"/>
            </w:tcBorders>
            <w:shd w:val="clear" w:color="auto" w:fill="auto"/>
            <w:noWrap/>
            <w:tcMar>
              <w:top w:w="6" w:type="dxa"/>
              <w:bottom w:w="6" w:type="dxa"/>
            </w:tcMar>
            <w:hideMark/>
          </w:tcPr>
          <w:p w14:paraId="4F1E674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ROM</w:t>
            </w:r>
          </w:p>
        </w:tc>
        <w:tc>
          <w:tcPr>
            <w:tcW w:w="123" w:type="pct"/>
            <w:tcBorders>
              <w:top w:val="nil"/>
              <w:left w:val="nil"/>
              <w:bottom w:val="nil"/>
              <w:right w:val="nil"/>
            </w:tcBorders>
            <w:shd w:val="clear" w:color="auto" w:fill="auto"/>
            <w:noWrap/>
            <w:tcMar>
              <w:top w:w="6" w:type="dxa"/>
              <w:bottom w:w="6" w:type="dxa"/>
            </w:tcMar>
            <w:hideMark/>
          </w:tcPr>
          <w:p w14:paraId="5C6C0A52"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37D4C03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29.3</w:t>
            </w:r>
          </w:p>
        </w:tc>
        <w:tc>
          <w:tcPr>
            <w:tcW w:w="343" w:type="pct"/>
            <w:tcBorders>
              <w:top w:val="nil"/>
              <w:left w:val="nil"/>
              <w:bottom w:val="nil"/>
              <w:right w:val="nil"/>
            </w:tcBorders>
            <w:shd w:val="clear" w:color="auto" w:fill="auto"/>
            <w:noWrap/>
            <w:tcMar>
              <w:top w:w="6" w:type="dxa"/>
              <w:bottom w:w="6" w:type="dxa"/>
            </w:tcMar>
            <w:hideMark/>
          </w:tcPr>
          <w:p w14:paraId="77DF8C7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19.7</w:t>
            </w:r>
          </w:p>
        </w:tc>
        <w:tc>
          <w:tcPr>
            <w:tcW w:w="376" w:type="pct"/>
            <w:tcBorders>
              <w:top w:val="nil"/>
              <w:left w:val="nil"/>
              <w:bottom w:val="nil"/>
              <w:right w:val="nil"/>
            </w:tcBorders>
            <w:shd w:val="clear" w:color="auto" w:fill="auto"/>
            <w:noWrap/>
            <w:tcMar>
              <w:top w:w="6" w:type="dxa"/>
              <w:bottom w:w="6" w:type="dxa"/>
            </w:tcMar>
            <w:hideMark/>
          </w:tcPr>
          <w:p w14:paraId="561CCD2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31</w:t>
            </w:r>
          </w:p>
        </w:tc>
        <w:tc>
          <w:tcPr>
            <w:tcW w:w="415" w:type="pct"/>
            <w:tcBorders>
              <w:top w:val="nil"/>
              <w:left w:val="nil"/>
              <w:bottom w:val="nil"/>
              <w:right w:val="nil"/>
            </w:tcBorders>
            <w:shd w:val="clear" w:color="auto" w:fill="auto"/>
            <w:noWrap/>
            <w:tcMar>
              <w:top w:w="6" w:type="dxa"/>
              <w:bottom w:w="6" w:type="dxa"/>
            </w:tcMar>
            <w:hideMark/>
          </w:tcPr>
          <w:p w14:paraId="29F7513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26.7</w:t>
            </w:r>
          </w:p>
        </w:tc>
        <w:tc>
          <w:tcPr>
            <w:tcW w:w="123" w:type="pct"/>
            <w:tcBorders>
              <w:top w:val="nil"/>
              <w:left w:val="nil"/>
              <w:bottom w:val="nil"/>
              <w:right w:val="nil"/>
            </w:tcBorders>
            <w:shd w:val="clear" w:color="auto" w:fill="auto"/>
            <w:noWrap/>
            <w:tcMar>
              <w:top w:w="6" w:type="dxa"/>
              <w:bottom w:w="6" w:type="dxa"/>
            </w:tcMar>
            <w:hideMark/>
          </w:tcPr>
          <w:p w14:paraId="0FF3BB72"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46ABFA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-0.138</w:t>
            </w:r>
          </w:p>
        </w:tc>
        <w:tc>
          <w:tcPr>
            <w:tcW w:w="722" w:type="pct"/>
            <w:tcBorders>
              <w:top w:val="nil"/>
              <w:left w:val="nil"/>
              <w:bottom w:val="nil"/>
              <w:right w:val="nil"/>
            </w:tcBorders>
            <w:shd w:val="clear" w:color="auto" w:fill="auto"/>
            <w:noWrap/>
            <w:tcMar>
              <w:top w:w="6" w:type="dxa"/>
              <w:bottom w:w="6" w:type="dxa"/>
            </w:tcMar>
            <w:hideMark/>
          </w:tcPr>
          <w:p w14:paraId="5E486A0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7E8427F"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3D9882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Albay</w:t>
            </w:r>
          </w:p>
        </w:tc>
        <w:tc>
          <w:tcPr>
            <w:tcW w:w="810" w:type="pct"/>
            <w:tcBorders>
              <w:top w:val="nil"/>
              <w:left w:val="nil"/>
              <w:bottom w:val="nil"/>
              <w:right w:val="nil"/>
            </w:tcBorders>
            <w:shd w:val="clear" w:color="auto" w:fill="auto"/>
            <w:noWrap/>
            <w:tcMar>
              <w:top w:w="6" w:type="dxa"/>
              <w:bottom w:w="6" w:type="dxa"/>
            </w:tcMar>
            <w:hideMark/>
          </w:tcPr>
          <w:p w14:paraId="3B48AA3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ALB</w:t>
            </w:r>
          </w:p>
        </w:tc>
        <w:tc>
          <w:tcPr>
            <w:tcW w:w="123" w:type="pct"/>
            <w:tcBorders>
              <w:top w:val="nil"/>
              <w:left w:val="nil"/>
              <w:bottom w:val="nil"/>
              <w:right w:val="nil"/>
            </w:tcBorders>
            <w:shd w:val="clear" w:color="auto" w:fill="auto"/>
            <w:noWrap/>
            <w:tcMar>
              <w:top w:w="6" w:type="dxa"/>
              <w:bottom w:w="6" w:type="dxa"/>
            </w:tcMar>
            <w:hideMark/>
          </w:tcPr>
          <w:p w14:paraId="6DB6D15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198A4D9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18.5</w:t>
            </w:r>
          </w:p>
        </w:tc>
        <w:tc>
          <w:tcPr>
            <w:tcW w:w="343" w:type="pct"/>
            <w:tcBorders>
              <w:top w:val="nil"/>
              <w:left w:val="nil"/>
              <w:bottom w:val="nil"/>
              <w:right w:val="nil"/>
            </w:tcBorders>
            <w:shd w:val="clear" w:color="auto" w:fill="auto"/>
            <w:noWrap/>
            <w:tcMar>
              <w:top w:w="6" w:type="dxa"/>
              <w:bottom w:w="6" w:type="dxa"/>
            </w:tcMar>
            <w:hideMark/>
          </w:tcPr>
          <w:p w14:paraId="69CEDF2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w:t>
            </w:r>
          </w:p>
        </w:tc>
        <w:tc>
          <w:tcPr>
            <w:tcW w:w="376" w:type="pct"/>
            <w:tcBorders>
              <w:top w:val="nil"/>
              <w:left w:val="nil"/>
              <w:bottom w:val="nil"/>
              <w:right w:val="nil"/>
            </w:tcBorders>
            <w:shd w:val="clear" w:color="auto" w:fill="auto"/>
            <w:noWrap/>
            <w:tcMar>
              <w:top w:w="6" w:type="dxa"/>
              <w:bottom w:w="6" w:type="dxa"/>
            </w:tcMar>
            <w:hideMark/>
          </w:tcPr>
          <w:p w14:paraId="405505A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15.4</w:t>
            </w:r>
          </w:p>
        </w:tc>
        <w:tc>
          <w:tcPr>
            <w:tcW w:w="415" w:type="pct"/>
            <w:tcBorders>
              <w:top w:val="nil"/>
              <w:left w:val="nil"/>
              <w:bottom w:val="nil"/>
              <w:right w:val="nil"/>
            </w:tcBorders>
            <w:shd w:val="clear" w:color="auto" w:fill="auto"/>
            <w:noWrap/>
            <w:tcMar>
              <w:top w:w="6" w:type="dxa"/>
              <w:bottom w:w="6" w:type="dxa"/>
            </w:tcMar>
            <w:hideMark/>
          </w:tcPr>
          <w:p w14:paraId="18C6FA5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16.3</w:t>
            </w:r>
          </w:p>
        </w:tc>
        <w:tc>
          <w:tcPr>
            <w:tcW w:w="123" w:type="pct"/>
            <w:tcBorders>
              <w:top w:val="nil"/>
              <w:left w:val="nil"/>
              <w:bottom w:val="nil"/>
              <w:right w:val="nil"/>
            </w:tcBorders>
            <w:shd w:val="clear" w:color="auto" w:fill="auto"/>
            <w:noWrap/>
            <w:tcMar>
              <w:top w:w="6" w:type="dxa"/>
              <w:bottom w:w="6" w:type="dxa"/>
            </w:tcMar>
            <w:hideMark/>
          </w:tcPr>
          <w:p w14:paraId="247E9C32"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83AF3A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-0.065</w:t>
            </w:r>
          </w:p>
        </w:tc>
        <w:tc>
          <w:tcPr>
            <w:tcW w:w="722" w:type="pct"/>
            <w:tcBorders>
              <w:top w:val="nil"/>
              <w:left w:val="nil"/>
              <w:bottom w:val="nil"/>
              <w:right w:val="nil"/>
            </w:tcBorders>
            <w:shd w:val="clear" w:color="auto" w:fill="auto"/>
            <w:noWrap/>
            <w:tcMar>
              <w:top w:w="6" w:type="dxa"/>
              <w:bottom w:w="6" w:type="dxa"/>
            </w:tcMar>
            <w:hideMark/>
          </w:tcPr>
          <w:p w14:paraId="78A2C83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03DE5507"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44BCB7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Camarines Norte </w:t>
            </w:r>
          </w:p>
        </w:tc>
        <w:tc>
          <w:tcPr>
            <w:tcW w:w="810" w:type="pct"/>
            <w:tcBorders>
              <w:top w:val="nil"/>
              <w:left w:val="nil"/>
              <w:bottom w:val="nil"/>
              <w:right w:val="nil"/>
            </w:tcBorders>
            <w:shd w:val="clear" w:color="auto" w:fill="auto"/>
            <w:noWrap/>
            <w:tcMar>
              <w:top w:w="6" w:type="dxa"/>
              <w:bottom w:w="6" w:type="dxa"/>
            </w:tcMar>
            <w:hideMark/>
          </w:tcPr>
          <w:p w14:paraId="2ACA73F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CAN</w:t>
            </w:r>
          </w:p>
        </w:tc>
        <w:tc>
          <w:tcPr>
            <w:tcW w:w="123" w:type="pct"/>
            <w:tcBorders>
              <w:top w:val="nil"/>
              <w:left w:val="nil"/>
              <w:bottom w:val="nil"/>
              <w:right w:val="nil"/>
            </w:tcBorders>
            <w:shd w:val="clear" w:color="auto" w:fill="auto"/>
            <w:noWrap/>
            <w:tcMar>
              <w:top w:w="6" w:type="dxa"/>
              <w:bottom w:w="6" w:type="dxa"/>
            </w:tcMar>
            <w:hideMark/>
          </w:tcPr>
          <w:p w14:paraId="33CED63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20FCEAE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35.1</w:t>
            </w:r>
          </w:p>
        </w:tc>
        <w:tc>
          <w:tcPr>
            <w:tcW w:w="343" w:type="pct"/>
            <w:tcBorders>
              <w:top w:val="nil"/>
              <w:left w:val="nil"/>
              <w:bottom w:val="nil"/>
              <w:right w:val="nil"/>
            </w:tcBorders>
            <w:shd w:val="clear" w:color="auto" w:fill="auto"/>
            <w:noWrap/>
            <w:tcMar>
              <w:top w:w="6" w:type="dxa"/>
              <w:bottom w:w="6" w:type="dxa"/>
            </w:tcMar>
            <w:hideMark/>
          </w:tcPr>
          <w:p w14:paraId="21CB669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22.4</w:t>
            </w:r>
          </w:p>
        </w:tc>
        <w:tc>
          <w:tcPr>
            <w:tcW w:w="376" w:type="pct"/>
            <w:tcBorders>
              <w:top w:val="nil"/>
              <w:left w:val="nil"/>
              <w:bottom w:val="nil"/>
              <w:right w:val="nil"/>
            </w:tcBorders>
            <w:shd w:val="clear" w:color="auto" w:fill="auto"/>
            <w:noWrap/>
            <w:tcMar>
              <w:top w:w="6" w:type="dxa"/>
              <w:bottom w:w="6" w:type="dxa"/>
            </w:tcMar>
            <w:hideMark/>
          </w:tcPr>
          <w:p w14:paraId="132CB40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16.6</w:t>
            </w:r>
          </w:p>
        </w:tc>
        <w:tc>
          <w:tcPr>
            <w:tcW w:w="415" w:type="pct"/>
            <w:tcBorders>
              <w:top w:val="nil"/>
              <w:left w:val="nil"/>
              <w:bottom w:val="nil"/>
              <w:right w:val="nil"/>
            </w:tcBorders>
            <w:shd w:val="clear" w:color="auto" w:fill="auto"/>
            <w:noWrap/>
            <w:tcMar>
              <w:top w:w="6" w:type="dxa"/>
              <w:bottom w:w="6" w:type="dxa"/>
            </w:tcMar>
            <w:hideMark/>
          </w:tcPr>
          <w:p w14:paraId="350381A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24.7</w:t>
            </w:r>
          </w:p>
        </w:tc>
        <w:tc>
          <w:tcPr>
            <w:tcW w:w="123" w:type="pct"/>
            <w:tcBorders>
              <w:top w:val="nil"/>
              <w:left w:val="nil"/>
              <w:bottom w:val="nil"/>
              <w:right w:val="nil"/>
            </w:tcBorders>
            <w:shd w:val="clear" w:color="auto" w:fill="auto"/>
            <w:noWrap/>
            <w:tcMar>
              <w:top w:w="6" w:type="dxa"/>
              <w:bottom w:w="6" w:type="dxa"/>
            </w:tcMar>
            <w:hideMark/>
          </w:tcPr>
          <w:p w14:paraId="6292C3D4"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336F912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-0.095</w:t>
            </w:r>
          </w:p>
        </w:tc>
        <w:tc>
          <w:tcPr>
            <w:tcW w:w="722" w:type="pct"/>
            <w:tcBorders>
              <w:top w:val="nil"/>
              <w:left w:val="nil"/>
              <w:bottom w:val="nil"/>
              <w:right w:val="nil"/>
            </w:tcBorders>
            <w:shd w:val="clear" w:color="auto" w:fill="auto"/>
            <w:noWrap/>
            <w:tcMar>
              <w:top w:w="6" w:type="dxa"/>
              <w:bottom w:w="6" w:type="dxa"/>
            </w:tcMar>
            <w:hideMark/>
          </w:tcPr>
          <w:p w14:paraId="5A1F752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2149586"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370AAB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Camarines Sur </w:t>
            </w:r>
          </w:p>
        </w:tc>
        <w:tc>
          <w:tcPr>
            <w:tcW w:w="810" w:type="pct"/>
            <w:tcBorders>
              <w:top w:val="nil"/>
              <w:left w:val="nil"/>
              <w:bottom w:val="nil"/>
              <w:right w:val="nil"/>
            </w:tcBorders>
            <w:shd w:val="clear" w:color="auto" w:fill="auto"/>
            <w:noWrap/>
            <w:tcMar>
              <w:top w:w="6" w:type="dxa"/>
              <w:bottom w:w="6" w:type="dxa"/>
            </w:tcMar>
            <w:hideMark/>
          </w:tcPr>
          <w:p w14:paraId="1450DDC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CAS</w:t>
            </w:r>
          </w:p>
        </w:tc>
        <w:tc>
          <w:tcPr>
            <w:tcW w:w="123" w:type="pct"/>
            <w:tcBorders>
              <w:top w:val="nil"/>
              <w:left w:val="nil"/>
              <w:bottom w:val="nil"/>
              <w:right w:val="nil"/>
            </w:tcBorders>
            <w:shd w:val="clear" w:color="auto" w:fill="auto"/>
            <w:noWrap/>
            <w:tcMar>
              <w:top w:w="6" w:type="dxa"/>
              <w:bottom w:w="6" w:type="dxa"/>
            </w:tcMar>
            <w:hideMark/>
          </w:tcPr>
          <w:p w14:paraId="7D5A06B1"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1BFB2D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28.5</w:t>
            </w:r>
          </w:p>
        </w:tc>
        <w:tc>
          <w:tcPr>
            <w:tcW w:w="343" w:type="pct"/>
            <w:tcBorders>
              <w:top w:val="nil"/>
              <w:left w:val="nil"/>
              <w:bottom w:val="nil"/>
              <w:right w:val="nil"/>
            </w:tcBorders>
            <w:shd w:val="clear" w:color="auto" w:fill="auto"/>
            <w:noWrap/>
            <w:tcMar>
              <w:top w:w="6" w:type="dxa"/>
              <w:bottom w:w="6" w:type="dxa"/>
            </w:tcMar>
            <w:hideMark/>
          </w:tcPr>
          <w:p w14:paraId="323D4D7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21</w:t>
            </w:r>
          </w:p>
        </w:tc>
        <w:tc>
          <w:tcPr>
            <w:tcW w:w="376" w:type="pct"/>
            <w:tcBorders>
              <w:top w:val="nil"/>
              <w:left w:val="nil"/>
              <w:bottom w:val="nil"/>
              <w:right w:val="nil"/>
            </w:tcBorders>
            <w:shd w:val="clear" w:color="auto" w:fill="auto"/>
            <w:noWrap/>
            <w:tcMar>
              <w:top w:w="6" w:type="dxa"/>
              <w:bottom w:w="6" w:type="dxa"/>
            </w:tcMar>
            <w:hideMark/>
          </w:tcPr>
          <w:p w14:paraId="74D1496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29.8</w:t>
            </w:r>
          </w:p>
        </w:tc>
        <w:tc>
          <w:tcPr>
            <w:tcW w:w="415" w:type="pct"/>
            <w:tcBorders>
              <w:top w:val="nil"/>
              <w:left w:val="nil"/>
              <w:bottom w:val="nil"/>
              <w:right w:val="nil"/>
            </w:tcBorders>
            <w:shd w:val="clear" w:color="auto" w:fill="auto"/>
            <w:noWrap/>
            <w:tcMar>
              <w:top w:w="6" w:type="dxa"/>
              <w:bottom w:w="6" w:type="dxa"/>
            </w:tcMar>
            <w:hideMark/>
          </w:tcPr>
          <w:p w14:paraId="1BFB268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26.4</w:t>
            </w:r>
          </w:p>
        </w:tc>
        <w:tc>
          <w:tcPr>
            <w:tcW w:w="123" w:type="pct"/>
            <w:tcBorders>
              <w:top w:val="nil"/>
              <w:left w:val="nil"/>
              <w:bottom w:val="nil"/>
              <w:right w:val="nil"/>
            </w:tcBorders>
            <w:shd w:val="clear" w:color="auto" w:fill="auto"/>
            <w:noWrap/>
            <w:tcMar>
              <w:top w:w="6" w:type="dxa"/>
              <w:bottom w:w="6" w:type="dxa"/>
            </w:tcMar>
            <w:hideMark/>
          </w:tcPr>
          <w:p w14:paraId="0D02D98D"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4160A00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-0.078</w:t>
            </w:r>
          </w:p>
        </w:tc>
        <w:tc>
          <w:tcPr>
            <w:tcW w:w="722" w:type="pct"/>
            <w:tcBorders>
              <w:top w:val="nil"/>
              <w:left w:val="nil"/>
              <w:bottom w:val="nil"/>
              <w:right w:val="nil"/>
            </w:tcBorders>
            <w:shd w:val="clear" w:color="auto" w:fill="auto"/>
            <w:noWrap/>
            <w:tcMar>
              <w:top w:w="6" w:type="dxa"/>
              <w:bottom w:w="6" w:type="dxa"/>
            </w:tcMar>
            <w:hideMark/>
          </w:tcPr>
          <w:p w14:paraId="32E83A6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348F0EE4"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AB8F9F1" w14:textId="77777777" w:rsidR="004E2B5B" w:rsidRPr="00F85269" w:rsidRDefault="004E2B5B" w:rsidP="00532745">
            <w:pPr>
              <w:rPr>
                <w:rFonts w:ascii="Times New Roman" w:hAnsi="Times New Roman" w:cs="Times New Roman"/>
                <w:color w:val="000000"/>
                <w:sz w:val="21"/>
                <w:szCs w:val="21"/>
              </w:rPr>
            </w:pPr>
            <w:proofErr w:type="spellStart"/>
            <w:r w:rsidRPr="00F85269">
              <w:rPr>
                <w:rFonts w:ascii="Times New Roman" w:hAnsi="Times New Roman" w:cs="Times New Roman"/>
                <w:color w:val="000000"/>
                <w:sz w:val="21"/>
                <w:szCs w:val="21"/>
              </w:rPr>
              <w:t>Catanduanes</w:t>
            </w:r>
            <w:proofErr w:type="spellEnd"/>
          </w:p>
        </w:tc>
        <w:tc>
          <w:tcPr>
            <w:tcW w:w="810" w:type="pct"/>
            <w:tcBorders>
              <w:top w:val="nil"/>
              <w:left w:val="nil"/>
              <w:bottom w:val="nil"/>
              <w:right w:val="nil"/>
            </w:tcBorders>
            <w:shd w:val="clear" w:color="auto" w:fill="auto"/>
            <w:noWrap/>
            <w:tcMar>
              <w:top w:w="6" w:type="dxa"/>
              <w:bottom w:w="6" w:type="dxa"/>
            </w:tcMar>
            <w:hideMark/>
          </w:tcPr>
          <w:p w14:paraId="6559583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CAT</w:t>
            </w:r>
          </w:p>
        </w:tc>
        <w:tc>
          <w:tcPr>
            <w:tcW w:w="123" w:type="pct"/>
            <w:tcBorders>
              <w:top w:val="nil"/>
              <w:left w:val="nil"/>
              <w:bottom w:val="nil"/>
              <w:right w:val="nil"/>
            </w:tcBorders>
            <w:shd w:val="clear" w:color="auto" w:fill="auto"/>
            <w:noWrap/>
            <w:tcMar>
              <w:top w:w="6" w:type="dxa"/>
              <w:bottom w:w="6" w:type="dxa"/>
            </w:tcMar>
            <w:hideMark/>
          </w:tcPr>
          <w:p w14:paraId="2F9ACCC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0AF36C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33.6</w:t>
            </w:r>
          </w:p>
        </w:tc>
        <w:tc>
          <w:tcPr>
            <w:tcW w:w="343" w:type="pct"/>
            <w:tcBorders>
              <w:top w:val="nil"/>
              <w:left w:val="nil"/>
              <w:bottom w:val="nil"/>
              <w:right w:val="nil"/>
            </w:tcBorders>
            <w:shd w:val="clear" w:color="auto" w:fill="auto"/>
            <w:noWrap/>
            <w:tcMar>
              <w:top w:w="6" w:type="dxa"/>
              <w:bottom w:w="6" w:type="dxa"/>
            </w:tcMar>
            <w:hideMark/>
          </w:tcPr>
          <w:p w14:paraId="3CD6330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14.4</w:t>
            </w:r>
          </w:p>
        </w:tc>
        <w:tc>
          <w:tcPr>
            <w:tcW w:w="376" w:type="pct"/>
            <w:tcBorders>
              <w:top w:val="nil"/>
              <w:left w:val="nil"/>
              <w:bottom w:val="nil"/>
              <w:right w:val="nil"/>
            </w:tcBorders>
            <w:shd w:val="clear" w:color="auto" w:fill="auto"/>
            <w:noWrap/>
            <w:tcMar>
              <w:top w:w="6" w:type="dxa"/>
              <w:bottom w:w="6" w:type="dxa"/>
            </w:tcMar>
            <w:hideMark/>
          </w:tcPr>
          <w:p w14:paraId="006FBA1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16.8</w:t>
            </w:r>
          </w:p>
        </w:tc>
        <w:tc>
          <w:tcPr>
            <w:tcW w:w="415" w:type="pct"/>
            <w:tcBorders>
              <w:top w:val="nil"/>
              <w:left w:val="nil"/>
              <w:bottom w:val="nil"/>
              <w:right w:val="nil"/>
            </w:tcBorders>
            <w:shd w:val="clear" w:color="auto" w:fill="auto"/>
            <w:noWrap/>
            <w:tcMar>
              <w:top w:w="6" w:type="dxa"/>
              <w:bottom w:w="6" w:type="dxa"/>
            </w:tcMar>
            <w:hideMark/>
          </w:tcPr>
          <w:p w14:paraId="59426FC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21.6</w:t>
            </w:r>
          </w:p>
        </w:tc>
        <w:tc>
          <w:tcPr>
            <w:tcW w:w="123" w:type="pct"/>
            <w:tcBorders>
              <w:top w:val="nil"/>
              <w:left w:val="nil"/>
              <w:bottom w:val="nil"/>
              <w:right w:val="nil"/>
            </w:tcBorders>
            <w:shd w:val="clear" w:color="auto" w:fill="auto"/>
            <w:noWrap/>
            <w:tcMar>
              <w:top w:w="6" w:type="dxa"/>
              <w:bottom w:w="6" w:type="dxa"/>
            </w:tcMar>
            <w:hideMark/>
          </w:tcPr>
          <w:p w14:paraId="64C5F476"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94044C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-0.122</w:t>
            </w:r>
          </w:p>
        </w:tc>
        <w:tc>
          <w:tcPr>
            <w:tcW w:w="722" w:type="pct"/>
            <w:tcBorders>
              <w:top w:val="nil"/>
              <w:left w:val="nil"/>
              <w:bottom w:val="nil"/>
              <w:right w:val="nil"/>
            </w:tcBorders>
            <w:shd w:val="clear" w:color="auto" w:fill="auto"/>
            <w:noWrap/>
            <w:tcMar>
              <w:top w:w="6" w:type="dxa"/>
              <w:bottom w:w="6" w:type="dxa"/>
            </w:tcMar>
            <w:hideMark/>
          </w:tcPr>
          <w:p w14:paraId="519AA3E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76EF75F4"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6F3B143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Masbate </w:t>
            </w:r>
          </w:p>
        </w:tc>
        <w:tc>
          <w:tcPr>
            <w:tcW w:w="810" w:type="pct"/>
            <w:tcBorders>
              <w:top w:val="nil"/>
              <w:left w:val="nil"/>
              <w:bottom w:val="nil"/>
              <w:right w:val="nil"/>
            </w:tcBorders>
            <w:shd w:val="clear" w:color="auto" w:fill="auto"/>
            <w:noWrap/>
            <w:tcMar>
              <w:top w:w="6" w:type="dxa"/>
              <w:bottom w:w="6" w:type="dxa"/>
            </w:tcMar>
            <w:hideMark/>
          </w:tcPr>
          <w:p w14:paraId="4883AEE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MAS</w:t>
            </w:r>
          </w:p>
        </w:tc>
        <w:tc>
          <w:tcPr>
            <w:tcW w:w="123" w:type="pct"/>
            <w:tcBorders>
              <w:top w:val="nil"/>
              <w:left w:val="nil"/>
              <w:bottom w:val="nil"/>
              <w:right w:val="nil"/>
            </w:tcBorders>
            <w:shd w:val="clear" w:color="auto" w:fill="auto"/>
            <w:noWrap/>
            <w:tcMar>
              <w:top w:w="6" w:type="dxa"/>
              <w:bottom w:w="6" w:type="dxa"/>
            </w:tcMar>
            <w:hideMark/>
          </w:tcPr>
          <w:p w14:paraId="7EDA2989"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1278678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35.5</w:t>
            </w:r>
          </w:p>
        </w:tc>
        <w:tc>
          <w:tcPr>
            <w:tcW w:w="343" w:type="pct"/>
            <w:tcBorders>
              <w:top w:val="nil"/>
              <w:left w:val="nil"/>
              <w:bottom w:val="nil"/>
              <w:right w:val="nil"/>
            </w:tcBorders>
            <w:shd w:val="clear" w:color="auto" w:fill="auto"/>
            <w:noWrap/>
            <w:tcMar>
              <w:top w:w="6" w:type="dxa"/>
              <w:bottom w:w="6" w:type="dxa"/>
            </w:tcMar>
            <w:hideMark/>
          </w:tcPr>
          <w:p w14:paraId="302787B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25.8</w:t>
            </w:r>
          </w:p>
        </w:tc>
        <w:tc>
          <w:tcPr>
            <w:tcW w:w="376" w:type="pct"/>
            <w:tcBorders>
              <w:top w:val="nil"/>
              <w:left w:val="nil"/>
              <w:bottom w:val="nil"/>
              <w:right w:val="nil"/>
            </w:tcBorders>
            <w:shd w:val="clear" w:color="auto" w:fill="auto"/>
            <w:noWrap/>
            <w:tcMar>
              <w:top w:w="6" w:type="dxa"/>
              <w:bottom w:w="6" w:type="dxa"/>
            </w:tcMar>
            <w:hideMark/>
          </w:tcPr>
          <w:p w14:paraId="778E7F19"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20.2</w:t>
            </w:r>
          </w:p>
        </w:tc>
        <w:tc>
          <w:tcPr>
            <w:tcW w:w="415" w:type="pct"/>
            <w:tcBorders>
              <w:top w:val="nil"/>
              <w:left w:val="nil"/>
              <w:bottom w:val="nil"/>
              <w:right w:val="nil"/>
            </w:tcBorders>
            <w:shd w:val="clear" w:color="auto" w:fill="auto"/>
            <w:noWrap/>
            <w:tcMar>
              <w:top w:w="6" w:type="dxa"/>
              <w:bottom w:w="6" w:type="dxa"/>
            </w:tcMar>
            <w:hideMark/>
          </w:tcPr>
          <w:p w14:paraId="30AED97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27.2</w:t>
            </w:r>
          </w:p>
        </w:tc>
        <w:tc>
          <w:tcPr>
            <w:tcW w:w="123" w:type="pct"/>
            <w:tcBorders>
              <w:top w:val="nil"/>
              <w:left w:val="nil"/>
              <w:bottom w:val="nil"/>
              <w:right w:val="nil"/>
            </w:tcBorders>
            <w:shd w:val="clear" w:color="auto" w:fill="auto"/>
            <w:noWrap/>
            <w:tcMar>
              <w:top w:w="6" w:type="dxa"/>
              <w:bottom w:w="6" w:type="dxa"/>
            </w:tcMar>
            <w:hideMark/>
          </w:tcPr>
          <w:p w14:paraId="3ED8AB87"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9392DF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-0.151</w:t>
            </w:r>
          </w:p>
        </w:tc>
        <w:tc>
          <w:tcPr>
            <w:tcW w:w="722" w:type="pct"/>
            <w:tcBorders>
              <w:top w:val="nil"/>
              <w:left w:val="nil"/>
              <w:bottom w:val="nil"/>
              <w:right w:val="nil"/>
            </w:tcBorders>
            <w:shd w:val="clear" w:color="auto" w:fill="auto"/>
            <w:noWrap/>
            <w:tcMar>
              <w:top w:w="6" w:type="dxa"/>
              <w:bottom w:w="6" w:type="dxa"/>
            </w:tcMar>
            <w:hideMark/>
          </w:tcPr>
          <w:p w14:paraId="41A520F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23EC3AAD"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5B8D0EF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Sorsogon</w:t>
            </w:r>
          </w:p>
        </w:tc>
        <w:tc>
          <w:tcPr>
            <w:tcW w:w="810" w:type="pct"/>
            <w:tcBorders>
              <w:top w:val="nil"/>
              <w:left w:val="nil"/>
              <w:bottom w:val="nil"/>
              <w:right w:val="nil"/>
            </w:tcBorders>
            <w:shd w:val="clear" w:color="auto" w:fill="auto"/>
            <w:noWrap/>
            <w:tcMar>
              <w:top w:w="6" w:type="dxa"/>
              <w:bottom w:w="6" w:type="dxa"/>
            </w:tcMar>
            <w:hideMark/>
          </w:tcPr>
          <w:p w14:paraId="4D85222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SOR</w:t>
            </w:r>
          </w:p>
        </w:tc>
        <w:tc>
          <w:tcPr>
            <w:tcW w:w="123" w:type="pct"/>
            <w:tcBorders>
              <w:top w:val="nil"/>
              <w:left w:val="nil"/>
              <w:bottom w:val="nil"/>
              <w:right w:val="nil"/>
            </w:tcBorders>
            <w:shd w:val="clear" w:color="auto" w:fill="auto"/>
            <w:noWrap/>
            <w:tcMar>
              <w:top w:w="6" w:type="dxa"/>
              <w:bottom w:w="6" w:type="dxa"/>
            </w:tcMar>
            <w:hideMark/>
          </w:tcPr>
          <w:p w14:paraId="077B2F7F"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1BD9D70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46.2</w:t>
            </w:r>
          </w:p>
        </w:tc>
        <w:tc>
          <w:tcPr>
            <w:tcW w:w="343" w:type="pct"/>
            <w:tcBorders>
              <w:top w:val="nil"/>
              <w:left w:val="nil"/>
              <w:bottom w:val="nil"/>
              <w:right w:val="nil"/>
            </w:tcBorders>
            <w:shd w:val="clear" w:color="auto" w:fill="auto"/>
            <w:noWrap/>
            <w:tcMar>
              <w:top w:w="6" w:type="dxa"/>
              <w:bottom w:w="6" w:type="dxa"/>
            </w:tcMar>
            <w:hideMark/>
          </w:tcPr>
          <w:p w14:paraId="0F1A203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19.6</w:t>
            </w:r>
          </w:p>
        </w:tc>
        <w:tc>
          <w:tcPr>
            <w:tcW w:w="376" w:type="pct"/>
            <w:tcBorders>
              <w:top w:val="nil"/>
              <w:left w:val="nil"/>
              <w:bottom w:val="nil"/>
              <w:right w:val="nil"/>
            </w:tcBorders>
            <w:shd w:val="clear" w:color="auto" w:fill="auto"/>
            <w:noWrap/>
            <w:tcMar>
              <w:top w:w="6" w:type="dxa"/>
              <w:bottom w:w="6" w:type="dxa"/>
            </w:tcMar>
            <w:hideMark/>
          </w:tcPr>
          <w:p w14:paraId="785302E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21.7</w:t>
            </w:r>
          </w:p>
        </w:tc>
        <w:tc>
          <w:tcPr>
            <w:tcW w:w="415" w:type="pct"/>
            <w:tcBorders>
              <w:top w:val="nil"/>
              <w:left w:val="nil"/>
              <w:bottom w:val="nil"/>
              <w:right w:val="nil"/>
            </w:tcBorders>
            <w:shd w:val="clear" w:color="auto" w:fill="auto"/>
            <w:noWrap/>
            <w:tcMar>
              <w:top w:w="6" w:type="dxa"/>
              <w:bottom w:w="6" w:type="dxa"/>
            </w:tcMar>
            <w:hideMark/>
          </w:tcPr>
          <w:p w14:paraId="23A3036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29.2</w:t>
            </w:r>
          </w:p>
        </w:tc>
        <w:tc>
          <w:tcPr>
            <w:tcW w:w="123" w:type="pct"/>
            <w:tcBorders>
              <w:top w:val="nil"/>
              <w:left w:val="nil"/>
              <w:bottom w:val="nil"/>
              <w:right w:val="nil"/>
            </w:tcBorders>
            <w:shd w:val="clear" w:color="auto" w:fill="auto"/>
            <w:noWrap/>
            <w:tcMar>
              <w:top w:w="6" w:type="dxa"/>
              <w:bottom w:w="6" w:type="dxa"/>
            </w:tcMar>
            <w:hideMark/>
          </w:tcPr>
          <w:p w14:paraId="3FC56134"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122ECDE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-0.081</w:t>
            </w:r>
          </w:p>
        </w:tc>
        <w:tc>
          <w:tcPr>
            <w:tcW w:w="722" w:type="pct"/>
            <w:tcBorders>
              <w:top w:val="nil"/>
              <w:left w:val="nil"/>
              <w:bottom w:val="nil"/>
              <w:right w:val="nil"/>
            </w:tcBorders>
            <w:shd w:val="clear" w:color="auto" w:fill="auto"/>
            <w:noWrap/>
            <w:tcMar>
              <w:top w:w="6" w:type="dxa"/>
              <w:bottom w:w="6" w:type="dxa"/>
            </w:tcMar>
            <w:hideMark/>
          </w:tcPr>
          <w:p w14:paraId="289CD6E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5C06CA7F"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3893B685"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Aklan</w:t>
            </w:r>
          </w:p>
        </w:tc>
        <w:tc>
          <w:tcPr>
            <w:tcW w:w="810" w:type="pct"/>
            <w:tcBorders>
              <w:top w:val="nil"/>
              <w:left w:val="nil"/>
              <w:bottom w:val="nil"/>
              <w:right w:val="nil"/>
            </w:tcBorders>
            <w:shd w:val="clear" w:color="auto" w:fill="auto"/>
            <w:noWrap/>
            <w:tcMar>
              <w:top w:w="6" w:type="dxa"/>
              <w:bottom w:w="6" w:type="dxa"/>
            </w:tcMar>
            <w:hideMark/>
          </w:tcPr>
          <w:p w14:paraId="15CDE49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AKL</w:t>
            </w:r>
          </w:p>
        </w:tc>
        <w:tc>
          <w:tcPr>
            <w:tcW w:w="123" w:type="pct"/>
            <w:tcBorders>
              <w:top w:val="nil"/>
              <w:left w:val="nil"/>
              <w:bottom w:val="nil"/>
              <w:right w:val="nil"/>
            </w:tcBorders>
            <w:shd w:val="clear" w:color="auto" w:fill="auto"/>
            <w:noWrap/>
            <w:tcMar>
              <w:top w:w="6" w:type="dxa"/>
              <w:bottom w:w="6" w:type="dxa"/>
            </w:tcMar>
            <w:hideMark/>
          </w:tcPr>
          <w:p w14:paraId="16C700EC"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B7B1A9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w:t>
            </w:r>
          </w:p>
        </w:tc>
        <w:tc>
          <w:tcPr>
            <w:tcW w:w="343" w:type="pct"/>
            <w:tcBorders>
              <w:top w:val="nil"/>
              <w:left w:val="nil"/>
              <w:bottom w:val="nil"/>
              <w:right w:val="nil"/>
            </w:tcBorders>
            <w:shd w:val="clear" w:color="auto" w:fill="auto"/>
            <w:noWrap/>
            <w:tcMar>
              <w:top w:w="6" w:type="dxa"/>
              <w:bottom w:w="6" w:type="dxa"/>
            </w:tcMar>
            <w:hideMark/>
          </w:tcPr>
          <w:p w14:paraId="6CB7661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8.8</w:t>
            </w:r>
          </w:p>
        </w:tc>
        <w:tc>
          <w:tcPr>
            <w:tcW w:w="376" w:type="pct"/>
            <w:tcBorders>
              <w:top w:val="nil"/>
              <w:left w:val="nil"/>
              <w:bottom w:val="nil"/>
              <w:right w:val="nil"/>
            </w:tcBorders>
            <w:shd w:val="clear" w:color="auto" w:fill="auto"/>
            <w:noWrap/>
            <w:tcMar>
              <w:top w:w="6" w:type="dxa"/>
              <w:bottom w:w="6" w:type="dxa"/>
            </w:tcMar>
            <w:hideMark/>
          </w:tcPr>
          <w:p w14:paraId="52D5A2A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13.9</w:t>
            </w:r>
          </w:p>
        </w:tc>
        <w:tc>
          <w:tcPr>
            <w:tcW w:w="415" w:type="pct"/>
            <w:tcBorders>
              <w:top w:val="nil"/>
              <w:left w:val="nil"/>
              <w:bottom w:val="nil"/>
              <w:right w:val="nil"/>
            </w:tcBorders>
            <w:shd w:val="clear" w:color="auto" w:fill="auto"/>
            <w:noWrap/>
            <w:tcMar>
              <w:top w:w="6" w:type="dxa"/>
              <w:bottom w:w="6" w:type="dxa"/>
            </w:tcMar>
            <w:hideMark/>
          </w:tcPr>
          <w:p w14:paraId="68CECAF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11.6</w:t>
            </w:r>
          </w:p>
        </w:tc>
        <w:tc>
          <w:tcPr>
            <w:tcW w:w="123" w:type="pct"/>
            <w:tcBorders>
              <w:top w:val="nil"/>
              <w:left w:val="nil"/>
              <w:bottom w:val="nil"/>
              <w:right w:val="nil"/>
            </w:tcBorders>
            <w:shd w:val="clear" w:color="auto" w:fill="auto"/>
            <w:noWrap/>
            <w:tcMar>
              <w:top w:w="6" w:type="dxa"/>
              <w:bottom w:w="6" w:type="dxa"/>
            </w:tcMar>
            <w:hideMark/>
          </w:tcPr>
          <w:p w14:paraId="604C88AB"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7323F16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-0.094</w:t>
            </w:r>
          </w:p>
        </w:tc>
        <w:tc>
          <w:tcPr>
            <w:tcW w:w="722" w:type="pct"/>
            <w:tcBorders>
              <w:top w:val="nil"/>
              <w:left w:val="nil"/>
              <w:bottom w:val="nil"/>
              <w:right w:val="nil"/>
            </w:tcBorders>
            <w:shd w:val="clear" w:color="auto" w:fill="auto"/>
            <w:noWrap/>
            <w:tcMar>
              <w:top w:w="6" w:type="dxa"/>
              <w:bottom w:w="6" w:type="dxa"/>
            </w:tcMar>
            <w:hideMark/>
          </w:tcPr>
          <w:p w14:paraId="44F0916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0DCFAF9C"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0B935F2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Antique</w:t>
            </w:r>
          </w:p>
        </w:tc>
        <w:tc>
          <w:tcPr>
            <w:tcW w:w="810" w:type="pct"/>
            <w:tcBorders>
              <w:top w:val="nil"/>
              <w:left w:val="nil"/>
              <w:bottom w:val="nil"/>
              <w:right w:val="nil"/>
            </w:tcBorders>
            <w:shd w:val="clear" w:color="auto" w:fill="auto"/>
            <w:noWrap/>
            <w:tcMar>
              <w:top w:w="6" w:type="dxa"/>
              <w:bottom w:w="6" w:type="dxa"/>
            </w:tcMar>
            <w:hideMark/>
          </w:tcPr>
          <w:p w14:paraId="2FB7108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ANT</w:t>
            </w:r>
          </w:p>
        </w:tc>
        <w:tc>
          <w:tcPr>
            <w:tcW w:w="123" w:type="pct"/>
            <w:tcBorders>
              <w:top w:val="nil"/>
              <w:left w:val="nil"/>
              <w:bottom w:val="nil"/>
              <w:right w:val="nil"/>
            </w:tcBorders>
            <w:shd w:val="clear" w:color="auto" w:fill="auto"/>
            <w:noWrap/>
            <w:tcMar>
              <w:top w:w="6" w:type="dxa"/>
              <w:bottom w:w="6" w:type="dxa"/>
            </w:tcMar>
            <w:hideMark/>
          </w:tcPr>
          <w:p w14:paraId="1D02A47A"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096C991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18.4</w:t>
            </w:r>
          </w:p>
        </w:tc>
        <w:tc>
          <w:tcPr>
            <w:tcW w:w="343" w:type="pct"/>
            <w:tcBorders>
              <w:top w:val="nil"/>
              <w:left w:val="nil"/>
              <w:bottom w:val="nil"/>
              <w:right w:val="nil"/>
            </w:tcBorders>
            <w:shd w:val="clear" w:color="auto" w:fill="auto"/>
            <w:noWrap/>
            <w:tcMar>
              <w:top w:w="6" w:type="dxa"/>
              <w:bottom w:w="6" w:type="dxa"/>
            </w:tcMar>
            <w:hideMark/>
          </w:tcPr>
          <w:p w14:paraId="2639C6B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12.9</w:t>
            </w:r>
          </w:p>
        </w:tc>
        <w:tc>
          <w:tcPr>
            <w:tcW w:w="376" w:type="pct"/>
            <w:tcBorders>
              <w:top w:val="nil"/>
              <w:left w:val="nil"/>
              <w:bottom w:val="nil"/>
              <w:right w:val="nil"/>
            </w:tcBorders>
            <w:shd w:val="clear" w:color="auto" w:fill="auto"/>
            <w:noWrap/>
            <w:tcMar>
              <w:top w:w="6" w:type="dxa"/>
              <w:bottom w:w="6" w:type="dxa"/>
            </w:tcMar>
            <w:hideMark/>
          </w:tcPr>
          <w:p w14:paraId="118A5A7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18.2</w:t>
            </w:r>
          </w:p>
        </w:tc>
        <w:tc>
          <w:tcPr>
            <w:tcW w:w="415" w:type="pct"/>
            <w:tcBorders>
              <w:top w:val="nil"/>
              <w:left w:val="nil"/>
              <w:bottom w:val="nil"/>
              <w:right w:val="nil"/>
            </w:tcBorders>
            <w:shd w:val="clear" w:color="auto" w:fill="auto"/>
            <w:noWrap/>
            <w:tcMar>
              <w:top w:w="6" w:type="dxa"/>
              <w:bottom w:w="6" w:type="dxa"/>
            </w:tcMar>
            <w:hideMark/>
          </w:tcPr>
          <w:p w14:paraId="03BE43B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16.5</w:t>
            </w:r>
          </w:p>
        </w:tc>
        <w:tc>
          <w:tcPr>
            <w:tcW w:w="123" w:type="pct"/>
            <w:tcBorders>
              <w:top w:val="nil"/>
              <w:left w:val="nil"/>
              <w:bottom w:val="nil"/>
              <w:right w:val="nil"/>
            </w:tcBorders>
            <w:shd w:val="clear" w:color="auto" w:fill="auto"/>
            <w:noWrap/>
            <w:tcMar>
              <w:top w:w="6" w:type="dxa"/>
              <w:bottom w:w="6" w:type="dxa"/>
            </w:tcMar>
            <w:hideMark/>
          </w:tcPr>
          <w:p w14:paraId="35391A00"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6AA74D43"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-0.071</w:t>
            </w:r>
          </w:p>
        </w:tc>
        <w:tc>
          <w:tcPr>
            <w:tcW w:w="722" w:type="pct"/>
            <w:tcBorders>
              <w:top w:val="nil"/>
              <w:left w:val="nil"/>
              <w:bottom w:val="nil"/>
              <w:right w:val="nil"/>
            </w:tcBorders>
            <w:shd w:val="clear" w:color="auto" w:fill="auto"/>
            <w:noWrap/>
            <w:tcMar>
              <w:top w:w="6" w:type="dxa"/>
              <w:bottom w:w="6" w:type="dxa"/>
            </w:tcMar>
            <w:hideMark/>
          </w:tcPr>
          <w:p w14:paraId="2F4BE65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658F8935"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7390A2A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 xml:space="preserve">Capiz </w:t>
            </w:r>
          </w:p>
        </w:tc>
        <w:tc>
          <w:tcPr>
            <w:tcW w:w="810" w:type="pct"/>
            <w:tcBorders>
              <w:top w:val="nil"/>
              <w:left w:val="nil"/>
              <w:bottom w:val="nil"/>
              <w:right w:val="nil"/>
            </w:tcBorders>
            <w:shd w:val="clear" w:color="auto" w:fill="auto"/>
            <w:noWrap/>
            <w:tcMar>
              <w:top w:w="6" w:type="dxa"/>
              <w:bottom w:w="6" w:type="dxa"/>
            </w:tcMar>
            <w:hideMark/>
          </w:tcPr>
          <w:p w14:paraId="0EBCB63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CAP</w:t>
            </w:r>
          </w:p>
        </w:tc>
        <w:tc>
          <w:tcPr>
            <w:tcW w:w="123" w:type="pct"/>
            <w:tcBorders>
              <w:top w:val="nil"/>
              <w:left w:val="nil"/>
              <w:bottom w:val="nil"/>
              <w:right w:val="nil"/>
            </w:tcBorders>
            <w:shd w:val="clear" w:color="auto" w:fill="auto"/>
            <w:noWrap/>
            <w:tcMar>
              <w:top w:w="6" w:type="dxa"/>
              <w:bottom w:w="6" w:type="dxa"/>
            </w:tcMar>
            <w:hideMark/>
          </w:tcPr>
          <w:p w14:paraId="78A8066B"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610B22E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w:t>
            </w:r>
          </w:p>
        </w:tc>
        <w:tc>
          <w:tcPr>
            <w:tcW w:w="343" w:type="pct"/>
            <w:tcBorders>
              <w:top w:val="nil"/>
              <w:left w:val="nil"/>
              <w:bottom w:val="nil"/>
              <w:right w:val="nil"/>
            </w:tcBorders>
            <w:shd w:val="clear" w:color="auto" w:fill="auto"/>
            <w:noWrap/>
            <w:tcMar>
              <w:top w:w="6" w:type="dxa"/>
              <w:bottom w:w="6" w:type="dxa"/>
            </w:tcMar>
            <w:hideMark/>
          </w:tcPr>
          <w:p w14:paraId="0347688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4.1</w:t>
            </w:r>
          </w:p>
        </w:tc>
        <w:tc>
          <w:tcPr>
            <w:tcW w:w="376" w:type="pct"/>
            <w:tcBorders>
              <w:top w:val="nil"/>
              <w:left w:val="nil"/>
              <w:bottom w:val="nil"/>
              <w:right w:val="nil"/>
            </w:tcBorders>
            <w:shd w:val="clear" w:color="auto" w:fill="auto"/>
            <w:noWrap/>
            <w:tcMar>
              <w:top w:w="6" w:type="dxa"/>
              <w:bottom w:w="6" w:type="dxa"/>
            </w:tcMar>
            <w:hideMark/>
          </w:tcPr>
          <w:p w14:paraId="65814CF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6.1</w:t>
            </w:r>
          </w:p>
        </w:tc>
        <w:tc>
          <w:tcPr>
            <w:tcW w:w="415" w:type="pct"/>
            <w:tcBorders>
              <w:top w:val="nil"/>
              <w:left w:val="nil"/>
              <w:bottom w:val="nil"/>
              <w:right w:val="nil"/>
            </w:tcBorders>
            <w:shd w:val="clear" w:color="auto" w:fill="auto"/>
            <w:noWrap/>
            <w:tcMar>
              <w:top w:w="6" w:type="dxa"/>
              <w:bottom w:w="6" w:type="dxa"/>
            </w:tcMar>
            <w:hideMark/>
          </w:tcPr>
          <w:p w14:paraId="2C71B43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5.7</w:t>
            </w:r>
          </w:p>
        </w:tc>
        <w:tc>
          <w:tcPr>
            <w:tcW w:w="123" w:type="pct"/>
            <w:tcBorders>
              <w:top w:val="nil"/>
              <w:left w:val="nil"/>
              <w:bottom w:val="nil"/>
              <w:right w:val="nil"/>
            </w:tcBorders>
            <w:shd w:val="clear" w:color="auto" w:fill="auto"/>
            <w:noWrap/>
            <w:tcMar>
              <w:top w:w="6" w:type="dxa"/>
              <w:bottom w:w="6" w:type="dxa"/>
            </w:tcMar>
            <w:hideMark/>
          </w:tcPr>
          <w:p w14:paraId="211B535C"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3059BEC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0.011</w:t>
            </w:r>
          </w:p>
        </w:tc>
        <w:tc>
          <w:tcPr>
            <w:tcW w:w="722" w:type="pct"/>
            <w:tcBorders>
              <w:top w:val="nil"/>
              <w:left w:val="nil"/>
              <w:bottom w:val="nil"/>
              <w:right w:val="nil"/>
            </w:tcBorders>
            <w:shd w:val="clear" w:color="auto" w:fill="auto"/>
            <w:noWrap/>
            <w:tcMar>
              <w:top w:w="6" w:type="dxa"/>
              <w:bottom w:w="6" w:type="dxa"/>
            </w:tcMar>
            <w:hideMark/>
          </w:tcPr>
          <w:p w14:paraId="7DF971CC"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Surplus</w:t>
            </w:r>
          </w:p>
        </w:tc>
      </w:tr>
      <w:tr w:rsidR="0089094B" w:rsidRPr="00D6728E" w14:paraId="37BE8323" w14:textId="77777777" w:rsidTr="0089094B">
        <w:trPr>
          <w:trHeight w:val="170"/>
        </w:trPr>
        <w:tc>
          <w:tcPr>
            <w:tcW w:w="1251" w:type="pct"/>
            <w:tcBorders>
              <w:top w:val="nil"/>
              <w:left w:val="nil"/>
              <w:bottom w:val="nil"/>
              <w:right w:val="nil"/>
            </w:tcBorders>
            <w:shd w:val="clear" w:color="auto" w:fill="auto"/>
            <w:noWrap/>
            <w:tcMar>
              <w:top w:w="6" w:type="dxa"/>
              <w:bottom w:w="6" w:type="dxa"/>
            </w:tcMar>
            <w:hideMark/>
          </w:tcPr>
          <w:p w14:paraId="4E8F97E3" w14:textId="77777777" w:rsidR="004E2B5B" w:rsidRPr="00F85269" w:rsidRDefault="004E2B5B" w:rsidP="00532745">
            <w:pPr>
              <w:rPr>
                <w:rFonts w:ascii="Times New Roman" w:hAnsi="Times New Roman" w:cs="Times New Roman"/>
                <w:color w:val="000000"/>
                <w:sz w:val="21"/>
                <w:szCs w:val="21"/>
              </w:rPr>
            </w:pPr>
            <w:proofErr w:type="spellStart"/>
            <w:r w:rsidRPr="00F85269">
              <w:rPr>
                <w:rFonts w:ascii="Times New Roman" w:hAnsi="Times New Roman" w:cs="Times New Roman"/>
                <w:color w:val="000000"/>
                <w:sz w:val="21"/>
                <w:szCs w:val="21"/>
              </w:rPr>
              <w:t>Guimaras</w:t>
            </w:r>
            <w:proofErr w:type="spellEnd"/>
          </w:p>
        </w:tc>
        <w:tc>
          <w:tcPr>
            <w:tcW w:w="810" w:type="pct"/>
            <w:tcBorders>
              <w:top w:val="nil"/>
              <w:left w:val="nil"/>
              <w:bottom w:val="nil"/>
              <w:right w:val="nil"/>
            </w:tcBorders>
            <w:shd w:val="clear" w:color="auto" w:fill="auto"/>
            <w:noWrap/>
            <w:tcMar>
              <w:top w:w="6" w:type="dxa"/>
              <w:bottom w:w="6" w:type="dxa"/>
            </w:tcMar>
            <w:hideMark/>
          </w:tcPr>
          <w:p w14:paraId="75C2ACF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GUI</w:t>
            </w:r>
          </w:p>
        </w:tc>
        <w:tc>
          <w:tcPr>
            <w:tcW w:w="123" w:type="pct"/>
            <w:tcBorders>
              <w:top w:val="nil"/>
              <w:left w:val="nil"/>
              <w:bottom w:val="nil"/>
              <w:right w:val="nil"/>
            </w:tcBorders>
            <w:shd w:val="clear" w:color="auto" w:fill="auto"/>
            <w:noWrap/>
            <w:tcMar>
              <w:top w:w="6" w:type="dxa"/>
              <w:bottom w:w="6" w:type="dxa"/>
            </w:tcMar>
            <w:hideMark/>
          </w:tcPr>
          <w:p w14:paraId="48716C59"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hideMark/>
          </w:tcPr>
          <w:p w14:paraId="4256613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4.8</w:t>
            </w:r>
          </w:p>
        </w:tc>
        <w:tc>
          <w:tcPr>
            <w:tcW w:w="343" w:type="pct"/>
            <w:tcBorders>
              <w:top w:val="nil"/>
              <w:left w:val="nil"/>
              <w:bottom w:val="nil"/>
              <w:right w:val="nil"/>
            </w:tcBorders>
            <w:shd w:val="clear" w:color="auto" w:fill="auto"/>
            <w:noWrap/>
            <w:tcMar>
              <w:top w:w="6" w:type="dxa"/>
              <w:bottom w:w="6" w:type="dxa"/>
            </w:tcMar>
            <w:hideMark/>
          </w:tcPr>
          <w:p w14:paraId="06DCF88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6.8</w:t>
            </w:r>
          </w:p>
        </w:tc>
        <w:tc>
          <w:tcPr>
            <w:tcW w:w="376" w:type="pct"/>
            <w:tcBorders>
              <w:top w:val="nil"/>
              <w:left w:val="nil"/>
              <w:bottom w:val="nil"/>
              <w:right w:val="nil"/>
            </w:tcBorders>
            <w:shd w:val="clear" w:color="auto" w:fill="auto"/>
            <w:noWrap/>
            <w:tcMar>
              <w:top w:w="6" w:type="dxa"/>
              <w:bottom w:w="6" w:type="dxa"/>
            </w:tcMar>
            <w:hideMark/>
          </w:tcPr>
          <w:p w14:paraId="6637936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7.3</w:t>
            </w:r>
          </w:p>
        </w:tc>
        <w:tc>
          <w:tcPr>
            <w:tcW w:w="415" w:type="pct"/>
            <w:tcBorders>
              <w:top w:val="nil"/>
              <w:left w:val="nil"/>
              <w:bottom w:val="nil"/>
              <w:right w:val="nil"/>
            </w:tcBorders>
            <w:shd w:val="clear" w:color="auto" w:fill="auto"/>
            <w:noWrap/>
            <w:tcMar>
              <w:top w:w="6" w:type="dxa"/>
              <w:bottom w:w="6" w:type="dxa"/>
            </w:tcMar>
            <w:hideMark/>
          </w:tcPr>
          <w:p w14:paraId="7D1DFAD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6.3</w:t>
            </w:r>
          </w:p>
        </w:tc>
        <w:tc>
          <w:tcPr>
            <w:tcW w:w="123" w:type="pct"/>
            <w:tcBorders>
              <w:top w:val="nil"/>
              <w:left w:val="nil"/>
              <w:bottom w:val="nil"/>
              <w:right w:val="nil"/>
            </w:tcBorders>
            <w:shd w:val="clear" w:color="auto" w:fill="auto"/>
            <w:noWrap/>
            <w:tcMar>
              <w:top w:w="6" w:type="dxa"/>
              <w:bottom w:w="6" w:type="dxa"/>
            </w:tcMar>
            <w:hideMark/>
          </w:tcPr>
          <w:p w14:paraId="022D7EC0"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hideMark/>
          </w:tcPr>
          <w:p w14:paraId="2664417A"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-0.114</w:t>
            </w:r>
          </w:p>
        </w:tc>
        <w:tc>
          <w:tcPr>
            <w:tcW w:w="722" w:type="pct"/>
            <w:tcBorders>
              <w:top w:val="nil"/>
              <w:left w:val="nil"/>
              <w:bottom w:val="nil"/>
              <w:right w:val="nil"/>
            </w:tcBorders>
            <w:shd w:val="clear" w:color="auto" w:fill="auto"/>
            <w:noWrap/>
            <w:tcMar>
              <w:top w:w="6" w:type="dxa"/>
              <w:bottom w:w="6" w:type="dxa"/>
            </w:tcMar>
            <w:hideMark/>
          </w:tcPr>
          <w:p w14:paraId="6F30A1DD"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color w:val="000000"/>
                <w:sz w:val="21"/>
                <w:szCs w:val="21"/>
              </w:rPr>
              <w:t>Deficit</w:t>
            </w:r>
          </w:p>
        </w:tc>
      </w:tr>
      <w:tr w:rsidR="0089094B" w:rsidRPr="00D6728E" w14:paraId="12652792" w14:textId="77777777" w:rsidTr="0089094B">
        <w:trPr>
          <w:trHeight w:val="170"/>
        </w:trPr>
        <w:tc>
          <w:tcPr>
            <w:tcW w:w="1251" w:type="pct"/>
            <w:tcBorders>
              <w:top w:val="nil"/>
              <w:left w:val="nil"/>
              <w:bottom w:val="nil"/>
              <w:right w:val="nil"/>
            </w:tcBorders>
            <w:shd w:val="clear" w:color="auto" w:fill="auto"/>
            <w:noWrap/>
            <w:tcMar>
              <w:top w:w="6" w:type="dxa"/>
              <w:bottom w:w="6" w:type="dxa"/>
            </w:tcMar>
          </w:tcPr>
          <w:p w14:paraId="22B9A644"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Iloilo</w:t>
            </w:r>
          </w:p>
        </w:tc>
        <w:tc>
          <w:tcPr>
            <w:tcW w:w="810" w:type="pct"/>
            <w:tcBorders>
              <w:top w:val="nil"/>
              <w:left w:val="nil"/>
              <w:bottom w:val="nil"/>
              <w:right w:val="nil"/>
            </w:tcBorders>
            <w:shd w:val="clear" w:color="auto" w:fill="auto"/>
            <w:noWrap/>
            <w:tcMar>
              <w:top w:w="6" w:type="dxa"/>
              <w:bottom w:w="6" w:type="dxa"/>
            </w:tcMar>
          </w:tcPr>
          <w:p w14:paraId="472C3C4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ILI</w:t>
            </w:r>
          </w:p>
        </w:tc>
        <w:tc>
          <w:tcPr>
            <w:tcW w:w="123" w:type="pct"/>
            <w:tcBorders>
              <w:top w:val="nil"/>
              <w:left w:val="nil"/>
              <w:bottom w:val="nil"/>
              <w:right w:val="nil"/>
            </w:tcBorders>
            <w:shd w:val="clear" w:color="auto" w:fill="auto"/>
            <w:noWrap/>
            <w:tcMar>
              <w:top w:w="6" w:type="dxa"/>
              <w:bottom w:w="6" w:type="dxa"/>
            </w:tcMar>
          </w:tcPr>
          <w:p w14:paraId="0711EEED"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tcPr>
          <w:p w14:paraId="5607C03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16.4</w:t>
            </w:r>
          </w:p>
        </w:tc>
        <w:tc>
          <w:tcPr>
            <w:tcW w:w="343" w:type="pct"/>
            <w:tcBorders>
              <w:top w:val="nil"/>
              <w:left w:val="nil"/>
              <w:bottom w:val="nil"/>
              <w:right w:val="nil"/>
            </w:tcBorders>
            <w:shd w:val="clear" w:color="auto" w:fill="auto"/>
            <w:noWrap/>
            <w:tcMar>
              <w:top w:w="6" w:type="dxa"/>
              <w:bottom w:w="6" w:type="dxa"/>
            </w:tcMar>
          </w:tcPr>
          <w:p w14:paraId="026671E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12.1</w:t>
            </w:r>
          </w:p>
        </w:tc>
        <w:tc>
          <w:tcPr>
            <w:tcW w:w="376" w:type="pct"/>
            <w:tcBorders>
              <w:top w:val="nil"/>
              <w:left w:val="nil"/>
              <w:bottom w:val="nil"/>
              <w:right w:val="nil"/>
            </w:tcBorders>
            <w:shd w:val="clear" w:color="auto" w:fill="auto"/>
            <w:noWrap/>
            <w:tcMar>
              <w:top w:w="6" w:type="dxa"/>
              <w:bottom w:w="6" w:type="dxa"/>
            </w:tcMar>
          </w:tcPr>
          <w:p w14:paraId="2F2B5B11"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12.6</w:t>
            </w:r>
          </w:p>
        </w:tc>
        <w:tc>
          <w:tcPr>
            <w:tcW w:w="415" w:type="pct"/>
            <w:tcBorders>
              <w:top w:val="nil"/>
              <w:left w:val="nil"/>
              <w:bottom w:val="nil"/>
              <w:right w:val="nil"/>
            </w:tcBorders>
            <w:shd w:val="clear" w:color="auto" w:fill="auto"/>
            <w:noWrap/>
            <w:tcMar>
              <w:top w:w="6" w:type="dxa"/>
              <w:bottom w:w="6" w:type="dxa"/>
            </w:tcMar>
          </w:tcPr>
          <w:p w14:paraId="2D5179F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13.7</w:t>
            </w:r>
          </w:p>
        </w:tc>
        <w:tc>
          <w:tcPr>
            <w:tcW w:w="123" w:type="pct"/>
            <w:tcBorders>
              <w:top w:val="nil"/>
              <w:left w:val="nil"/>
              <w:bottom w:val="nil"/>
              <w:right w:val="nil"/>
            </w:tcBorders>
            <w:shd w:val="clear" w:color="auto" w:fill="auto"/>
            <w:noWrap/>
            <w:tcMar>
              <w:top w:w="6" w:type="dxa"/>
              <w:bottom w:w="6" w:type="dxa"/>
            </w:tcMar>
          </w:tcPr>
          <w:p w14:paraId="29C0BA98"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tcPr>
          <w:p w14:paraId="61C32618"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-0.096</w:t>
            </w:r>
          </w:p>
        </w:tc>
        <w:tc>
          <w:tcPr>
            <w:tcW w:w="722" w:type="pct"/>
            <w:tcBorders>
              <w:top w:val="nil"/>
              <w:left w:val="nil"/>
              <w:bottom w:val="nil"/>
              <w:right w:val="nil"/>
            </w:tcBorders>
            <w:shd w:val="clear" w:color="auto" w:fill="auto"/>
            <w:noWrap/>
            <w:tcMar>
              <w:top w:w="6" w:type="dxa"/>
              <w:bottom w:w="6" w:type="dxa"/>
            </w:tcMar>
          </w:tcPr>
          <w:p w14:paraId="16994E7F"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Deficit</w:t>
            </w:r>
          </w:p>
        </w:tc>
      </w:tr>
      <w:tr w:rsidR="0089094B" w:rsidRPr="00D6728E" w14:paraId="6E0C8800" w14:textId="77777777" w:rsidTr="0089094B">
        <w:trPr>
          <w:trHeight w:val="170"/>
        </w:trPr>
        <w:tc>
          <w:tcPr>
            <w:tcW w:w="1251" w:type="pct"/>
            <w:tcBorders>
              <w:top w:val="nil"/>
              <w:left w:val="nil"/>
              <w:bottom w:val="nil"/>
              <w:right w:val="nil"/>
            </w:tcBorders>
            <w:shd w:val="clear" w:color="auto" w:fill="auto"/>
            <w:noWrap/>
            <w:tcMar>
              <w:top w:w="6" w:type="dxa"/>
              <w:bottom w:w="6" w:type="dxa"/>
            </w:tcMar>
          </w:tcPr>
          <w:p w14:paraId="4DABBFD0" w14:textId="77777777" w:rsidR="004E2B5B" w:rsidRPr="00F85269" w:rsidRDefault="004E2B5B" w:rsidP="00532745">
            <w:pPr>
              <w:rPr>
                <w:rFonts w:ascii="Times New Roman" w:hAnsi="Times New Roman" w:cs="Times New Roman"/>
                <w:color w:val="000000"/>
                <w:sz w:val="21"/>
                <w:szCs w:val="21"/>
              </w:rPr>
            </w:pPr>
            <w:bookmarkStart w:id="22" w:name="_Hlk197457170"/>
            <w:r w:rsidRPr="00F85269">
              <w:rPr>
                <w:rFonts w:ascii="Times New Roman" w:hAnsi="Times New Roman" w:cs="Times New Roman"/>
                <w:sz w:val="21"/>
                <w:szCs w:val="21"/>
              </w:rPr>
              <w:t>Negros Occidental</w:t>
            </w:r>
          </w:p>
        </w:tc>
        <w:tc>
          <w:tcPr>
            <w:tcW w:w="810" w:type="pct"/>
            <w:tcBorders>
              <w:top w:val="nil"/>
              <w:left w:val="nil"/>
              <w:bottom w:val="nil"/>
              <w:right w:val="nil"/>
            </w:tcBorders>
            <w:shd w:val="clear" w:color="auto" w:fill="auto"/>
            <w:noWrap/>
            <w:tcMar>
              <w:top w:w="6" w:type="dxa"/>
              <w:bottom w:w="6" w:type="dxa"/>
            </w:tcMar>
          </w:tcPr>
          <w:p w14:paraId="50EA7C1B"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NEC</w:t>
            </w:r>
          </w:p>
        </w:tc>
        <w:tc>
          <w:tcPr>
            <w:tcW w:w="123" w:type="pct"/>
            <w:tcBorders>
              <w:top w:val="nil"/>
              <w:left w:val="nil"/>
              <w:bottom w:val="nil"/>
              <w:right w:val="nil"/>
            </w:tcBorders>
            <w:shd w:val="clear" w:color="auto" w:fill="auto"/>
            <w:noWrap/>
            <w:tcMar>
              <w:top w:w="6" w:type="dxa"/>
              <w:bottom w:w="6" w:type="dxa"/>
            </w:tcMar>
          </w:tcPr>
          <w:p w14:paraId="4EA80714"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tcPr>
          <w:p w14:paraId="1F2459FE"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25.5</w:t>
            </w:r>
          </w:p>
        </w:tc>
        <w:tc>
          <w:tcPr>
            <w:tcW w:w="343" w:type="pct"/>
            <w:tcBorders>
              <w:top w:val="nil"/>
              <w:left w:val="nil"/>
              <w:bottom w:val="nil"/>
              <w:right w:val="nil"/>
            </w:tcBorders>
            <w:shd w:val="clear" w:color="auto" w:fill="auto"/>
            <w:noWrap/>
            <w:tcMar>
              <w:top w:w="6" w:type="dxa"/>
              <w:bottom w:w="6" w:type="dxa"/>
            </w:tcMar>
          </w:tcPr>
          <w:p w14:paraId="509D22F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14.5</w:t>
            </w:r>
          </w:p>
        </w:tc>
        <w:tc>
          <w:tcPr>
            <w:tcW w:w="376" w:type="pct"/>
            <w:tcBorders>
              <w:top w:val="nil"/>
              <w:left w:val="nil"/>
              <w:bottom w:val="nil"/>
              <w:right w:val="nil"/>
            </w:tcBorders>
            <w:shd w:val="clear" w:color="auto" w:fill="auto"/>
            <w:noWrap/>
            <w:tcMar>
              <w:top w:w="6" w:type="dxa"/>
              <w:bottom w:w="6" w:type="dxa"/>
            </w:tcMar>
          </w:tcPr>
          <w:p w14:paraId="37523DD6"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16.4</w:t>
            </w:r>
          </w:p>
        </w:tc>
        <w:tc>
          <w:tcPr>
            <w:tcW w:w="415" w:type="pct"/>
            <w:tcBorders>
              <w:top w:val="nil"/>
              <w:left w:val="nil"/>
              <w:bottom w:val="nil"/>
              <w:right w:val="nil"/>
            </w:tcBorders>
            <w:shd w:val="clear" w:color="auto" w:fill="auto"/>
            <w:noWrap/>
            <w:tcMar>
              <w:top w:w="6" w:type="dxa"/>
              <w:bottom w:w="6" w:type="dxa"/>
            </w:tcMar>
          </w:tcPr>
          <w:p w14:paraId="691AFCC0"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18.8</w:t>
            </w:r>
          </w:p>
        </w:tc>
        <w:tc>
          <w:tcPr>
            <w:tcW w:w="123" w:type="pct"/>
            <w:tcBorders>
              <w:top w:val="nil"/>
              <w:left w:val="nil"/>
              <w:bottom w:val="nil"/>
              <w:right w:val="nil"/>
            </w:tcBorders>
            <w:shd w:val="clear" w:color="auto" w:fill="auto"/>
            <w:noWrap/>
            <w:tcMar>
              <w:top w:w="6" w:type="dxa"/>
              <w:bottom w:w="6" w:type="dxa"/>
            </w:tcMar>
          </w:tcPr>
          <w:p w14:paraId="4B5F52ED"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tcPr>
          <w:p w14:paraId="22FD2DA2"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-0.107</w:t>
            </w:r>
          </w:p>
        </w:tc>
        <w:tc>
          <w:tcPr>
            <w:tcW w:w="722" w:type="pct"/>
            <w:tcBorders>
              <w:top w:val="nil"/>
              <w:left w:val="nil"/>
              <w:bottom w:val="nil"/>
              <w:right w:val="nil"/>
            </w:tcBorders>
            <w:shd w:val="clear" w:color="auto" w:fill="auto"/>
            <w:noWrap/>
            <w:tcMar>
              <w:top w:w="6" w:type="dxa"/>
              <w:bottom w:w="6" w:type="dxa"/>
            </w:tcMar>
          </w:tcPr>
          <w:p w14:paraId="65CC6A07" w14:textId="77777777" w:rsidR="004E2B5B" w:rsidRPr="00F85269" w:rsidRDefault="004E2B5B" w:rsidP="00532745">
            <w:pPr>
              <w:rPr>
                <w:rFonts w:ascii="Times New Roman" w:hAnsi="Times New Roman" w:cs="Times New Roman"/>
                <w:color w:val="000000"/>
                <w:sz w:val="21"/>
                <w:szCs w:val="21"/>
              </w:rPr>
            </w:pPr>
            <w:r w:rsidRPr="00F85269">
              <w:rPr>
                <w:rFonts w:ascii="Times New Roman" w:hAnsi="Times New Roman" w:cs="Times New Roman"/>
                <w:sz w:val="21"/>
                <w:szCs w:val="21"/>
              </w:rPr>
              <w:t>Deficit</w:t>
            </w:r>
          </w:p>
        </w:tc>
      </w:tr>
      <w:tr w:rsidR="0089094B" w:rsidRPr="00D6728E" w14:paraId="2BEE057E" w14:textId="77777777" w:rsidTr="0089094B">
        <w:trPr>
          <w:trHeight w:val="170"/>
        </w:trPr>
        <w:tc>
          <w:tcPr>
            <w:tcW w:w="1251" w:type="pct"/>
            <w:tcBorders>
              <w:top w:val="nil"/>
              <w:left w:val="nil"/>
              <w:bottom w:val="nil"/>
              <w:right w:val="nil"/>
            </w:tcBorders>
            <w:shd w:val="clear" w:color="auto" w:fill="auto"/>
            <w:noWrap/>
            <w:tcMar>
              <w:top w:w="6" w:type="dxa"/>
              <w:bottom w:w="6" w:type="dxa"/>
            </w:tcMar>
          </w:tcPr>
          <w:p w14:paraId="71CA52B2"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 xml:space="preserve">Bohol </w:t>
            </w:r>
          </w:p>
        </w:tc>
        <w:tc>
          <w:tcPr>
            <w:tcW w:w="810" w:type="pct"/>
            <w:tcBorders>
              <w:top w:val="nil"/>
              <w:left w:val="nil"/>
              <w:bottom w:val="nil"/>
              <w:right w:val="nil"/>
            </w:tcBorders>
            <w:shd w:val="clear" w:color="auto" w:fill="auto"/>
            <w:noWrap/>
            <w:tcMar>
              <w:top w:w="6" w:type="dxa"/>
              <w:bottom w:w="6" w:type="dxa"/>
            </w:tcMar>
          </w:tcPr>
          <w:p w14:paraId="79D369AD"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BOH</w:t>
            </w:r>
          </w:p>
        </w:tc>
        <w:tc>
          <w:tcPr>
            <w:tcW w:w="123" w:type="pct"/>
            <w:tcBorders>
              <w:top w:val="nil"/>
              <w:left w:val="nil"/>
              <w:bottom w:val="nil"/>
              <w:right w:val="nil"/>
            </w:tcBorders>
            <w:shd w:val="clear" w:color="auto" w:fill="auto"/>
            <w:noWrap/>
            <w:tcMar>
              <w:top w:w="6" w:type="dxa"/>
              <w:bottom w:w="6" w:type="dxa"/>
            </w:tcMar>
          </w:tcPr>
          <w:p w14:paraId="3E8A0B2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nil"/>
              <w:right w:val="nil"/>
            </w:tcBorders>
            <w:shd w:val="clear" w:color="auto" w:fill="auto"/>
            <w:noWrap/>
            <w:tcMar>
              <w:top w:w="6" w:type="dxa"/>
              <w:bottom w:w="6" w:type="dxa"/>
            </w:tcMar>
          </w:tcPr>
          <w:p w14:paraId="50DADA5E"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25.2</w:t>
            </w:r>
          </w:p>
        </w:tc>
        <w:tc>
          <w:tcPr>
            <w:tcW w:w="343" w:type="pct"/>
            <w:tcBorders>
              <w:top w:val="nil"/>
              <w:left w:val="nil"/>
              <w:bottom w:val="nil"/>
              <w:right w:val="nil"/>
            </w:tcBorders>
            <w:shd w:val="clear" w:color="auto" w:fill="auto"/>
            <w:noWrap/>
            <w:tcMar>
              <w:top w:w="6" w:type="dxa"/>
              <w:bottom w:w="6" w:type="dxa"/>
            </w:tcMar>
          </w:tcPr>
          <w:p w14:paraId="76F82402"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15.5</w:t>
            </w:r>
          </w:p>
        </w:tc>
        <w:tc>
          <w:tcPr>
            <w:tcW w:w="376" w:type="pct"/>
            <w:tcBorders>
              <w:top w:val="nil"/>
              <w:left w:val="nil"/>
              <w:bottom w:val="nil"/>
              <w:right w:val="nil"/>
            </w:tcBorders>
            <w:shd w:val="clear" w:color="auto" w:fill="auto"/>
            <w:noWrap/>
            <w:tcMar>
              <w:top w:w="6" w:type="dxa"/>
              <w:bottom w:w="6" w:type="dxa"/>
            </w:tcMar>
          </w:tcPr>
          <w:p w14:paraId="288A5518"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19.1</w:t>
            </w:r>
          </w:p>
        </w:tc>
        <w:tc>
          <w:tcPr>
            <w:tcW w:w="415" w:type="pct"/>
            <w:tcBorders>
              <w:top w:val="nil"/>
              <w:left w:val="nil"/>
              <w:bottom w:val="nil"/>
              <w:right w:val="nil"/>
            </w:tcBorders>
            <w:shd w:val="clear" w:color="auto" w:fill="auto"/>
            <w:noWrap/>
            <w:tcMar>
              <w:top w:w="6" w:type="dxa"/>
              <w:bottom w:w="6" w:type="dxa"/>
            </w:tcMar>
          </w:tcPr>
          <w:p w14:paraId="5DEF30A4"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19.9</w:t>
            </w:r>
          </w:p>
        </w:tc>
        <w:tc>
          <w:tcPr>
            <w:tcW w:w="123" w:type="pct"/>
            <w:tcBorders>
              <w:top w:val="nil"/>
              <w:left w:val="nil"/>
              <w:bottom w:val="nil"/>
              <w:right w:val="nil"/>
            </w:tcBorders>
            <w:shd w:val="clear" w:color="auto" w:fill="auto"/>
            <w:noWrap/>
            <w:tcMar>
              <w:top w:w="6" w:type="dxa"/>
              <w:bottom w:w="6" w:type="dxa"/>
            </w:tcMar>
          </w:tcPr>
          <w:p w14:paraId="3C29E2E3"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nil"/>
              <w:right w:val="nil"/>
            </w:tcBorders>
            <w:shd w:val="clear" w:color="auto" w:fill="auto"/>
            <w:noWrap/>
            <w:tcMar>
              <w:top w:w="6" w:type="dxa"/>
              <w:bottom w:w="6" w:type="dxa"/>
            </w:tcMar>
          </w:tcPr>
          <w:p w14:paraId="2DF1FA1B"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-0.055</w:t>
            </w:r>
          </w:p>
        </w:tc>
        <w:tc>
          <w:tcPr>
            <w:tcW w:w="722" w:type="pct"/>
            <w:tcBorders>
              <w:top w:val="nil"/>
              <w:left w:val="nil"/>
              <w:bottom w:val="nil"/>
              <w:right w:val="nil"/>
            </w:tcBorders>
            <w:shd w:val="clear" w:color="auto" w:fill="auto"/>
            <w:noWrap/>
            <w:tcMar>
              <w:top w:w="6" w:type="dxa"/>
              <w:bottom w:w="6" w:type="dxa"/>
            </w:tcMar>
          </w:tcPr>
          <w:p w14:paraId="371496E8"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Deficit</w:t>
            </w:r>
          </w:p>
        </w:tc>
      </w:tr>
      <w:tr w:rsidR="0089094B" w:rsidRPr="00D6728E" w14:paraId="4781AD72" w14:textId="77777777" w:rsidTr="001D0B5B">
        <w:trPr>
          <w:trHeight w:val="170"/>
        </w:trPr>
        <w:tc>
          <w:tcPr>
            <w:tcW w:w="1251" w:type="pct"/>
            <w:tcBorders>
              <w:top w:val="nil"/>
              <w:left w:val="nil"/>
              <w:bottom w:val="single" w:sz="4" w:space="0" w:color="auto"/>
              <w:right w:val="nil"/>
            </w:tcBorders>
            <w:shd w:val="clear" w:color="auto" w:fill="auto"/>
            <w:noWrap/>
            <w:tcMar>
              <w:top w:w="6" w:type="dxa"/>
              <w:bottom w:w="6" w:type="dxa"/>
            </w:tcMar>
          </w:tcPr>
          <w:p w14:paraId="655589FD"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 xml:space="preserve">Cebu </w:t>
            </w:r>
          </w:p>
        </w:tc>
        <w:tc>
          <w:tcPr>
            <w:tcW w:w="810" w:type="pct"/>
            <w:tcBorders>
              <w:top w:val="nil"/>
              <w:left w:val="nil"/>
              <w:bottom w:val="single" w:sz="4" w:space="0" w:color="auto"/>
              <w:right w:val="nil"/>
            </w:tcBorders>
            <w:shd w:val="clear" w:color="auto" w:fill="auto"/>
            <w:noWrap/>
            <w:tcMar>
              <w:top w:w="6" w:type="dxa"/>
              <w:bottom w:w="6" w:type="dxa"/>
            </w:tcMar>
          </w:tcPr>
          <w:p w14:paraId="1D9B993C"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CEB</w:t>
            </w:r>
          </w:p>
        </w:tc>
        <w:tc>
          <w:tcPr>
            <w:tcW w:w="123" w:type="pct"/>
            <w:tcBorders>
              <w:top w:val="nil"/>
              <w:left w:val="nil"/>
              <w:bottom w:val="single" w:sz="4" w:space="0" w:color="auto"/>
              <w:right w:val="nil"/>
            </w:tcBorders>
            <w:shd w:val="clear" w:color="auto" w:fill="auto"/>
            <w:noWrap/>
            <w:tcMar>
              <w:top w:w="6" w:type="dxa"/>
              <w:bottom w:w="6" w:type="dxa"/>
            </w:tcMar>
          </w:tcPr>
          <w:p w14:paraId="755262F8" w14:textId="77777777" w:rsidR="004E2B5B" w:rsidRPr="00F85269" w:rsidRDefault="004E2B5B" w:rsidP="00532745">
            <w:pPr>
              <w:rPr>
                <w:rFonts w:ascii="Times New Roman" w:hAnsi="Times New Roman" w:cs="Times New Roman"/>
                <w:color w:val="000000"/>
                <w:sz w:val="21"/>
                <w:szCs w:val="21"/>
              </w:rPr>
            </w:pPr>
          </w:p>
        </w:tc>
        <w:tc>
          <w:tcPr>
            <w:tcW w:w="342" w:type="pct"/>
            <w:tcBorders>
              <w:top w:val="nil"/>
              <w:left w:val="nil"/>
              <w:bottom w:val="single" w:sz="4" w:space="0" w:color="auto"/>
              <w:right w:val="nil"/>
            </w:tcBorders>
            <w:shd w:val="clear" w:color="auto" w:fill="auto"/>
            <w:noWrap/>
            <w:tcMar>
              <w:top w:w="6" w:type="dxa"/>
              <w:bottom w:w="6" w:type="dxa"/>
            </w:tcMar>
          </w:tcPr>
          <w:p w14:paraId="74ABAB91"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20</w:t>
            </w:r>
          </w:p>
        </w:tc>
        <w:tc>
          <w:tcPr>
            <w:tcW w:w="343" w:type="pct"/>
            <w:tcBorders>
              <w:top w:val="nil"/>
              <w:left w:val="nil"/>
              <w:bottom w:val="single" w:sz="4" w:space="0" w:color="auto"/>
              <w:right w:val="nil"/>
            </w:tcBorders>
            <w:shd w:val="clear" w:color="auto" w:fill="auto"/>
            <w:noWrap/>
            <w:tcMar>
              <w:top w:w="6" w:type="dxa"/>
              <w:bottom w:w="6" w:type="dxa"/>
            </w:tcMar>
          </w:tcPr>
          <w:p w14:paraId="78E1D408"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11.3</w:t>
            </w:r>
          </w:p>
        </w:tc>
        <w:tc>
          <w:tcPr>
            <w:tcW w:w="376" w:type="pct"/>
            <w:tcBorders>
              <w:top w:val="nil"/>
              <w:left w:val="nil"/>
              <w:bottom w:val="single" w:sz="4" w:space="0" w:color="auto"/>
              <w:right w:val="nil"/>
            </w:tcBorders>
            <w:shd w:val="clear" w:color="auto" w:fill="auto"/>
            <w:noWrap/>
            <w:tcMar>
              <w:top w:w="6" w:type="dxa"/>
              <w:bottom w:w="6" w:type="dxa"/>
            </w:tcMar>
          </w:tcPr>
          <w:p w14:paraId="0A902893"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22.8</w:t>
            </w:r>
          </w:p>
        </w:tc>
        <w:tc>
          <w:tcPr>
            <w:tcW w:w="415" w:type="pct"/>
            <w:tcBorders>
              <w:top w:val="nil"/>
              <w:left w:val="nil"/>
              <w:bottom w:val="single" w:sz="4" w:space="0" w:color="auto"/>
              <w:right w:val="nil"/>
            </w:tcBorders>
            <w:shd w:val="clear" w:color="auto" w:fill="auto"/>
            <w:noWrap/>
            <w:tcMar>
              <w:top w:w="6" w:type="dxa"/>
              <w:bottom w:w="6" w:type="dxa"/>
            </w:tcMar>
          </w:tcPr>
          <w:p w14:paraId="57715802"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18</w:t>
            </w:r>
          </w:p>
        </w:tc>
        <w:tc>
          <w:tcPr>
            <w:tcW w:w="123" w:type="pct"/>
            <w:tcBorders>
              <w:top w:val="nil"/>
              <w:left w:val="nil"/>
              <w:bottom w:val="single" w:sz="4" w:space="0" w:color="auto"/>
              <w:right w:val="nil"/>
            </w:tcBorders>
            <w:shd w:val="clear" w:color="auto" w:fill="auto"/>
            <w:noWrap/>
            <w:tcMar>
              <w:top w:w="6" w:type="dxa"/>
              <w:bottom w:w="6" w:type="dxa"/>
            </w:tcMar>
          </w:tcPr>
          <w:p w14:paraId="324A1EF1" w14:textId="77777777" w:rsidR="004E2B5B" w:rsidRPr="00F85269" w:rsidRDefault="004E2B5B" w:rsidP="00532745">
            <w:pPr>
              <w:rPr>
                <w:rFonts w:ascii="Times New Roman" w:hAnsi="Times New Roman" w:cs="Times New Roman"/>
                <w:color w:val="000000"/>
                <w:sz w:val="21"/>
                <w:szCs w:val="21"/>
              </w:rPr>
            </w:pPr>
          </w:p>
        </w:tc>
        <w:tc>
          <w:tcPr>
            <w:tcW w:w="494" w:type="pct"/>
            <w:tcBorders>
              <w:top w:val="nil"/>
              <w:left w:val="nil"/>
              <w:bottom w:val="single" w:sz="4" w:space="0" w:color="auto"/>
              <w:right w:val="nil"/>
            </w:tcBorders>
            <w:shd w:val="clear" w:color="auto" w:fill="auto"/>
            <w:noWrap/>
            <w:tcMar>
              <w:top w:w="6" w:type="dxa"/>
              <w:bottom w:w="6" w:type="dxa"/>
            </w:tcMar>
          </w:tcPr>
          <w:p w14:paraId="6091D1B3"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-0.082</w:t>
            </w:r>
          </w:p>
        </w:tc>
        <w:tc>
          <w:tcPr>
            <w:tcW w:w="722" w:type="pct"/>
            <w:tcBorders>
              <w:top w:val="nil"/>
              <w:left w:val="nil"/>
              <w:bottom w:val="single" w:sz="4" w:space="0" w:color="auto"/>
              <w:right w:val="nil"/>
            </w:tcBorders>
            <w:shd w:val="clear" w:color="auto" w:fill="auto"/>
            <w:noWrap/>
            <w:tcMar>
              <w:top w:w="6" w:type="dxa"/>
              <w:bottom w:w="6" w:type="dxa"/>
            </w:tcMar>
          </w:tcPr>
          <w:p w14:paraId="5526AB2D" w14:textId="77777777" w:rsidR="004E2B5B" w:rsidRPr="00F85269" w:rsidRDefault="004E2B5B" w:rsidP="00532745">
            <w:pPr>
              <w:rPr>
                <w:rFonts w:ascii="Times New Roman" w:hAnsi="Times New Roman" w:cs="Times New Roman"/>
                <w:sz w:val="21"/>
                <w:szCs w:val="21"/>
              </w:rPr>
            </w:pPr>
            <w:r w:rsidRPr="00F85269">
              <w:rPr>
                <w:rFonts w:ascii="Times New Roman" w:hAnsi="Times New Roman" w:cs="Times New Roman"/>
                <w:color w:val="000000"/>
                <w:sz w:val="21"/>
                <w:szCs w:val="21"/>
              </w:rPr>
              <w:t>Deficit</w:t>
            </w:r>
          </w:p>
        </w:tc>
      </w:tr>
      <w:bookmarkEnd w:id="22"/>
    </w:tbl>
    <w:p w14:paraId="525B8F80" w14:textId="77777777" w:rsidR="004E2B5B" w:rsidRPr="00D6728E" w:rsidRDefault="004E2B5B" w:rsidP="004E2B5B">
      <w:pPr>
        <w:spacing w:after="160" w:line="259" w:lineRule="auto"/>
        <w:rPr>
          <w:rFonts w:ascii="Montserrat" w:eastAsia="Arial" w:hAnsi="Montserrat" w:cs="Times New Roman"/>
          <w:b/>
          <w:bCs/>
          <w:sz w:val="22"/>
          <w:szCs w:val="22"/>
        </w:rPr>
      </w:pPr>
    </w:p>
    <w:p w14:paraId="6DBE17BF" w14:textId="77777777" w:rsidR="00D6728E" w:rsidRDefault="00D6728E" w:rsidP="004E2B5B">
      <w:pPr>
        <w:spacing w:line="260" w:lineRule="auto"/>
        <w:jc w:val="center"/>
        <w:rPr>
          <w:rFonts w:ascii="Montserrat" w:eastAsia="Arial" w:hAnsi="Montserrat" w:cs="Times New Roman"/>
          <w:b/>
          <w:bCs/>
          <w:sz w:val="22"/>
          <w:szCs w:val="22"/>
        </w:rPr>
      </w:pPr>
    </w:p>
    <w:p w14:paraId="75E94555" w14:textId="77777777" w:rsidR="004468B0" w:rsidRDefault="004468B0" w:rsidP="004E2B5B">
      <w:pPr>
        <w:spacing w:line="260" w:lineRule="auto"/>
        <w:jc w:val="center"/>
        <w:rPr>
          <w:rFonts w:ascii="Montserrat" w:eastAsia="Arial" w:hAnsi="Montserrat" w:cs="Times New Roman"/>
          <w:b/>
          <w:bCs/>
          <w:sz w:val="22"/>
          <w:szCs w:val="22"/>
        </w:rPr>
      </w:pPr>
    </w:p>
    <w:p w14:paraId="2C76D25B" w14:textId="7E1D88C4" w:rsidR="004E2B5B" w:rsidRPr="0026312D" w:rsidRDefault="004E2B5B" w:rsidP="004E2B5B">
      <w:pPr>
        <w:spacing w:line="260" w:lineRule="auto"/>
        <w:jc w:val="center"/>
        <w:rPr>
          <w:rFonts w:ascii="Times New Roman" w:eastAsia="Arial" w:hAnsi="Times New Roman" w:cs="Times New Roman"/>
          <w:b/>
          <w:bCs/>
          <w:sz w:val="22"/>
          <w:szCs w:val="22"/>
        </w:rPr>
      </w:pPr>
      <w:r w:rsidRPr="0026312D">
        <w:rPr>
          <w:rFonts w:ascii="Times New Roman" w:eastAsia="Arial" w:hAnsi="Times New Roman" w:cs="Times New Roman"/>
          <w:b/>
          <w:bCs/>
          <w:sz w:val="22"/>
          <w:szCs w:val="22"/>
        </w:rPr>
        <w:t>Table 1-A. (Continued)</w:t>
      </w:r>
    </w:p>
    <w:p w14:paraId="2D7511D0" w14:textId="77777777" w:rsidR="004E2B5B" w:rsidRPr="00D6728E" w:rsidRDefault="004E2B5B" w:rsidP="004E2B5B">
      <w:pPr>
        <w:spacing w:line="260" w:lineRule="auto"/>
        <w:jc w:val="center"/>
        <w:rPr>
          <w:rFonts w:ascii="Montserrat" w:eastAsia="Arial" w:hAnsi="Montserrat" w:cs="Times New Roman"/>
          <w:b/>
          <w:bCs/>
          <w:sz w:val="6"/>
          <w:szCs w:val="6"/>
        </w:rPr>
      </w:pPr>
    </w:p>
    <w:tbl>
      <w:tblPr>
        <w:tblW w:w="5005" w:type="pct"/>
        <w:tblInd w:w="-9" w:type="dxa"/>
        <w:tblLook w:val="04A0" w:firstRow="1" w:lastRow="0" w:firstColumn="1" w:lastColumn="0" w:noHBand="0" w:noVBand="1"/>
      </w:tblPr>
      <w:tblGrid>
        <w:gridCol w:w="2135"/>
        <w:gridCol w:w="1463"/>
        <w:gridCol w:w="271"/>
        <w:gridCol w:w="656"/>
        <w:gridCol w:w="658"/>
        <w:gridCol w:w="656"/>
        <w:gridCol w:w="755"/>
        <w:gridCol w:w="273"/>
        <w:gridCol w:w="864"/>
        <w:gridCol w:w="1304"/>
      </w:tblGrid>
      <w:tr w:rsidR="004E2B5B" w:rsidRPr="00D6728E" w14:paraId="288AF3F5" w14:textId="77777777" w:rsidTr="001503F2">
        <w:trPr>
          <w:trHeight w:val="170"/>
        </w:trPr>
        <w:tc>
          <w:tcPr>
            <w:tcW w:w="1182" w:type="pct"/>
            <w:tcBorders>
              <w:top w:val="single" w:sz="4" w:space="0" w:color="auto"/>
              <w:left w:val="nil"/>
              <w:bottom w:val="single" w:sz="4" w:space="0" w:color="auto"/>
              <w:right w:val="nil"/>
            </w:tcBorders>
            <w:shd w:val="clear" w:color="auto" w:fill="auto"/>
            <w:noWrap/>
            <w:tcMar>
              <w:top w:w="28" w:type="dxa"/>
              <w:bottom w:w="28" w:type="dxa"/>
            </w:tcMar>
            <w:hideMark/>
          </w:tcPr>
          <w:p w14:paraId="7F3924FC"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Province</w:t>
            </w:r>
          </w:p>
        </w:tc>
        <w:tc>
          <w:tcPr>
            <w:tcW w:w="810" w:type="pct"/>
            <w:tcBorders>
              <w:top w:val="single" w:sz="4" w:space="0" w:color="auto"/>
              <w:left w:val="nil"/>
              <w:bottom w:val="single" w:sz="4" w:space="0" w:color="auto"/>
              <w:right w:val="nil"/>
            </w:tcBorders>
            <w:shd w:val="clear" w:color="auto" w:fill="auto"/>
            <w:noWrap/>
            <w:tcMar>
              <w:top w:w="28" w:type="dxa"/>
              <w:bottom w:w="28" w:type="dxa"/>
            </w:tcMar>
            <w:hideMark/>
          </w:tcPr>
          <w:p w14:paraId="4E4CE23D" w14:textId="77777777" w:rsidR="004E2B5B" w:rsidRPr="0026312D" w:rsidRDefault="004E2B5B" w:rsidP="00532745">
            <w:pPr>
              <w:jc w:val="center"/>
              <w:rPr>
                <w:rFonts w:ascii="Times New Roman" w:hAnsi="Times New Roman" w:cs="Times New Roman"/>
                <w:b/>
                <w:bCs/>
                <w:color w:val="000000"/>
                <w:sz w:val="22"/>
                <w:szCs w:val="22"/>
              </w:rPr>
            </w:pPr>
          </w:p>
        </w:tc>
        <w:tc>
          <w:tcPr>
            <w:tcW w:w="150" w:type="pct"/>
            <w:tcBorders>
              <w:top w:val="single" w:sz="4" w:space="0" w:color="auto"/>
              <w:left w:val="nil"/>
              <w:bottom w:val="nil"/>
              <w:right w:val="nil"/>
            </w:tcBorders>
            <w:shd w:val="clear" w:color="auto" w:fill="auto"/>
            <w:noWrap/>
            <w:tcMar>
              <w:top w:w="28" w:type="dxa"/>
              <w:bottom w:w="28" w:type="dxa"/>
            </w:tcMar>
            <w:hideMark/>
          </w:tcPr>
          <w:p w14:paraId="76902063" w14:textId="77777777" w:rsidR="004E2B5B" w:rsidRPr="0026312D" w:rsidRDefault="004E2B5B" w:rsidP="00532745">
            <w:pPr>
              <w:jc w:val="center"/>
              <w:rPr>
                <w:rFonts w:ascii="Times New Roman" w:hAnsi="Times New Roman" w:cs="Times New Roman"/>
                <w:b/>
                <w:bCs/>
                <w:color w:val="000000"/>
                <w:sz w:val="22"/>
                <w:szCs w:val="22"/>
              </w:rPr>
            </w:pPr>
          </w:p>
        </w:tc>
        <w:tc>
          <w:tcPr>
            <w:tcW w:w="1508" w:type="pct"/>
            <w:gridSpan w:val="4"/>
            <w:tcBorders>
              <w:top w:val="single" w:sz="4" w:space="0" w:color="auto"/>
              <w:left w:val="nil"/>
              <w:bottom w:val="single" w:sz="4" w:space="0" w:color="auto"/>
              <w:right w:val="nil"/>
            </w:tcBorders>
            <w:shd w:val="clear" w:color="auto" w:fill="auto"/>
            <w:noWrap/>
            <w:tcMar>
              <w:top w:w="28" w:type="dxa"/>
              <w:bottom w:w="28" w:type="dxa"/>
            </w:tcMar>
            <w:hideMark/>
          </w:tcPr>
          <w:p w14:paraId="12377B31" w14:textId="0767CC6C"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Incidence of poverty</w:t>
            </w:r>
            <w:r w:rsidR="004468B0" w:rsidRPr="004468B0">
              <w:rPr>
                <w:rFonts w:ascii="Times New Roman" w:hAnsi="Times New Roman" w:cs="Times New Roman"/>
                <w:b/>
                <w:bCs/>
                <w:color w:val="000000"/>
                <w:sz w:val="22"/>
                <w:szCs w:val="22"/>
              </w:rPr>
              <w:t xml:space="preserve"> (%)</w:t>
            </w:r>
          </w:p>
        </w:tc>
        <w:tc>
          <w:tcPr>
            <w:tcW w:w="151" w:type="pct"/>
            <w:tcBorders>
              <w:top w:val="single" w:sz="4" w:space="0" w:color="auto"/>
              <w:left w:val="nil"/>
              <w:bottom w:val="nil"/>
              <w:right w:val="nil"/>
            </w:tcBorders>
            <w:shd w:val="clear" w:color="auto" w:fill="auto"/>
            <w:noWrap/>
            <w:tcMar>
              <w:top w:w="28" w:type="dxa"/>
              <w:bottom w:w="28" w:type="dxa"/>
            </w:tcMar>
            <w:hideMark/>
          </w:tcPr>
          <w:p w14:paraId="757DB8C6" w14:textId="77777777" w:rsidR="004E2B5B" w:rsidRPr="0026312D" w:rsidRDefault="004E2B5B" w:rsidP="00532745">
            <w:pPr>
              <w:jc w:val="center"/>
              <w:rPr>
                <w:rFonts w:ascii="Times New Roman" w:hAnsi="Times New Roman" w:cs="Times New Roman"/>
                <w:b/>
                <w:bCs/>
                <w:color w:val="000000"/>
                <w:sz w:val="22"/>
                <w:szCs w:val="22"/>
              </w:rPr>
            </w:pPr>
          </w:p>
        </w:tc>
        <w:tc>
          <w:tcPr>
            <w:tcW w:w="1200" w:type="pct"/>
            <w:gridSpan w:val="2"/>
            <w:tcBorders>
              <w:top w:val="single" w:sz="4" w:space="0" w:color="auto"/>
              <w:left w:val="nil"/>
              <w:bottom w:val="single" w:sz="4" w:space="0" w:color="auto"/>
              <w:right w:val="nil"/>
            </w:tcBorders>
            <w:shd w:val="clear" w:color="auto" w:fill="auto"/>
            <w:noWrap/>
            <w:tcMar>
              <w:top w:w="28" w:type="dxa"/>
              <w:bottom w:w="28" w:type="dxa"/>
            </w:tcMar>
            <w:hideMark/>
          </w:tcPr>
          <w:p w14:paraId="73268A0C"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Rice self-sufficiency</w:t>
            </w:r>
          </w:p>
        </w:tc>
      </w:tr>
      <w:tr w:rsidR="0089094B" w:rsidRPr="00D6728E" w14:paraId="32B9019C" w14:textId="77777777" w:rsidTr="0089094B">
        <w:trPr>
          <w:trHeight w:val="170"/>
        </w:trPr>
        <w:tc>
          <w:tcPr>
            <w:tcW w:w="1182" w:type="pct"/>
            <w:tcBorders>
              <w:top w:val="nil"/>
              <w:left w:val="nil"/>
              <w:bottom w:val="single" w:sz="4" w:space="0" w:color="auto"/>
              <w:right w:val="nil"/>
            </w:tcBorders>
            <w:shd w:val="clear" w:color="auto" w:fill="auto"/>
            <w:noWrap/>
            <w:tcMar>
              <w:top w:w="28" w:type="dxa"/>
              <w:bottom w:w="28" w:type="dxa"/>
            </w:tcMar>
            <w:hideMark/>
          </w:tcPr>
          <w:p w14:paraId="75BDD2BF"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Complete name</w:t>
            </w:r>
          </w:p>
        </w:tc>
        <w:tc>
          <w:tcPr>
            <w:tcW w:w="810" w:type="pct"/>
            <w:tcBorders>
              <w:top w:val="nil"/>
              <w:left w:val="nil"/>
              <w:bottom w:val="single" w:sz="4" w:space="0" w:color="auto"/>
              <w:right w:val="nil"/>
            </w:tcBorders>
            <w:shd w:val="clear" w:color="auto" w:fill="auto"/>
            <w:noWrap/>
            <w:tcMar>
              <w:top w:w="28" w:type="dxa"/>
              <w:bottom w:w="28" w:type="dxa"/>
            </w:tcMar>
            <w:hideMark/>
          </w:tcPr>
          <w:p w14:paraId="0E4AD3F0"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Abbreviation</w:t>
            </w:r>
          </w:p>
        </w:tc>
        <w:tc>
          <w:tcPr>
            <w:tcW w:w="150" w:type="pct"/>
            <w:tcBorders>
              <w:top w:val="nil"/>
              <w:left w:val="nil"/>
              <w:bottom w:val="single" w:sz="4" w:space="0" w:color="auto"/>
              <w:right w:val="nil"/>
            </w:tcBorders>
            <w:shd w:val="clear" w:color="auto" w:fill="auto"/>
            <w:noWrap/>
            <w:tcMar>
              <w:top w:w="28" w:type="dxa"/>
              <w:bottom w:w="28" w:type="dxa"/>
            </w:tcMar>
            <w:hideMark/>
          </w:tcPr>
          <w:p w14:paraId="67B15D0D" w14:textId="77777777" w:rsidR="004E2B5B" w:rsidRPr="0026312D" w:rsidRDefault="004E2B5B" w:rsidP="00532745">
            <w:pPr>
              <w:jc w:val="center"/>
              <w:rPr>
                <w:rFonts w:ascii="Times New Roman" w:hAnsi="Times New Roman" w:cs="Times New Roman"/>
                <w:b/>
                <w:bCs/>
                <w:color w:val="000000"/>
                <w:sz w:val="22"/>
                <w:szCs w:val="22"/>
              </w:rPr>
            </w:pPr>
          </w:p>
        </w:tc>
        <w:tc>
          <w:tcPr>
            <w:tcW w:w="363" w:type="pct"/>
            <w:tcBorders>
              <w:top w:val="nil"/>
              <w:left w:val="nil"/>
              <w:bottom w:val="single" w:sz="4" w:space="0" w:color="auto"/>
              <w:right w:val="nil"/>
            </w:tcBorders>
            <w:shd w:val="clear" w:color="auto" w:fill="auto"/>
            <w:noWrap/>
            <w:tcMar>
              <w:top w:w="28" w:type="dxa"/>
              <w:bottom w:w="28" w:type="dxa"/>
            </w:tcMar>
            <w:hideMark/>
          </w:tcPr>
          <w:p w14:paraId="1A4BA4C6"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2015</w:t>
            </w:r>
          </w:p>
        </w:tc>
        <w:tc>
          <w:tcPr>
            <w:tcW w:w="364" w:type="pct"/>
            <w:tcBorders>
              <w:top w:val="nil"/>
              <w:left w:val="nil"/>
              <w:bottom w:val="single" w:sz="4" w:space="0" w:color="auto"/>
              <w:right w:val="nil"/>
            </w:tcBorders>
            <w:shd w:val="clear" w:color="auto" w:fill="auto"/>
            <w:noWrap/>
            <w:tcMar>
              <w:top w:w="28" w:type="dxa"/>
              <w:bottom w:w="28" w:type="dxa"/>
            </w:tcMar>
            <w:hideMark/>
          </w:tcPr>
          <w:p w14:paraId="62FD0CBB"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2018</w:t>
            </w:r>
          </w:p>
        </w:tc>
        <w:tc>
          <w:tcPr>
            <w:tcW w:w="363" w:type="pct"/>
            <w:tcBorders>
              <w:top w:val="nil"/>
              <w:left w:val="nil"/>
              <w:bottom w:val="single" w:sz="4" w:space="0" w:color="auto"/>
              <w:right w:val="nil"/>
            </w:tcBorders>
            <w:shd w:val="clear" w:color="auto" w:fill="auto"/>
            <w:noWrap/>
            <w:tcMar>
              <w:top w:w="28" w:type="dxa"/>
              <w:bottom w:w="28" w:type="dxa"/>
            </w:tcMar>
            <w:hideMark/>
          </w:tcPr>
          <w:p w14:paraId="20DE42BE"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2021</w:t>
            </w:r>
          </w:p>
        </w:tc>
        <w:tc>
          <w:tcPr>
            <w:tcW w:w="418" w:type="pct"/>
            <w:tcBorders>
              <w:top w:val="nil"/>
              <w:left w:val="nil"/>
              <w:bottom w:val="single" w:sz="4" w:space="0" w:color="auto"/>
              <w:right w:val="nil"/>
            </w:tcBorders>
            <w:shd w:val="clear" w:color="auto" w:fill="auto"/>
            <w:noWrap/>
            <w:tcMar>
              <w:top w:w="28" w:type="dxa"/>
              <w:bottom w:w="28" w:type="dxa"/>
            </w:tcMar>
            <w:hideMark/>
          </w:tcPr>
          <w:p w14:paraId="09B34094"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Mean</w:t>
            </w:r>
          </w:p>
        </w:tc>
        <w:tc>
          <w:tcPr>
            <w:tcW w:w="151" w:type="pct"/>
            <w:tcBorders>
              <w:top w:val="nil"/>
              <w:left w:val="nil"/>
              <w:bottom w:val="single" w:sz="4" w:space="0" w:color="auto"/>
              <w:right w:val="nil"/>
            </w:tcBorders>
            <w:shd w:val="clear" w:color="auto" w:fill="auto"/>
            <w:noWrap/>
            <w:tcMar>
              <w:top w:w="28" w:type="dxa"/>
              <w:bottom w:w="28" w:type="dxa"/>
            </w:tcMar>
            <w:hideMark/>
          </w:tcPr>
          <w:p w14:paraId="3CC1212B" w14:textId="77777777" w:rsidR="004E2B5B" w:rsidRPr="0026312D" w:rsidRDefault="004E2B5B" w:rsidP="00532745">
            <w:pPr>
              <w:jc w:val="center"/>
              <w:rPr>
                <w:rFonts w:ascii="Times New Roman" w:hAnsi="Times New Roman" w:cs="Times New Roman"/>
                <w:b/>
                <w:bCs/>
                <w:color w:val="000000"/>
                <w:sz w:val="22"/>
                <w:szCs w:val="22"/>
              </w:rPr>
            </w:pPr>
          </w:p>
        </w:tc>
        <w:tc>
          <w:tcPr>
            <w:tcW w:w="478" w:type="pct"/>
            <w:tcBorders>
              <w:top w:val="nil"/>
              <w:left w:val="nil"/>
              <w:bottom w:val="single" w:sz="4" w:space="0" w:color="auto"/>
              <w:right w:val="nil"/>
            </w:tcBorders>
            <w:shd w:val="clear" w:color="auto" w:fill="auto"/>
            <w:noWrap/>
            <w:tcMar>
              <w:top w:w="28" w:type="dxa"/>
              <w:bottom w:w="28" w:type="dxa"/>
            </w:tcMar>
            <w:hideMark/>
          </w:tcPr>
          <w:p w14:paraId="58223953"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NBR</w:t>
            </w:r>
          </w:p>
        </w:tc>
        <w:tc>
          <w:tcPr>
            <w:tcW w:w="722" w:type="pct"/>
            <w:tcBorders>
              <w:top w:val="nil"/>
              <w:left w:val="nil"/>
              <w:bottom w:val="single" w:sz="4" w:space="0" w:color="auto"/>
              <w:right w:val="nil"/>
            </w:tcBorders>
            <w:shd w:val="clear" w:color="auto" w:fill="auto"/>
            <w:noWrap/>
            <w:tcMar>
              <w:top w:w="28" w:type="dxa"/>
              <w:bottom w:w="28" w:type="dxa"/>
            </w:tcMar>
            <w:hideMark/>
          </w:tcPr>
          <w:p w14:paraId="33FE02AA" w14:textId="77777777" w:rsidR="004E2B5B" w:rsidRPr="0026312D" w:rsidRDefault="004E2B5B" w:rsidP="00532745">
            <w:pPr>
              <w:jc w:val="center"/>
              <w:rPr>
                <w:rFonts w:ascii="Times New Roman" w:hAnsi="Times New Roman" w:cs="Times New Roman"/>
                <w:b/>
                <w:bCs/>
                <w:color w:val="000000"/>
                <w:sz w:val="22"/>
                <w:szCs w:val="22"/>
              </w:rPr>
            </w:pPr>
            <w:r w:rsidRPr="0026312D">
              <w:rPr>
                <w:rFonts w:ascii="Times New Roman" w:hAnsi="Times New Roman" w:cs="Times New Roman"/>
                <w:b/>
                <w:bCs/>
                <w:color w:val="000000"/>
                <w:sz w:val="22"/>
                <w:szCs w:val="22"/>
              </w:rPr>
              <w:t>Description</w:t>
            </w:r>
          </w:p>
        </w:tc>
      </w:tr>
      <w:tr w:rsidR="00191965" w:rsidRPr="00D6728E" w14:paraId="5388990F"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686019F3" w14:textId="6CFC523F"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Negros Oriental</w:t>
            </w:r>
          </w:p>
        </w:tc>
        <w:tc>
          <w:tcPr>
            <w:tcW w:w="810" w:type="pct"/>
            <w:tcBorders>
              <w:top w:val="nil"/>
              <w:left w:val="nil"/>
              <w:bottom w:val="nil"/>
              <w:right w:val="nil"/>
            </w:tcBorders>
            <w:shd w:val="clear" w:color="auto" w:fill="auto"/>
            <w:noWrap/>
            <w:tcMar>
              <w:top w:w="6" w:type="dxa"/>
              <w:bottom w:w="6" w:type="dxa"/>
            </w:tcMar>
          </w:tcPr>
          <w:p w14:paraId="49D05E36" w14:textId="198DD491"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NER</w:t>
            </w:r>
          </w:p>
        </w:tc>
        <w:tc>
          <w:tcPr>
            <w:tcW w:w="150" w:type="pct"/>
            <w:tcBorders>
              <w:top w:val="nil"/>
              <w:left w:val="nil"/>
              <w:bottom w:val="nil"/>
              <w:right w:val="nil"/>
            </w:tcBorders>
            <w:shd w:val="clear" w:color="auto" w:fill="auto"/>
            <w:noWrap/>
            <w:tcMar>
              <w:top w:w="6" w:type="dxa"/>
              <w:bottom w:w="6" w:type="dxa"/>
            </w:tcMar>
          </w:tcPr>
          <w:p w14:paraId="59BB1CC6" w14:textId="77777777" w:rsidR="00191965" w:rsidRPr="0026312D" w:rsidRDefault="00191965"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7A4BCBFE" w14:textId="3DD4B9A7"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36.3</w:t>
            </w:r>
          </w:p>
        </w:tc>
        <w:tc>
          <w:tcPr>
            <w:tcW w:w="364" w:type="pct"/>
            <w:tcBorders>
              <w:top w:val="nil"/>
              <w:left w:val="nil"/>
              <w:bottom w:val="nil"/>
              <w:right w:val="nil"/>
            </w:tcBorders>
            <w:shd w:val="clear" w:color="auto" w:fill="auto"/>
            <w:noWrap/>
            <w:tcMar>
              <w:top w:w="6" w:type="dxa"/>
              <w:bottom w:w="6" w:type="dxa"/>
            </w:tcMar>
          </w:tcPr>
          <w:p w14:paraId="48DDB6F9" w14:textId="441F12AD"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19.4</w:t>
            </w:r>
          </w:p>
        </w:tc>
        <w:tc>
          <w:tcPr>
            <w:tcW w:w="363" w:type="pct"/>
            <w:tcBorders>
              <w:top w:val="nil"/>
              <w:left w:val="nil"/>
              <w:bottom w:val="nil"/>
              <w:right w:val="nil"/>
            </w:tcBorders>
            <w:shd w:val="clear" w:color="auto" w:fill="auto"/>
            <w:noWrap/>
            <w:tcMar>
              <w:top w:w="6" w:type="dxa"/>
              <w:bottom w:w="6" w:type="dxa"/>
            </w:tcMar>
          </w:tcPr>
          <w:p w14:paraId="7CC15747" w14:textId="55C1CDD8"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23.6</w:t>
            </w:r>
          </w:p>
        </w:tc>
        <w:tc>
          <w:tcPr>
            <w:tcW w:w="418" w:type="pct"/>
            <w:tcBorders>
              <w:top w:val="nil"/>
              <w:left w:val="nil"/>
              <w:bottom w:val="nil"/>
              <w:right w:val="nil"/>
            </w:tcBorders>
            <w:shd w:val="clear" w:color="auto" w:fill="auto"/>
            <w:noWrap/>
            <w:tcMar>
              <w:top w:w="6" w:type="dxa"/>
              <w:bottom w:w="6" w:type="dxa"/>
            </w:tcMar>
          </w:tcPr>
          <w:p w14:paraId="203E436B" w14:textId="18B92AA5"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26.4</w:t>
            </w:r>
          </w:p>
        </w:tc>
        <w:tc>
          <w:tcPr>
            <w:tcW w:w="151" w:type="pct"/>
            <w:tcBorders>
              <w:top w:val="nil"/>
              <w:left w:val="nil"/>
              <w:bottom w:val="nil"/>
              <w:right w:val="nil"/>
            </w:tcBorders>
            <w:shd w:val="clear" w:color="auto" w:fill="auto"/>
            <w:noWrap/>
            <w:tcMar>
              <w:top w:w="6" w:type="dxa"/>
              <w:bottom w:w="6" w:type="dxa"/>
            </w:tcMar>
          </w:tcPr>
          <w:p w14:paraId="0FAD26D5" w14:textId="77777777" w:rsidR="00191965" w:rsidRPr="0026312D" w:rsidRDefault="00191965"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00B76D62" w14:textId="2277C485"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-0.068</w:t>
            </w:r>
          </w:p>
        </w:tc>
        <w:tc>
          <w:tcPr>
            <w:tcW w:w="722" w:type="pct"/>
            <w:tcBorders>
              <w:top w:val="nil"/>
              <w:left w:val="nil"/>
              <w:bottom w:val="nil"/>
              <w:right w:val="nil"/>
            </w:tcBorders>
            <w:shd w:val="clear" w:color="auto" w:fill="auto"/>
            <w:noWrap/>
            <w:tcMar>
              <w:top w:w="6" w:type="dxa"/>
              <w:bottom w:w="6" w:type="dxa"/>
            </w:tcMar>
          </w:tcPr>
          <w:p w14:paraId="17EBFE54" w14:textId="24AE413D" w:rsidR="00191965" w:rsidRPr="0026312D" w:rsidRDefault="00191965" w:rsidP="00532745">
            <w:pPr>
              <w:rPr>
                <w:rFonts w:ascii="Times New Roman" w:hAnsi="Times New Roman" w:cs="Times New Roman"/>
                <w:color w:val="000000"/>
                <w:sz w:val="22"/>
                <w:szCs w:val="22"/>
              </w:rPr>
            </w:pPr>
            <w:r w:rsidRPr="00F85269">
              <w:rPr>
                <w:rFonts w:ascii="Times New Roman" w:hAnsi="Times New Roman" w:cs="Times New Roman"/>
                <w:color w:val="000000"/>
                <w:sz w:val="22"/>
                <w:szCs w:val="22"/>
              </w:rPr>
              <w:t>Deficit</w:t>
            </w:r>
          </w:p>
        </w:tc>
      </w:tr>
      <w:tr w:rsidR="0089094B" w:rsidRPr="00D6728E" w14:paraId="4CA37D11"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7E7F8CF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Siquijor </w:t>
            </w:r>
          </w:p>
        </w:tc>
        <w:tc>
          <w:tcPr>
            <w:tcW w:w="810" w:type="pct"/>
            <w:tcBorders>
              <w:top w:val="nil"/>
              <w:left w:val="nil"/>
              <w:bottom w:val="nil"/>
              <w:right w:val="nil"/>
            </w:tcBorders>
            <w:shd w:val="clear" w:color="auto" w:fill="auto"/>
            <w:noWrap/>
            <w:tcMar>
              <w:top w:w="6" w:type="dxa"/>
              <w:bottom w:w="6" w:type="dxa"/>
            </w:tcMar>
          </w:tcPr>
          <w:p w14:paraId="7E4F007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SIG</w:t>
            </w:r>
          </w:p>
        </w:tc>
        <w:tc>
          <w:tcPr>
            <w:tcW w:w="150" w:type="pct"/>
            <w:tcBorders>
              <w:top w:val="nil"/>
              <w:left w:val="nil"/>
              <w:bottom w:val="nil"/>
              <w:right w:val="nil"/>
            </w:tcBorders>
            <w:shd w:val="clear" w:color="auto" w:fill="auto"/>
            <w:noWrap/>
            <w:tcMar>
              <w:top w:w="6" w:type="dxa"/>
              <w:bottom w:w="6" w:type="dxa"/>
            </w:tcMar>
          </w:tcPr>
          <w:p w14:paraId="37D2E739"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30FD3C8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47</w:t>
            </w:r>
          </w:p>
        </w:tc>
        <w:tc>
          <w:tcPr>
            <w:tcW w:w="364" w:type="pct"/>
            <w:tcBorders>
              <w:top w:val="nil"/>
              <w:left w:val="nil"/>
              <w:bottom w:val="nil"/>
              <w:right w:val="nil"/>
            </w:tcBorders>
            <w:shd w:val="clear" w:color="auto" w:fill="auto"/>
            <w:noWrap/>
            <w:tcMar>
              <w:top w:w="6" w:type="dxa"/>
              <w:bottom w:w="6" w:type="dxa"/>
            </w:tcMar>
          </w:tcPr>
          <w:p w14:paraId="7E07606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7.2</w:t>
            </w:r>
          </w:p>
        </w:tc>
        <w:tc>
          <w:tcPr>
            <w:tcW w:w="363" w:type="pct"/>
            <w:tcBorders>
              <w:top w:val="nil"/>
              <w:left w:val="nil"/>
              <w:bottom w:val="nil"/>
              <w:right w:val="nil"/>
            </w:tcBorders>
            <w:shd w:val="clear" w:color="auto" w:fill="auto"/>
            <w:noWrap/>
            <w:tcMar>
              <w:top w:w="6" w:type="dxa"/>
              <w:bottom w:w="6" w:type="dxa"/>
            </w:tcMar>
          </w:tcPr>
          <w:p w14:paraId="7C094D9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w:t>
            </w:r>
          </w:p>
        </w:tc>
        <w:tc>
          <w:tcPr>
            <w:tcW w:w="418" w:type="pct"/>
            <w:tcBorders>
              <w:top w:val="nil"/>
              <w:left w:val="nil"/>
              <w:bottom w:val="nil"/>
              <w:right w:val="nil"/>
            </w:tcBorders>
            <w:shd w:val="clear" w:color="auto" w:fill="auto"/>
            <w:noWrap/>
            <w:tcMar>
              <w:top w:w="6" w:type="dxa"/>
              <w:bottom w:w="6" w:type="dxa"/>
            </w:tcMar>
          </w:tcPr>
          <w:p w14:paraId="0BF195E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18.8</w:t>
            </w:r>
          </w:p>
        </w:tc>
        <w:tc>
          <w:tcPr>
            <w:tcW w:w="151" w:type="pct"/>
            <w:tcBorders>
              <w:top w:val="nil"/>
              <w:left w:val="nil"/>
              <w:bottom w:val="nil"/>
              <w:right w:val="nil"/>
            </w:tcBorders>
            <w:shd w:val="clear" w:color="auto" w:fill="auto"/>
            <w:noWrap/>
            <w:tcMar>
              <w:top w:w="6" w:type="dxa"/>
              <w:bottom w:w="6" w:type="dxa"/>
            </w:tcMar>
          </w:tcPr>
          <w:p w14:paraId="4E10C437"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7444512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-0.107</w:t>
            </w:r>
          </w:p>
        </w:tc>
        <w:tc>
          <w:tcPr>
            <w:tcW w:w="722" w:type="pct"/>
            <w:tcBorders>
              <w:top w:val="nil"/>
              <w:left w:val="nil"/>
              <w:bottom w:val="nil"/>
              <w:right w:val="nil"/>
            </w:tcBorders>
            <w:shd w:val="clear" w:color="auto" w:fill="auto"/>
            <w:noWrap/>
            <w:tcMar>
              <w:top w:w="6" w:type="dxa"/>
              <w:bottom w:w="6" w:type="dxa"/>
            </w:tcMar>
          </w:tcPr>
          <w:p w14:paraId="7BE99FC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37A07A44"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3701E50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Biliran</w:t>
            </w:r>
          </w:p>
        </w:tc>
        <w:tc>
          <w:tcPr>
            <w:tcW w:w="810" w:type="pct"/>
            <w:tcBorders>
              <w:top w:val="nil"/>
              <w:left w:val="nil"/>
              <w:bottom w:val="nil"/>
              <w:right w:val="nil"/>
            </w:tcBorders>
            <w:shd w:val="clear" w:color="auto" w:fill="auto"/>
            <w:noWrap/>
            <w:tcMar>
              <w:top w:w="6" w:type="dxa"/>
              <w:bottom w:w="6" w:type="dxa"/>
            </w:tcMar>
          </w:tcPr>
          <w:p w14:paraId="5EBCB81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BIL</w:t>
            </w:r>
          </w:p>
        </w:tc>
        <w:tc>
          <w:tcPr>
            <w:tcW w:w="150" w:type="pct"/>
            <w:tcBorders>
              <w:top w:val="nil"/>
              <w:left w:val="nil"/>
              <w:bottom w:val="nil"/>
              <w:right w:val="nil"/>
            </w:tcBorders>
            <w:shd w:val="clear" w:color="auto" w:fill="auto"/>
            <w:noWrap/>
            <w:tcMar>
              <w:top w:w="6" w:type="dxa"/>
              <w:bottom w:w="6" w:type="dxa"/>
            </w:tcMar>
          </w:tcPr>
          <w:p w14:paraId="08EFA6E0"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6CE1824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17.4</w:t>
            </w:r>
          </w:p>
        </w:tc>
        <w:tc>
          <w:tcPr>
            <w:tcW w:w="364" w:type="pct"/>
            <w:tcBorders>
              <w:top w:val="nil"/>
              <w:left w:val="nil"/>
              <w:bottom w:val="nil"/>
              <w:right w:val="nil"/>
            </w:tcBorders>
            <w:shd w:val="clear" w:color="auto" w:fill="auto"/>
            <w:noWrap/>
            <w:tcMar>
              <w:top w:w="6" w:type="dxa"/>
              <w:bottom w:w="6" w:type="dxa"/>
            </w:tcMar>
          </w:tcPr>
          <w:p w14:paraId="2250437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13.7</w:t>
            </w:r>
          </w:p>
        </w:tc>
        <w:tc>
          <w:tcPr>
            <w:tcW w:w="363" w:type="pct"/>
            <w:tcBorders>
              <w:top w:val="nil"/>
              <w:left w:val="nil"/>
              <w:bottom w:val="nil"/>
              <w:right w:val="nil"/>
            </w:tcBorders>
            <w:shd w:val="clear" w:color="auto" w:fill="auto"/>
            <w:noWrap/>
            <w:tcMar>
              <w:top w:w="6" w:type="dxa"/>
              <w:bottom w:w="6" w:type="dxa"/>
            </w:tcMar>
          </w:tcPr>
          <w:p w14:paraId="7C38624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19.9</w:t>
            </w:r>
          </w:p>
        </w:tc>
        <w:tc>
          <w:tcPr>
            <w:tcW w:w="418" w:type="pct"/>
            <w:tcBorders>
              <w:top w:val="nil"/>
              <w:left w:val="nil"/>
              <w:bottom w:val="nil"/>
              <w:right w:val="nil"/>
            </w:tcBorders>
            <w:shd w:val="clear" w:color="auto" w:fill="auto"/>
            <w:noWrap/>
            <w:tcMar>
              <w:top w:w="6" w:type="dxa"/>
              <w:bottom w:w="6" w:type="dxa"/>
            </w:tcMar>
          </w:tcPr>
          <w:p w14:paraId="1A1F0CE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17</w:t>
            </w:r>
          </w:p>
        </w:tc>
        <w:tc>
          <w:tcPr>
            <w:tcW w:w="151" w:type="pct"/>
            <w:tcBorders>
              <w:top w:val="nil"/>
              <w:left w:val="nil"/>
              <w:bottom w:val="nil"/>
              <w:right w:val="nil"/>
            </w:tcBorders>
            <w:shd w:val="clear" w:color="auto" w:fill="auto"/>
            <w:noWrap/>
            <w:tcMar>
              <w:top w:w="6" w:type="dxa"/>
              <w:bottom w:w="6" w:type="dxa"/>
            </w:tcMar>
          </w:tcPr>
          <w:p w14:paraId="343F6605"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7F398EB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-0.117</w:t>
            </w:r>
          </w:p>
        </w:tc>
        <w:tc>
          <w:tcPr>
            <w:tcW w:w="722" w:type="pct"/>
            <w:tcBorders>
              <w:top w:val="nil"/>
              <w:left w:val="nil"/>
              <w:bottom w:val="nil"/>
              <w:right w:val="nil"/>
            </w:tcBorders>
            <w:shd w:val="clear" w:color="auto" w:fill="auto"/>
            <w:noWrap/>
            <w:tcMar>
              <w:top w:w="6" w:type="dxa"/>
              <w:bottom w:w="6" w:type="dxa"/>
            </w:tcMar>
          </w:tcPr>
          <w:p w14:paraId="5E2474C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1FBCEF28"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27F4E3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Eastern Samar</w:t>
            </w:r>
          </w:p>
        </w:tc>
        <w:tc>
          <w:tcPr>
            <w:tcW w:w="810" w:type="pct"/>
            <w:tcBorders>
              <w:top w:val="nil"/>
              <w:left w:val="nil"/>
              <w:bottom w:val="nil"/>
              <w:right w:val="nil"/>
            </w:tcBorders>
            <w:shd w:val="clear" w:color="auto" w:fill="auto"/>
            <w:noWrap/>
            <w:tcMar>
              <w:top w:w="6" w:type="dxa"/>
              <w:bottom w:w="6" w:type="dxa"/>
            </w:tcMar>
          </w:tcPr>
          <w:p w14:paraId="08E90AD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EAS</w:t>
            </w:r>
          </w:p>
        </w:tc>
        <w:tc>
          <w:tcPr>
            <w:tcW w:w="150" w:type="pct"/>
            <w:tcBorders>
              <w:top w:val="nil"/>
              <w:left w:val="nil"/>
              <w:bottom w:val="nil"/>
              <w:right w:val="nil"/>
            </w:tcBorders>
            <w:shd w:val="clear" w:color="auto" w:fill="auto"/>
            <w:noWrap/>
            <w:tcMar>
              <w:top w:w="6" w:type="dxa"/>
              <w:bottom w:w="6" w:type="dxa"/>
            </w:tcMar>
          </w:tcPr>
          <w:p w14:paraId="6F52D3E4"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5797CB9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42.4</w:t>
            </w:r>
          </w:p>
        </w:tc>
        <w:tc>
          <w:tcPr>
            <w:tcW w:w="364" w:type="pct"/>
            <w:tcBorders>
              <w:top w:val="nil"/>
              <w:left w:val="nil"/>
              <w:bottom w:val="nil"/>
              <w:right w:val="nil"/>
            </w:tcBorders>
            <w:shd w:val="clear" w:color="auto" w:fill="auto"/>
            <w:noWrap/>
            <w:tcMar>
              <w:top w:w="6" w:type="dxa"/>
              <w:bottom w:w="6" w:type="dxa"/>
            </w:tcMar>
          </w:tcPr>
          <w:p w14:paraId="756A19C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40.9</w:t>
            </w:r>
          </w:p>
        </w:tc>
        <w:tc>
          <w:tcPr>
            <w:tcW w:w="363" w:type="pct"/>
            <w:tcBorders>
              <w:top w:val="nil"/>
              <w:left w:val="nil"/>
              <w:bottom w:val="nil"/>
              <w:right w:val="nil"/>
            </w:tcBorders>
            <w:shd w:val="clear" w:color="auto" w:fill="auto"/>
            <w:noWrap/>
            <w:tcMar>
              <w:top w:w="6" w:type="dxa"/>
              <w:bottom w:w="6" w:type="dxa"/>
            </w:tcMar>
          </w:tcPr>
          <w:p w14:paraId="026BAA6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29.4</w:t>
            </w:r>
          </w:p>
        </w:tc>
        <w:tc>
          <w:tcPr>
            <w:tcW w:w="418" w:type="pct"/>
            <w:tcBorders>
              <w:top w:val="nil"/>
              <w:left w:val="nil"/>
              <w:bottom w:val="nil"/>
              <w:right w:val="nil"/>
            </w:tcBorders>
            <w:shd w:val="clear" w:color="auto" w:fill="auto"/>
            <w:noWrap/>
            <w:tcMar>
              <w:top w:w="6" w:type="dxa"/>
              <w:bottom w:w="6" w:type="dxa"/>
            </w:tcMar>
          </w:tcPr>
          <w:p w14:paraId="77760E3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37.6</w:t>
            </w:r>
          </w:p>
        </w:tc>
        <w:tc>
          <w:tcPr>
            <w:tcW w:w="151" w:type="pct"/>
            <w:tcBorders>
              <w:top w:val="nil"/>
              <w:left w:val="nil"/>
              <w:bottom w:val="nil"/>
              <w:right w:val="nil"/>
            </w:tcBorders>
            <w:shd w:val="clear" w:color="auto" w:fill="auto"/>
            <w:noWrap/>
            <w:tcMar>
              <w:top w:w="6" w:type="dxa"/>
              <w:bottom w:w="6" w:type="dxa"/>
            </w:tcMar>
          </w:tcPr>
          <w:p w14:paraId="070BF5B4"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70DDBAE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-0.156</w:t>
            </w:r>
          </w:p>
        </w:tc>
        <w:tc>
          <w:tcPr>
            <w:tcW w:w="722" w:type="pct"/>
            <w:tcBorders>
              <w:top w:val="nil"/>
              <w:left w:val="nil"/>
              <w:bottom w:val="nil"/>
              <w:right w:val="nil"/>
            </w:tcBorders>
            <w:shd w:val="clear" w:color="auto" w:fill="auto"/>
            <w:noWrap/>
            <w:tcMar>
              <w:top w:w="6" w:type="dxa"/>
              <w:bottom w:w="6" w:type="dxa"/>
            </w:tcMar>
          </w:tcPr>
          <w:p w14:paraId="055818D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664952E7"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E2F943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Leyte</w:t>
            </w:r>
          </w:p>
        </w:tc>
        <w:tc>
          <w:tcPr>
            <w:tcW w:w="810" w:type="pct"/>
            <w:tcBorders>
              <w:top w:val="nil"/>
              <w:left w:val="nil"/>
              <w:bottom w:val="nil"/>
              <w:right w:val="nil"/>
            </w:tcBorders>
            <w:shd w:val="clear" w:color="auto" w:fill="auto"/>
            <w:noWrap/>
            <w:tcMar>
              <w:top w:w="6" w:type="dxa"/>
              <w:bottom w:w="6" w:type="dxa"/>
            </w:tcMar>
          </w:tcPr>
          <w:p w14:paraId="7255F52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LEY</w:t>
            </w:r>
          </w:p>
        </w:tc>
        <w:tc>
          <w:tcPr>
            <w:tcW w:w="150" w:type="pct"/>
            <w:tcBorders>
              <w:top w:val="nil"/>
              <w:left w:val="nil"/>
              <w:bottom w:val="nil"/>
              <w:right w:val="nil"/>
            </w:tcBorders>
            <w:shd w:val="clear" w:color="auto" w:fill="auto"/>
            <w:noWrap/>
            <w:tcMar>
              <w:top w:w="6" w:type="dxa"/>
              <w:bottom w:w="6" w:type="dxa"/>
            </w:tcMar>
          </w:tcPr>
          <w:p w14:paraId="66AA6D3F"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332DFDC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25.1</w:t>
            </w:r>
          </w:p>
        </w:tc>
        <w:tc>
          <w:tcPr>
            <w:tcW w:w="364" w:type="pct"/>
            <w:tcBorders>
              <w:top w:val="nil"/>
              <w:left w:val="nil"/>
              <w:bottom w:val="nil"/>
              <w:right w:val="nil"/>
            </w:tcBorders>
            <w:shd w:val="clear" w:color="auto" w:fill="auto"/>
            <w:noWrap/>
            <w:tcMar>
              <w:top w:w="6" w:type="dxa"/>
              <w:bottom w:w="6" w:type="dxa"/>
            </w:tcMar>
          </w:tcPr>
          <w:p w14:paraId="066E7B3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21.7</w:t>
            </w:r>
          </w:p>
        </w:tc>
        <w:tc>
          <w:tcPr>
            <w:tcW w:w="363" w:type="pct"/>
            <w:tcBorders>
              <w:top w:val="nil"/>
              <w:left w:val="nil"/>
              <w:bottom w:val="nil"/>
              <w:right w:val="nil"/>
            </w:tcBorders>
            <w:shd w:val="clear" w:color="auto" w:fill="auto"/>
            <w:noWrap/>
            <w:tcMar>
              <w:top w:w="6" w:type="dxa"/>
              <w:bottom w:w="6" w:type="dxa"/>
            </w:tcMar>
          </w:tcPr>
          <w:p w14:paraId="577A9DD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20.8</w:t>
            </w:r>
          </w:p>
        </w:tc>
        <w:tc>
          <w:tcPr>
            <w:tcW w:w="418" w:type="pct"/>
            <w:tcBorders>
              <w:top w:val="nil"/>
              <w:left w:val="nil"/>
              <w:bottom w:val="nil"/>
              <w:right w:val="nil"/>
            </w:tcBorders>
            <w:shd w:val="clear" w:color="auto" w:fill="auto"/>
            <w:noWrap/>
            <w:tcMar>
              <w:top w:w="6" w:type="dxa"/>
              <w:bottom w:w="6" w:type="dxa"/>
            </w:tcMar>
          </w:tcPr>
          <w:p w14:paraId="160704C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22.5</w:t>
            </w:r>
          </w:p>
        </w:tc>
        <w:tc>
          <w:tcPr>
            <w:tcW w:w="151" w:type="pct"/>
            <w:tcBorders>
              <w:top w:val="nil"/>
              <w:left w:val="nil"/>
              <w:bottom w:val="nil"/>
              <w:right w:val="nil"/>
            </w:tcBorders>
            <w:shd w:val="clear" w:color="auto" w:fill="auto"/>
            <w:noWrap/>
            <w:tcMar>
              <w:top w:w="6" w:type="dxa"/>
              <w:bottom w:w="6" w:type="dxa"/>
            </w:tcMar>
          </w:tcPr>
          <w:p w14:paraId="264FD3F6"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5F8353A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-0.133</w:t>
            </w:r>
          </w:p>
        </w:tc>
        <w:tc>
          <w:tcPr>
            <w:tcW w:w="722" w:type="pct"/>
            <w:tcBorders>
              <w:top w:val="nil"/>
              <w:left w:val="nil"/>
              <w:bottom w:val="nil"/>
              <w:right w:val="nil"/>
            </w:tcBorders>
            <w:shd w:val="clear" w:color="auto" w:fill="auto"/>
            <w:noWrap/>
            <w:tcMar>
              <w:top w:w="6" w:type="dxa"/>
              <w:bottom w:w="6" w:type="dxa"/>
            </w:tcMar>
          </w:tcPr>
          <w:p w14:paraId="4C2C9B2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2DB0FD06"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5FE4E0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Northern Samar </w:t>
            </w:r>
          </w:p>
        </w:tc>
        <w:tc>
          <w:tcPr>
            <w:tcW w:w="810" w:type="pct"/>
            <w:tcBorders>
              <w:top w:val="nil"/>
              <w:left w:val="nil"/>
              <w:bottom w:val="nil"/>
              <w:right w:val="nil"/>
            </w:tcBorders>
            <w:shd w:val="clear" w:color="auto" w:fill="auto"/>
            <w:noWrap/>
            <w:tcMar>
              <w:top w:w="6" w:type="dxa"/>
              <w:bottom w:w="6" w:type="dxa"/>
            </w:tcMar>
          </w:tcPr>
          <w:p w14:paraId="2804EBF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NSA</w:t>
            </w:r>
          </w:p>
        </w:tc>
        <w:tc>
          <w:tcPr>
            <w:tcW w:w="150" w:type="pct"/>
            <w:tcBorders>
              <w:top w:val="nil"/>
              <w:left w:val="nil"/>
              <w:bottom w:val="nil"/>
              <w:right w:val="nil"/>
            </w:tcBorders>
            <w:shd w:val="clear" w:color="auto" w:fill="auto"/>
            <w:noWrap/>
            <w:tcMar>
              <w:top w:w="6" w:type="dxa"/>
              <w:bottom w:w="6" w:type="dxa"/>
            </w:tcMar>
          </w:tcPr>
          <w:p w14:paraId="5FDC3E43"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1F4D75A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51.8</w:t>
            </w:r>
          </w:p>
        </w:tc>
        <w:tc>
          <w:tcPr>
            <w:tcW w:w="364" w:type="pct"/>
            <w:tcBorders>
              <w:top w:val="nil"/>
              <w:left w:val="nil"/>
              <w:bottom w:val="nil"/>
              <w:right w:val="nil"/>
            </w:tcBorders>
            <w:shd w:val="clear" w:color="auto" w:fill="auto"/>
            <w:noWrap/>
            <w:tcMar>
              <w:top w:w="6" w:type="dxa"/>
              <w:bottom w:w="6" w:type="dxa"/>
            </w:tcMar>
          </w:tcPr>
          <w:p w14:paraId="79A7049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27.6</w:t>
            </w:r>
          </w:p>
        </w:tc>
        <w:tc>
          <w:tcPr>
            <w:tcW w:w="363" w:type="pct"/>
            <w:tcBorders>
              <w:top w:val="nil"/>
              <w:left w:val="nil"/>
              <w:bottom w:val="nil"/>
              <w:right w:val="nil"/>
            </w:tcBorders>
            <w:shd w:val="clear" w:color="auto" w:fill="auto"/>
            <w:noWrap/>
            <w:tcMar>
              <w:top w:w="6" w:type="dxa"/>
              <w:bottom w:w="6" w:type="dxa"/>
            </w:tcMar>
          </w:tcPr>
          <w:p w14:paraId="17682A4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19.3</w:t>
            </w:r>
          </w:p>
        </w:tc>
        <w:tc>
          <w:tcPr>
            <w:tcW w:w="418" w:type="pct"/>
            <w:tcBorders>
              <w:top w:val="nil"/>
              <w:left w:val="nil"/>
              <w:bottom w:val="nil"/>
              <w:right w:val="nil"/>
            </w:tcBorders>
            <w:shd w:val="clear" w:color="auto" w:fill="auto"/>
            <w:noWrap/>
            <w:tcMar>
              <w:top w:w="6" w:type="dxa"/>
              <w:bottom w:w="6" w:type="dxa"/>
            </w:tcMar>
          </w:tcPr>
          <w:p w14:paraId="122A2DA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32.9</w:t>
            </w:r>
          </w:p>
        </w:tc>
        <w:tc>
          <w:tcPr>
            <w:tcW w:w="151" w:type="pct"/>
            <w:tcBorders>
              <w:top w:val="nil"/>
              <w:left w:val="nil"/>
              <w:bottom w:val="nil"/>
              <w:right w:val="nil"/>
            </w:tcBorders>
            <w:shd w:val="clear" w:color="auto" w:fill="auto"/>
            <w:noWrap/>
            <w:tcMar>
              <w:top w:w="6" w:type="dxa"/>
              <w:bottom w:w="6" w:type="dxa"/>
            </w:tcMar>
          </w:tcPr>
          <w:p w14:paraId="7726F772"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2CEFDA0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-0.202</w:t>
            </w:r>
          </w:p>
        </w:tc>
        <w:tc>
          <w:tcPr>
            <w:tcW w:w="722" w:type="pct"/>
            <w:tcBorders>
              <w:top w:val="nil"/>
              <w:left w:val="nil"/>
              <w:bottom w:val="nil"/>
              <w:right w:val="nil"/>
            </w:tcBorders>
            <w:shd w:val="clear" w:color="auto" w:fill="auto"/>
            <w:noWrap/>
            <w:tcMar>
              <w:top w:w="6" w:type="dxa"/>
              <w:bottom w:w="6" w:type="dxa"/>
            </w:tcMar>
          </w:tcPr>
          <w:p w14:paraId="088D3ED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326A7531"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79E7A21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Southern Leyte</w:t>
            </w:r>
          </w:p>
        </w:tc>
        <w:tc>
          <w:tcPr>
            <w:tcW w:w="810" w:type="pct"/>
            <w:tcBorders>
              <w:top w:val="nil"/>
              <w:left w:val="nil"/>
              <w:bottom w:val="nil"/>
              <w:right w:val="nil"/>
            </w:tcBorders>
            <w:shd w:val="clear" w:color="auto" w:fill="auto"/>
            <w:noWrap/>
            <w:tcMar>
              <w:top w:w="6" w:type="dxa"/>
              <w:bottom w:w="6" w:type="dxa"/>
            </w:tcMar>
          </w:tcPr>
          <w:p w14:paraId="4643826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WSA</w:t>
            </w:r>
          </w:p>
        </w:tc>
        <w:tc>
          <w:tcPr>
            <w:tcW w:w="150" w:type="pct"/>
            <w:tcBorders>
              <w:top w:val="nil"/>
              <w:left w:val="nil"/>
              <w:bottom w:val="nil"/>
              <w:right w:val="nil"/>
            </w:tcBorders>
            <w:shd w:val="clear" w:color="auto" w:fill="auto"/>
            <w:noWrap/>
            <w:tcMar>
              <w:top w:w="6" w:type="dxa"/>
              <w:bottom w:w="6" w:type="dxa"/>
            </w:tcMar>
          </w:tcPr>
          <w:p w14:paraId="26EDE503"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0F775DC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32.7</w:t>
            </w:r>
          </w:p>
        </w:tc>
        <w:tc>
          <w:tcPr>
            <w:tcW w:w="364" w:type="pct"/>
            <w:tcBorders>
              <w:top w:val="nil"/>
              <w:left w:val="nil"/>
              <w:bottom w:val="nil"/>
              <w:right w:val="nil"/>
            </w:tcBorders>
            <w:shd w:val="clear" w:color="auto" w:fill="auto"/>
            <w:noWrap/>
            <w:tcMar>
              <w:top w:w="6" w:type="dxa"/>
              <w:bottom w:w="6" w:type="dxa"/>
            </w:tcMar>
          </w:tcPr>
          <w:p w14:paraId="7155BC9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17.3</w:t>
            </w:r>
          </w:p>
        </w:tc>
        <w:tc>
          <w:tcPr>
            <w:tcW w:w="363" w:type="pct"/>
            <w:tcBorders>
              <w:top w:val="nil"/>
              <w:left w:val="nil"/>
              <w:bottom w:val="nil"/>
              <w:right w:val="nil"/>
            </w:tcBorders>
            <w:shd w:val="clear" w:color="auto" w:fill="auto"/>
            <w:noWrap/>
            <w:tcMar>
              <w:top w:w="6" w:type="dxa"/>
              <w:bottom w:w="6" w:type="dxa"/>
            </w:tcMar>
          </w:tcPr>
          <w:p w14:paraId="0131AFA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16</w:t>
            </w:r>
          </w:p>
        </w:tc>
        <w:tc>
          <w:tcPr>
            <w:tcW w:w="418" w:type="pct"/>
            <w:tcBorders>
              <w:top w:val="nil"/>
              <w:left w:val="nil"/>
              <w:bottom w:val="nil"/>
              <w:right w:val="nil"/>
            </w:tcBorders>
            <w:shd w:val="clear" w:color="auto" w:fill="auto"/>
            <w:noWrap/>
            <w:tcMar>
              <w:top w:w="6" w:type="dxa"/>
              <w:bottom w:w="6" w:type="dxa"/>
            </w:tcMar>
          </w:tcPr>
          <w:p w14:paraId="6A2C3A4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w:t>
            </w:r>
          </w:p>
        </w:tc>
        <w:tc>
          <w:tcPr>
            <w:tcW w:w="151" w:type="pct"/>
            <w:tcBorders>
              <w:top w:val="nil"/>
              <w:left w:val="nil"/>
              <w:bottom w:val="nil"/>
              <w:right w:val="nil"/>
            </w:tcBorders>
            <w:shd w:val="clear" w:color="auto" w:fill="auto"/>
            <w:noWrap/>
            <w:tcMar>
              <w:top w:w="6" w:type="dxa"/>
              <w:bottom w:w="6" w:type="dxa"/>
            </w:tcMar>
          </w:tcPr>
          <w:p w14:paraId="3DC3F6B4"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21DC3EF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-0.134</w:t>
            </w:r>
          </w:p>
        </w:tc>
        <w:tc>
          <w:tcPr>
            <w:tcW w:w="722" w:type="pct"/>
            <w:tcBorders>
              <w:top w:val="nil"/>
              <w:left w:val="nil"/>
              <w:bottom w:val="nil"/>
              <w:right w:val="nil"/>
            </w:tcBorders>
            <w:shd w:val="clear" w:color="auto" w:fill="auto"/>
            <w:noWrap/>
            <w:tcMar>
              <w:top w:w="6" w:type="dxa"/>
              <w:bottom w:w="6" w:type="dxa"/>
            </w:tcMar>
          </w:tcPr>
          <w:p w14:paraId="19677E7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169EB564"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391E9ED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Samar </w:t>
            </w:r>
          </w:p>
        </w:tc>
        <w:tc>
          <w:tcPr>
            <w:tcW w:w="810" w:type="pct"/>
            <w:tcBorders>
              <w:top w:val="nil"/>
              <w:left w:val="nil"/>
              <w:bottom w:val="nil"/>
              <w:right w:val="nil"/>
            </w:tcBorders>
            <w:shd w:val="clear" w:color="auto" w:fill="auto"/>
            <w:noWrap/>
            <w:tcMar>
              <w:top w:w="6" w:type="dxa"/>
              <w:bottom w:w="6" w:type="dxa"/>
            </w:tcMar>
          </w:tcPr>
          <w:p w14:paraId="66C1316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SLE</w:t>
            </w:r>
          </w:p>
        </w:tc>
        <w:tc>
          <w:tcPr>
            <w:tcW w:w="150" w:type="pct"/>
            <w:tcBorders>
              <w:top w:val="nil"/>
              <w:left w:val="nil"/>
              <w:bottom w:val="nil"/>
              <w:right w:val="nil"/>
            </w:tcBorders>
            <w:shd w:val="clear" w:color="auto" w:fill="auto"/>
            <w:noWrap/>
            <w:tcMar>
              <w:top w:w="6" w:type="dxa"/>
              <w:bottom w:w="6" w:type="dxa"/>
            </w:tcMar>
          </w:tcPr>
          <w:p w14:paraId="1C90B082"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75D0234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41.8</w:t>
            </w:r>
          </w:p>
        </w:tc>
        <w:tc>
          <w:tcPr>
            <w:tcW w:w="364" w:type="pct"/>
            <w:tcBorders>
              <w:top w:val="nil"/>
              <w:left w:val="nil"/>
              <w:bottom w:val="nil"/>
              <w:right w:val="nil"/>
            </w:tcBorders>
            <w:shd w:val="clear" w:color="auto" w:fill="auto"/>
            <w:noWrap/>
            <w:tcMar>
              <w:top w:w="6" w:type="dxa"/>
              <w:bottom w:w="6" w:type="dxa"/>
            </w:tcMar>
          </w:tcPr>
          <w:p w14:paraId="4CE6092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22.2</w:t>
            </w:r>
          </w:p>
        </w:tc>
        <w:tc>
          <w:tcPr>
            <w:tcW w:w="363" w:type="pct"/>
            <w:tcBorders>
              <w:top w:val="nil"/>
              <w:left w:val="nil"/>
              <w:bottom w:val="nil"/>
              <w:right w:val="nil"/>
            </w:tcBorders>
            <w:shd w:val="clear" w:color="auto" w:fill="auto"/>
            <w:noWrap/>
            <w:tcMar>
              <w:top w:w="6" w:type="dxa"/>
              <w:bottom w:w="6" w:type="dxa"/>
            </w:tcMar>
          </w:tcPr>
          <w:p w14:paraId="2FFAC79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27</w:t>
            </w:r>
          </w:p>
        </w:tc>
        <w:tc>
          <w:tcPr>
            <w:tcW w:w="418" w:type="pct"/>
            <w:tcBorders>
              <w:top w:val="nil"/>
              <w:left w:val="nil"/>
              <w:bottom w:val="nil"/>
              <w:right w:val="nil"/>
            </w:tcBorders>
            <w:shd w:val="clear" w:color="auto" w:fill="auto"/>
            <w:noWrap/>
            <w:tcMar>
              <w:top w:w="6" w:type="dxa"/>
              <w:bottom w:w="6" w:type="dxa"/>
            </w:tcMar>
          </w:tcPr>
          <w:p w14:paraId="42C8715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30.3</w:t>
            </w:r>
          </w:p>
        </w:tc>
        <w:tc>
          <w:tcPr>
            <w:tcW w:w="151" w:type="pct"/>
            <w:tcBorders>
              <w:top w:val="nil"/>
              <w:left w:val="nil"/>
              <w:bottom w:val="nil"/>
              <w:right w:val="nil"/>
            </w:tcBorders>
            <w:shd w:val="clear" w:color="auto" w:fill="auto"/>
            <w:noWrap/>
            <w:tcMar>
              <w:top w:w="6" w:type="dxa"/>
              <w:bottom w:w="6" w:type="dxa"/>
            </w:tcMar>
          </w:tcPr>
          <w:p w14:paraId="1EB1870D"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1B96D32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-0.168</w:t>
            </w:r>
          </w:p>
        </w:tc>
        <w:tc>
          <w:tcPr>
            <w:tcW w:w="722" w:type="pct"/>
            <w:tcBorders>
              <w:top w:val="nil"/>
              <w:left w:val="nil"/>
              <w:bottom w:val="nil"/>
              <w:right w:val="nil"/>
            </w:tcBorders>
            <w:shd w:val="clear" w:color="auto" w:fill="auto"/>
            <w:noWrap/>
            <w:tcMar>
              <w:top w:w="6" w:type="dxa"/>
              <w:bottom w:w="6" w:type="dxa"/>
            </w:tcMar>
          </w:tcPr>
          <w:p w14:paraId="042EE89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3D3A7B7E"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61A1757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Zamboanga del Norte</w:t>
            </w:r>
          </w:p>
        </w:tc>
        <w:tc>
          <w:tcPr>
            <w:tcW w:w="810" w:type="pct"/>
            <w:tcBorders>
              <w:top w:val="nil"/>
              <w:left w:val="nil"/>
              <w:bottom w:val="nil"/>
              <w:right w:val="nil"/>
            </w:tcBorders>
            <w:shd w:val="clear" w:color="auto" w:fill="auto"/>
            <w:noWrap/>
            <w:tcMar>
              <w:top w:w="6" w:type="dxa"/>
              <w:bottom w:w="6" w:type="dxa"/>
            </w:tcMar>
          </w:tcPr>
          <w:p w14:paraId="0A23987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ZAN</w:t>
            </w:r>
          </w:p>
        </w:tc>
        <w:tc>
          <w:tcPr>
            <w:tcW w:w="150" w:type="pct"/>
            <w:tcBorders>
              <w:top w:val="nil"/>
              <w:left w:val="nil"/>
              <w:bottom w:val="nil"/>
              <w:right w:val="nil"/>
            </w:tcBorders>
            <w:shd w:val="clear" w:color="auto" w:fill="auto"/>
            <w:noWrap/>
            <w:tcMar>
              <w:top w:w="6" w:type="dxa"/>
              <w:bottom w:w="6" w:type="dxa"/>
            </w:tcMar>
          </w:tcPr>
          <w:p w14:paraId="129DD9D7"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CBACC3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50.9</w:t>
            </w:r>
          </w:p>
        </w:tc>
        <w:tc>
          <w:tcPr>
            <w:tcW w:w="364" w:type="pct"/>
            <w:tcBorders>
              <w:top w:val="nil"/>
              <w:left w:val="nil"/>
              <w:bottom w:val="nil"/>
              <w:right w:val="nil"/>
            </w:tcBorders>
            <w:shd w:val="clear" w:color="auto" w:fill="auto"/>
            <w:noWrap/>
            <w:tcMar>
              <w:top w:w="6" w:type="dxa"/>
              <w:bottom w:w="6" w:type="dxa"/>
            </w:tcMar>
          </w:tcPr>
          <w:p w14:paraId="353871C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36.9</w:t>
            </w:r>
          </w:p>
        </w:tc>
        <w:tc>
          <w:tcPr>
            <w:tcW w:w="363" w:type="pct"/>
            <w:tcBorders>
              <w:top w:val="nil"/>
              <w:left w:val="nil"/>
              <w:bottom w:val="nil"/>
              <w:right w:val="nil"/>
            </w:tcBorders>
            <w:shd w:val="clear" w:color="auto" w:fill="auto"/>
            <w:noWrap/>
            <w:tcMar>
              <w:top w:w="6" w:type="dxa"/>
              <w:bottom w:w="6" w:type="dxa"/>
            </w:tcMar>
          </w:tcPr>
          <w:p w14:paraId="5170DFE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40.8</w:t>
            </w:r>
          </w:p>
        </w:tc>
        <w:tc>
          <w:tcPr>
            <w:tcW w:w="418" w:type="pct"/>
            <w:tcBorders>
              <w:top w:val="nil"/>
              <w:left w:val="nil"/>
              <w:bottom w:val="nil"/>
              <w:right w:val="nil"/>
            </w:tcBorders>
            <w:shd w:val="clear" w:color="auto" w:fill="auto"/>
            <w:noWrap/>
            <w:tcMar>
              <w:top w:w="6" w:type="dxa"/>
              <w:bottom w:w="6" w:type="dxa"/>
            </w:tcMar>
          </w:tcPr>
          <w:p w14:paraId="724AF5F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42.9</w:t>
            </w:r>
          </w:p>
        </w:tc>
        <w:tc>
          <w:tcPr>
            <w:tcW w:w="151" w:type="pct"/>
            <w:tcBorders>
              <w:top w:val="nil"/>
              <w:left w:val="nil"/>
              <w:bottom w:val="nil"/>
              <w:right w:val="nil"/>
            </w:tcBorders>
            <w:shd w:val="clear" w:color="auto" w:fill="auto"/>
            <w:noWrap/>
            <w:tcMar>
              <w:top w:w="6" w:type="dxa"/>
              <w:bottom w:w="6" w:type="dxa"/>
            </w:tcMar>
          </w:tcPr>
          <w:p w14:paraId="40C9E189"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1BDE2D9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-0.068</w:t>
            </w:r>
          </w:p>
        </w:tc>
        <w:tc>
          <w:tcPr>
            <w:tcW w:w="722" w:type="pct"/>
            <w:tcBorders>
              <w:top w:val="nil"/>
              <w:left w:val="nil"/>
              <w:bottom w:val="nil"/>
              <w:right w:val="nil"/>
            </w:tcBorders>
            <w:shd w:val="clear" w:color="auto" w:fill="auto"/>
            <w:noWrap/>
            <w:tcMar>
              <w:top w:w="6" w:type="dxa"/>
              <w:bottom w:w="6" w:type="dxa"/>
            </w:tcMar>
          </w:tcPr>
          <w:p w14:paraId="3587FE7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68913047"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07A05D3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Zamboanga del Sur</w:t>
            </w:r>
          </w:p>
        </w:tc>
        <w:tc>
          <w:tcPr>
            <w:tcW w:w="810" w:type="pct"/>
            <w:tcBorders>
              <w:top w:val="nil"/>
              <w:left w:val="nil"/>
              <w:bottom w:val="nil"/>
              <w:right w:val="nil"/>
            </w:tcBorders>
            <w:shd w:val="clear" w:color="auto" w:fill="auto"/>
            <w:noWrap/>
            <w:tcMar>
              <w:top w:w="6" w:type="dxa"/>
              <w:bottom w:w="6" w:type="dxa"/>
            </w:tcMar>
          </w:tcPr>
          <w:p w14:paraId="2E2451D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ZAS</w:t>
            </w:r>
          </w:p>
        </w:tc>
        <w:tc>
          <w:tcPr>
            <w:tcW w:w="150" w:type="pct"/>
            <w:tcBorders>
              <w:top w:val="nil"/>
              <w:left w:val="nil"/>
              <w:bottom w:val="nil"/>
              <w:right w:val="nil"/>
            </w:tcBorders>
            <w:shd w:val="clear" w:color="auto" w:fill="auto"/>
            <w:noWrap/>
            <w:tcMar>
              <w:top w:w="6" w:type="dxa"/>
              <w:bottom w:w="6" w:type="dxa"/>
            </w:tcMar>
          </w:tcPr>
          <w:p w14:paraId="426520B7"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3CA4E45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18.9</w:t>
            </w:r>
          </w:p>
        </w:tc>
        <w:tc>
          <w:tcPr>
            <w:tcW w:w="364" w:type="pct"/>
            <w:tcBorders>
              <w:top w:val="nil"/>
              <w:left w:val="nil"/>
              <w:bottom w:val="nil"/>
              <w:right w:val="nil"/>
            </w:tcBorders>
            <w:shd w:val="clear" w:color="auto" w:fill="auto"/>
            <w:noWrap/>
            <w:tcMar>
              <w:top w:w="6" w:type="dxa"/>
              <w:bottom w:w="6" w:type="dxa"/>
            </w:tcMar>
          </w:tcPr>
          <w:p w14:paraId="1CD9ECD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17.4</w:t>
            </w:r>
          </w:p>
        </w:tc>
        <w:tc>
          <w:tcPr>
            <w:tcW w:w="363" w:type="pct"/>
            <w:tcBorders>
              <w:top w:val="nil"/>
              <w:left w:val="nil"/>
              <w:bottom w:val="nil"/>
              <w:right w:val="nil"/>
            </w:tcBorders>
            <w:shd w:val="clear" w:color="auto" w:fill="auto"/>
            <w:noWrap/>
            <w:tcMar>
              <w:top w:w="6" w:type="dxa"/>
              <w:bottom w:w="6" w:type="dxa"/>
            </w:tcMar>
          </w:tcPr>
          <w:p w14:paraId="6F5F2C1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13.4</w:t>
            </w:r>
          </w:p>
        </w:tc>
        <w:tc>
          <w:tcPr>
            <w:tcW w:w="418" w:type="pct"/>
            <w:tcBorders>
              <w:top w:val="nil"/>
              <w:left w:val="nil"/>
              <w:bottom w:val="nil"/>
              <w:right w:val="nil"/>
            </w:tcBorders>
            <w:shd w:val="clear" w:color="auto" w:fill="auto"/>
            <w:noWrap/>
            <w:tcMar>
              <w:top w:w="6" w:type="dxa"/>
              <w:bottom w:w="6" w:type="dxa"/>
            </w:tcMar>
          </w:tcPr>
          <w:p w14:paraId="312BA5E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16.6</w:t>
            </w:r>
          </w:p>
        </w:tc>
        <w:tc>
          <w:tcPr>
            <w:tcW w:w="151" w:type="pct"/>
            <w:tcBorders>
              <w:top w:val="nil"/>
              <w:left w:val="nil"/>
              <w:bottom w:val="nil"/>
              <w:right w:val="nil"/>
            </w:tcBorders>
            <w:shd w:val="clear" w:color="auto" w:fill="auto"/>
            <w:noWrap/>
            <w:tcMar>
              <w:top w:w="6" w:type="dxa"/>
              <w:bottom w:w="6" w:type="dxa"/>
            </w:tcMar>
          </w:tcPr>
          <w:p w14:paraId="72897632"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1E885B1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-0.055</w:t>
            </w:r>
          </w:p>
        </w:tc>
        <w:tc>
          <w:tcPr>
            <w:tcW w:w="722" w:type="pct"/>
            <w:tcBorders>
              <w:top w:val="nil"/>
              <w:left w:val="nil"/>
              <w:bottom w:val="nil"/>
              <w:right w:val="nil"/>
            </w:tcBorders>
            <w:shd w:val="clear" w:color="auto" w:fill="auto"/>
            <w:noWrap/>
            <w:tcMar>
              <w:top w:w="6" w:type="dxa"/>
              <w:bottom w:w="6" w:type="dxa"/>
            </w:tcMar>
          </w:tcPr>
          <w:p w14:paraId="701B762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79278D49"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4F5F9E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Bukidnon</w:t>
            </w:r>
          </w:p>
        </w:tc>
        <w:tc>
          <w:tcPr>
            <w:tcW w:w="810" w:type="pct"/>
            <w:tcBorders>
              <w:top w:val="nil"/>
              <w:left w:val="nil"/>
              <w:bottom w:val="nil"/>
              <w:right w:val="nil"/>
            </w:tcBorders>
            <w:shd w:val="clear" w:color="auto" w:fill="auto"/>
            <w:noWrap/>
            <w:tcMar>
              <w:top w:w="6" w:type="dxa"/>
              <w:bottom w:w="6" w:type="dxa"/>
            </w:tcMar>
          </w:tcPr>
          <w:p w14:paraId="0B819C5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BUK</w:t>
            </w:r>
          </w:p>
        </w:tc>
        <w:tc>
          <w:tcPr>
            <w:tcW w:w="150" w:type="pct"/>
            <w:tcBorders>
              <w:top w:val="nil"/>
              <w:left w:val="nil"/>
              <w:bottom w:val="nil"/>
              <w:right w:val="nil"/>
            </w:tcBorders>
            <w:shd w:val="clear" w:color="auto" w:fill="auto"/>
            <w:noWrap/>
            <w:tcMar>
              <w:top w:w="6" w:type="dxa"/>
              <w:bottom w:w="6" w:type="dxa"/>
            </w:tcMar>
          </w:tcPr>
          <w:p w14:paraId="06569124"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20AD10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47.6</w:t>
            </w:r>
          </w:p>
        </w:tc>
        <w:tc>
          <w:tcPr>
            <w:tcW w:w="364" w:type="pct"/>
            <w:tcBorders>
              <w:top w:val="nil"/>
              <w:left w:val="nil"/>
              <w:bottom w:val="nil"/>
              <w:right w:val="nil"/>
            </w:tcBorders>
            <w:shd w:val="clear" w:color="auto" w:fill="auto"/>
            <w:noWrap/>
            <w:tcMar>
              <w:top w:w="6" w:type="dxa"/>
              <w:bottom w:w="6" w:type="dxa"/>
            </w:tcMar>
          </w:tcPr>
          <w:p w14:paraId="3401767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22.3</w:t>
            </w:r>
          </w:p>
        </w:tc>
        <w:tc>
          <w:tcPr>
            <w:tcW w:w="363" w:type="pct"/>
            <w:tcBorders>
              <w:top w:val="nil"/>
              <w:left w:val="nil"/>
              <w:bottom w:val="nil"/>
              <w:right w:val="nil"/>
            </w:tcBorders>
            <w:shd w:val="clear" w:color="auto" w:fill="auto"/>
            <w:noWrap/>
            <w:tcMar>
              <w:top w:w="6" w:type="dxa"/>
              <w:bottom w:w="6" w:type="dxa"/>
            </w:tcMar>
          </w:tcPr>
          <w:p w14:paraId="372AC8A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22.8</w:t>
            </w:r>
          </w:p>
        </w:tc>
        <w:tc>
          <w:tcPr>
            <w:tcW w:w="418" w:type="pct"/>
            <w:tcBorders>
              <w:top w:val="nil"/>
              <w:left w:val="nil"/>
              <w:bottom w:val="nil"/>
              <w:right w:val="nil"/>
            </w:tcBorders>
            <w:shd w:val="clear" w:color="auto" w:fill="auto"/>
            <w:noWrap/>
            <w:tcMar>
              <w:top w:w="6" w:type="dxa"/>
              <w:bottom w:w="6" w:type="dxa"/>
            </w:tcMar>
          </w:tcPr>
          <w:p w14:paraId="7F5FF66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30.9</w:t>
            </w:r>
          </w:p>
        </w:tc>
        <w:tc>
          <w:tcPr>
            <w:tcW w:w="151" w:type="pct"/>
            <w:tcBorders>
              <w:top w:val="nil"/>
              <w:left w:val="nil"/>
              <w:bottom w:val="nil"/>
              <w:right w:val="nil"/>
            </w:tcBorders>
            <w:shd w:val="clear" w:color="auto" w:fill="auto"/>
            <w:noWrap/>
            <w:tcMar>
              <w:top w:w="6" w:type="dxa"/>
              <w:bottom w:w="6" w:type="dxa"/>
            </w:tcMar>
          </w:tcPr>
          <w:p w14:paraId="1F7C7116"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040B1E2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-0.081</w:t>
            </w:r>
          </w:p>
        </w:tc>
        <w:tc>
          <w:tcPr>
            <w:tcW w:w="722" w:type="pct"/>
            <w:tcBorders>
              <w:top w:val="nil"/>
              <w:left w:val="nil"/>
              <w:bottom w:val="nil"/>
              <w:right w:val="nil"/>
            </w:tcBorders>
            <w:shd w:val="clear" w:color="auto" w:fill="auto"/>
            <w:noWrap/>
            <w:tcMar>
              <w:top w:w="6" w:type="dxa"/>
              <w:bottom w:w="6" w:type="dxa"/>
            </w:tcMar>
          </w:tcPr>
          <w:p w14:paraId="39908AB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22BB4186"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7D6429CB" w14:textId="77777777" w:rsidR="004E2B5B" w:rsidRPr="0026312D" w:rsidRDefault="004E2B5B" w:rsidP="00532745">
            <w:pPr>
              <w:rPr>
                <w:rFonts w:ascii="Times New Roman" w:hAnsi="Times New Roman" w:cs="Times New Roman"/>
                <w:color w:val="000000"/>
                <w:sz w:val="22"/>
                <w:szCs w:val="22"/>
              </w:rPr>
            </w:pPr>
            <w:proofErr w:type="spellStart"/>
            <w:r w:rsidRPr="0026312D">
              <w:rPr>
                <w:rFonts w:ascii="Times New Roman" w:hAnsi="Times New Roman" w:cs="Times New Roman"/>
                <w:color w:val="000000"/>
                <w:sz w:val="22"/>
                <w:szCs w:val="22"/>
              </w:rPr>
              <w:t>Camiguin</w:t>
            </w:r>
            <w:proofErr w:type="spellEnd"/>
          </w:p>
        </w:tc>
        <w:tc>
          <w:tcPr>
            <w:tcW w:w="810" w:type="pct"/>
            <w:tcBorders>
              <w:top w:val="nil"/>
              <w:left w:val="nil"/>
              <w:bottom w:val="nil"/>
              <w:right w:val="nil"/>
            </w:tcBorders>
            <w:shd w:val="clear" w:color="auto" w:fill="auto"/>
            <w:noWrap/>
            <w:tcMar>
              <w:top w:w="6" w:type="dxa"/>
              <w:bottom w:w="6" w:type="dxa"/>
            </w:tcMar>
          </w:tcPr>
          <w:p w14:paraId="06A44FC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CAM</w:t>
            </w:r>
          </w:p>
        </w:tc>
        <w:tc>
          <w:tcPr>
            <w:tcW w:w="150" w:type="pct"/>
            <w:tcBorders>
              <w:top w:val="nil"/>
              <w:left w:val="nil"/>
              <w:bottom w:val="nil"/>
              <w:right w:val="nil"/>
            </w:tcBorders>
            <w:shd w:val="clear" w:color="auto" w:fill="auto"/>
            <w:noWrap/>
            <w:tcMar>
              <w:top w:w="6" w:type="dxa"/>
              <w:bottom w:w="6" w:type="dxa"/>
            </w:tcMar>
          </w:tcPr>
          <w:p w14:paraId="68944E17"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1C84C44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33.9</w:t>
            </w:r>
          </w:p>
        </w:tc>
        <w:tc>
          <w:tcPr>
            <w:tcW w:w="364" w:type="pct"/>
            <w:tcBorders>
              <w:top w:val="nil"/>
              <w:left w:val="nil"/>
              <w:bottom w:val="nil"/>
              <w:right w:val="nil"/>
            </w:tcBorders>
            <w:shd w:val="clear" w:color="auto" w:fill="auto"/>
            <w:noWrap/>
            <w:tcMar>
              <w:top w:w="6" w:type="dxa"/>
              <w:bottom w:w="6" w:type="dxa"/>
            </w:tcMar>
          </w:tcPr>
          <w:p w14:paraId="2C6B0EF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17.9</w:t>
            </w:r>
          </w:p>
        </w:tc>
        <w:tc>
          <w:tcPr>
            <w:tcW w:w="363" w:type="pct"/>
            <w:tcBorders>
              <w:top w:val="nil"/>
              <w:left w:val="nil"/>
              <w:bottom w:val="nil"/>
              <w:right w:val="nil"/>
            </w:tcBorders>
            <w:shd w:val="clear" w:color="auto" w:fill="auto"/>
            <w:noWrap/>
            <w:tcMar>
              <w:top w:w="6" w:type="dxa"/>
              <w:bottom w:w="6" w:type="dxa"/>
            </w:tcMar>
          </w:tcPr>
          <w:p w14:paraId="222B046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14.7</w:t>
            </w:r>
          </w:p>
        </w:tc>
        <w:tc>
          <w:tcPr>
            <w:tcW w:w="418" w:type="pct"/>
            <w:tcBorders>
              <w:top w:val="nil"/>
              <w:left w:val="nil"/>
              <w:bottom w:val="nil"/>
              <w:right w:val="nil"/>
            </w:tcBorders>
            <w:shd w:val="clear" w:color="auto" w:fill="auto"/>
            <w:noWrap/>
            <w:tcMar>
              <w:top w:w="6" w:type="dxa"/>
              <w:bottom w:w="6" w:type="dxa"/>
            </w:tcMar>
          </w:tcPr>
          <w:p w14:paraId="675402D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22.2</w:t>
            </w:r>
          </w:p>
        </w:tc>
        <w:tc>
          <w:tcPr>
            <w:tcW w:w="151" w:type="pct"/>
            <w:tcBorders>
              <w:top w:val="nil"/>
              <w:left w:val="nil"/>
              <w:bottom w:val="nil"/>
              <w:right w:val="nil"/>
            </w:tcBorders>
            <w:shd w:val="clear" w:color="auto" w:fill="auto"/>
            <w:noWrap/>
            <w:tcMar>
              <w:top w:w="6" w:type="dxa"/>
              <w:bottom w:w="6" w:type="dxa"/>
            </w:tcMar>
          </w:tcPr>
          <w:p w14:paraId="1CFDA06A"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48FFBFB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-0.165</w:t>
            </w:r>
          </w:p>
        </w:tc>
        <w:tc>
          <w:tcPr>
            <w:tcW w:w="722" w:type="pct"/>
            <w:tcBorders>
              <w:top w:val="nil"/>
              <w:left w:val="nil"/>
              <w:bottom w:val="nil"/>
              <w:right w:val="nil"/>
            </w:tcBorders>
            <w:shd w:val="clear" w:color="auto" w:fill="auto"/>
            <w:noWrap/>
            <w:tcMar>
              <w:top w:w="6" w:type="dxa"/>
              <w:bottom w:w="6" w:type="dxa"/>
            </w:tcMar>
          </w:tcPr>
          <w:p w14:paraId="166B056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6A0A5CF3"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04CD63E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Lanao del Norte </w:t>
            </w:r>
          </w:p>
        </w:tc>
        <w:tc>
          <w:tcPr>
            <w:tcW w:w="810" w:type="pct"/>
            <w:tcBorders>
              <w:top w:val="nil"/>
              <w:left w:val="nil"/>
              <w:bottom w:val="nil"/>
              <w:right w:val="nil"/>
            </w:tcBorders>
            <w:shd w:val="clear" w:color="auto" w:fill="auto"/>
            <w:noWrap/>
            <w:tcMar>
              <w:top w:w="6" w:type="dxa"/>
              <w:bottom w:w="6" w:type="dxa"/>
            </w:tcMar>
          </w:tcPr>
          <w:p w14:paraId="567DA36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LAN</w:t>
            </w:r>
          </w:p>
        </w:tc>
        <w:tc>
          <w:tcPr>
            <w:tcW w:w="150" w:type="pct"/>
            <w:tcBorders>
              <w:top w:val="nil"/>
              <w:left w:val="nil"/>
              <w:bottom w:val="nil"/>
              <w:right w:val="nil"/>
            </w:tcBorders>
            <w:shd w:val="clear" w:color="auto" w:fill="auto"/>
            <w:noWrap/>
            <w:tcMar>
              <w:top w:w="6" w:type="dxa"/>
              <w:bottom w:w="6" w:type="dxa"/>
            </w:tcMar>
          </w:tcPr>
          <w:p w14:paraId="2CF27924"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6D1E21E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38.1</w:t>
            </w:r>
          </w:p>
        </w:tc>
        <w:tc>
          <w:tcPr>
            <w:tcW w:w="364" w:type="pct"/>
            <w:tcBorders>
              <w:top w:val="nil"/>
              <w:left w:val="nil"/>
              <w:bottom w:val="nil"/>
              <w:right w:val="nil"/>
            </w:tcBorders>
            <w:shd w:val="clear" w:color="auto" w:fill="auto"/>
            <w:noWrap/>
            <w:tcMar>
              <w:top w:w="6" w:type="dxa"/>
              <w:bottom w:w="6" w:type="dxa"/>
            </w:tcMar>
          </w:tcPr>
          <w:p w14:paraId="3808AF1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19</w:t>
            </w:r>
          </w:p>
        </w:tc>
        <w:tc>
          <w:tcPr>
            <w:tcW w:w="363" w:type="pct"/>
            <w:tcBorders>
              <w:top w:val="nil"/>
              <w:left w:val="nil"/>
              <w:bottom w:val="nil"/>
              <w:right w:val="nil"/>
            </w:tcBorders>
            <w:shd w:val="clear" w:color="auto" w:fill="auto"/>
            <w:noWrap/>
            <w:tcMar>
              <w:top w:w="6" w:type="dxa"/>
              <w:bottom w:w="6" w:type="dxa"/>
            </w:tcMar>
          </w:tcPr>
          <w:p w14:paraId="403189C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25.5</w:t>
            </w:r>
          </w:p>
        </w:tc>
        <w:tc>
          <w:tcPr>
            <w:tcW w:w="418" w:type="pct"/>
            <w:tcBorders>
              <w:top w:val="nil"/>
              <w:left w:val="nil"/>
              <w:bottom w:val="nil"/>
              <w:right w:val="nil"/>
            </w:tcBorders>
            <w:shd w:val="clear" w:color="auto" w:fill="auto"/>
            <w:noWrap/>
            <w:tcMar>
              <w:top w:w="6" w:type="dxa"/>
              <w:bottom w:w="6" w:type="dxa"/>
            </w:tcMar>
          </w:tcPr>
          <w:p w14:paraId="477F664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27.5</w:t>
            </w:r>
          </w:p>
        </w:tc>
        <w:tc>
          <w:tcPr>
            <w:tcW w:w="151" w:type="pct"/>
            <w:tcBorders>
              <w:top w:val="nil"/>
              <w:left w:val="nil"/>
              <w:bottom w:val="nil"/>
              <w:right w:val="nil"/>
            </w:tcBorders>
            <w:shd w:val="clear" w:color="auto" w:fill="auto"/>
            <w:noWrap/>
            <w:tcMar>
              <w:top w:w="6" w:type="dxa"/>
              <w:bottom w:w="6" w:type="dxa"/>
            </w:tcMar>
          </w:tcPr>
          <w:p w14:paraId="7D8329C6"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2BE6806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-0.084</w:t>
            </w:r>
          </w:p>
        </w:tc>
        <w:tc>
          <w:tcPr>
            <w:tcW w:w="722" w:type="pct"/>
            <w:tcBorders>
              <w:top w:val="nil"/>
              <w:left w:val="nil"/>
              <w:bottom w:val="nil"/>
              <w:right w:val="nil"/>
            </w:tcBorders>
            <w:shd w:val="clear" w:color="auto" w:fill="auto"/>
            <w:noWrap/>
            <w:tcMar>
              <w:top w:w="6" w:type="dxa"/>
              <w:bottom w:w="6" w:type="dxa"/>
            </w:tcMar>
          </w:tcPr>
          <w:p w14:paraId="44D993D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42D136DE"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A9CC40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Misamis Occidental</w:t>
            </w:r>
          </w:p>
        </w:tc>
        <w:tc>
          <w:tcPr>
            <w:tcW w:w="810" w:type="pct"/>
            <w:tcBorders>
              <w:top w:val="nil"/>
              <w:left w:val="nil"/>
              <w:bottom w:val="nil"/>
              <w:right w:val="nil"/>
            </w:tcBorders>
            <w:shd w:val="clear" w:color="auto" w:fill="auto"/>
            <w:noWrap/>
            <w:tcMar>
              <w:top w:w="6" w:type="dxa"/>
              <w:bottom w:w="6" w:type="dxa"/>
            </w:tcMar>
          </w:tcPr>
          <w:p w14:paraId="5B19DE2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MSC</w:t>
            </w:r>
          </w:p>
        </w:tc>
        <w:tc>
          <w:tcPr>
            <w:tcW w:w="150" w:type="pct"/>
            <w:tcBorders>
              <w:top w:val="nil"/>
              <w:left w:val="nil"/>
              <w:bottom w:val="nil"/>
              <w:right w:val="nil"/>
            </w:tcBorders>
            <w:shd w:val="clear" w:color="auto" w:fill="auto"/>
            <w:noWrap/>
            <w:tcMar>
              <w:top w:w="6" w:type="dxa"/>
              <w:bottom w:w="6" w:type="dxa"/>
            </w:tcMar>
          </w:tcPr>
          <w:p w14:paraId="0A6D0159"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12D9722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36.8</w:t>
            </w:r>
          </w:p>
        </w:tc>
        <w:tc>
          <w:tcPr>
            <w:tcW w:w="364" w:type="pct"/>
            <w:tcBorders>
              <w:top w:val="nil"/>
              <w:left w:val="nil"/>
              <w:bottom w:val="nil"/>
              <w:right w:val="nil"/>
            </w:tcBorders>
            <w:shd w:val="clear" w:color="auto" w:fill="auto"/>
            <w:noWrap/>
            <w:tcMar>
              <w:top w:w="6" w:type="dxa"/>
              <w:bottom w:w="6" w:type="dxa"/>
            </w:tcMar>
          </w:tcPr>
          <w:p w14:paraId="3AFBF15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19.5</w:t>
            </w:r>
          </w:p>
        </w:tc>
        <w:tc>
          <w:tcPr>
            <w:tcW w:w="363" w:type="pct"/>
            <w:tcBorders>
              <w:top w:val="nil"/>
              <w:left w:val="nil"/>
              <w:bottom w:val="nil"/>
              <w:right w:val="nil"/>
            </w:tcBorders>
            <w:shd w:val="clear" w:color="auto" w:fill="auto"/>
            <w:noWrap/>
            <w:tcMar>
              <w:top w:w="6" w:type="dxa"/>
              <w:bottom w:w="6" w:type="dxa"/>
            </w:tcMar>
          </w:tcPr>
          <w:p w14:paraId="6E668DE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18.3</w:t>
            </w:r>
          </w:p>
        </w:tc>
        <w:tc>
          <w:tcPr>
            <w:tcW w:w="418" w:type="pct"/>
            <w:tcBorders>
              <w:top w:val="nil"/>
              <w:left w:val="nil"/>
              <w:bottom w:val="nil"/>
              <w:right w:val="nil"/>
            </w:tcBorders>
            <w:shd w:val="clear" w:color="auto" w:fill="auto"/>
            <w:noWrap/>
            <w:tcMar>
              <w:top w:w="6" w:type="dxa"/>
              <w:bottom w:w="6" w:type="dxa"/>
            </w:tcMar>
          </w:tcPr>
          <w:p w14:paraId="6F5E444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24.9</w:t>
            </w:r>
          </w:p>
        </w:tc>
        <w:tc>
          <w:tcPr>
            <w:tcW w:w="151" w:type="pct"/>
            <w:tcBorders>
              <w:top w:val="nil"/>
              <w:left w:val="nil"/>
              <w:bottom w:val="nil"/>
              <w:right w:val="nil"/>
            </w:tcBorders>
            <w:shd w:val="clear" w:color="auto" w:fill="auto"/>
            <w:noWrap/>
            <w:tcMar>
              <w:top w:w="6" w:type="dxa"/>
              <w:bottom w:w="6" w:type="dxa"/>
            </w:tcMar>
          </w:tcPr>
          <w:p w14:paraId="0E6D8F7E"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1C267D7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-0.109</w:t>
            </w:r>
          </w:p>
        </w:tc>
        <w:tc>
          <w:tcPr>
            <w:tcW w:w="722" w:type="pct"/>
            <w:tcBorders>
              <w:top w:val="nil"/>
              <w:left w:val="nil"/>
              <w:bottom w:val="nil"/>
              <w:right w:val="nil"/>
            </w:tcBorders>
            <w:shd w:val="clear" w:color="auto" w:fill="auto"/>
            <w:noWrap/>
            <w:tcMar>
              <w:top w:w="6" w:type="dxa"/>
              <w:bottom w:w="6" w:type="dxa"/>
            </w:tcMar>
          </w:tcPr>
          <w:p w14:paraId="0BA7E38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2C61C8C0"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6F32C7A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Misamis Oriental</w:t>
            </w:r>
          </w:p>
        </w:tc>
        <w:tc>
          <w:tcPr>
            <w:tcW w:w="810" w:type="pct"/>
            <w:tcBorders>
              <w:top w:val="nil"/>
              <w:left w:val="nil"/>
              <w:bottom w:val="nil"/>
              <w:right w:val="nil"/>
            </w:tcBorders>
            <w:shd w:val="clear" w:color="auto" w:fill="auto"/>
            <w:noWrap/>
            <w:tcMar>
              <w:top w:w="6" w:type="dxa"/>
              <w:bottom w:w="6" w:type="dxa"/>
            </w:tcMar>
          </w:tcPr>
          <w:p w14:paraId="0A2225D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MSR</w:t>
            </w:r>
          </w:p>
        </w:tc>
        <w:tc>
          <w:tcPr>
            <w:tcW w:w="150" w:type="pct"/>
            <w:tcBorders>
              <w:top w:val="nil"/>
              <w:left w:val="nil"/>
              <w:bottom w:val="nil"/>
              <w:right w:val="nil"/>
            </w:tcBorders>
            <w:shd w:val="clear" w:color="auto" w:fill="auto"/>
            <w:noWrap/>
            <w:tcMar>
              <w:top w:w="6" w:type="dxa"/>
              <w:bottom w:w="6" w:type="dxa"/>
            </w:tcMar>
          </w:tcPr>
          <w:p w14:paraId="5B1175CD"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7E1202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16.5</w:t>
            </w:r>
          </w:p>
        </w:tc>
        <w:tc>
          <w:tcPr>
            <w:tcW w:w="364" w:type="pct"/>
            <w:tcBorders>
              <w:top w:val="nil"/>
              <w:left w:val="nil"/>
              <w:bottom w:val="nil"/>
              <w:right w:val="nil"/>
            </w:tcBorders>
            <w:shd w:val="clear" w:color="auto" w:fill="auto"/>
            <w:noWrap/>
            <w:tcMar>
              <w:top w:w="6" w:type="dxa"/>
              <w:bottom w:w="6" w:type="dxa"/>
            </w:tcMar>
          </w:tcPr>
          <w:p w14:paraId="229A3F9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11.4</w:t>
            </w:r>
          </w:p>
        </w:tc>
        <w:tc>
          <w:tcPr>
            <w:tcW w:w="363" w:type="pct"/>
            <w:tcBorders>
              <w:top w:val="nil"/>
              <w:left w:val="nil"/>
              <w:bottom w:val="nil"/>
              <w:right w:val="nil"/>
            </w:tcBorders>
            <w:shd w:val="clear" w:color="auto" w:fill="auto"/>
            <w:noWrap/>
            <w:tcMar>
              <w:top w:w="6" w:type="dxa"/>
              <w:bottom w:w="6" w:type="dxa"/>
            </w:tcMar>
          </w:tcPr>
          <w:p w14:paraId="128781F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13</w:t>
            </w:r>
          </w:p>
        </w:tc>
        <w:tc>
          <w:tcPr>
            <w:tcW w:w="418" w:type="pct"/>
            <w:tcBorders>
              <w:top w:val="nil"/>
              <w:left w:val="nil"/>
              <w:bottom w:val="nil"/>
              <w:right w:val="nil"/>
            </w:tcBorders>
            <w:shd w:val="clear" w:color="auto" w:fill="auto"/>
            <w:noWrap/>
            <w:tcMar>
              <w:top w:w="6" w:type="dxa"/>
              <w:bottom w:w="6" w:type="dxa"/>
            </w:tcMar>
          </w:tcPr>
          <w:p w14:paraId="7392AED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13.6</w:t>
            </w:r>
          </w:p>
        </w:tc>
        <w:tc>
          <w:tcPr>
            <w:tcW w:w="151" w:type="pct"/>
            <w:tcBorders>
              <w:top w:val="nil"/>
              <w:left w:val="nil"/>
              <w:bottom w:val="nil"/>
              <w:right w:val="nil"/>
            </w:tcBorders>
            <w:shd w:val="clear" w:color="auto" w:fill="auto"/>
            <w:noWrap/>
            <w:tcMar>
              <w:top w:w="6" w:type="dxa"/>
              <w:bottom w:w="6" w:type="dxa"/>
            </w:tcMar>
          </w:tcPr>
          <w:p w14:paraId="5D4A1F1B"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7F98473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-0.112</w:t>
            </w:r>
          </w:p>
        </w:tc>
        <w:tc>
          <w:tcPr>
            <w:tcW w:w="722" w:type="pct"/>
            <w:tcBorders>
              <w:top w:val="nil"/>
              <w:left w:val="nil"/>
              <w:bottom w:val="nil"/>
              <w:right w:val="nil"/>
            </w:tcBorders>
            <w:shd w:val="clear" w:color="auto" w:fill="auto"/>
            <w:noWrap/>
            <w:tcMar>
              <w:top w:w="6" w:type="dxa"/>
              <w:bottom w:w="6" w:type="dxa"/>
            </w:tcMar>
          </w:tcPr>
          <w:p w14:paraId="0FF1053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5605BC37"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3E5F495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Davao del Norte</w:t>
            </w:r>
          </w:p>
        </w:tc>
        <w:tc>
          <w:tcPr>
            <w:tcW w:w="810" w:type="pct"/>
            <w:tcBorders>
              <w:top w:val="nil"/>
              <w:left w:val="nil"/>
              <w:bottom w:val="nil"/>
              <w:right w:val="nil"/>
            </w:tcBorders>
            <w:shd w:val="clear" w:color="auto" w:fill="auto"/>
            <w:noWrap/>
            <w:tcMar>
              <w:top w:w="6" w:type="dxa"/>
              <w:bottom w:w="6" w:type="dxa"/>
            </w:tcMar>
          </w:tcPr>
          <w:p w14:paraId="688C5A8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DAV</w:t>
            </w:r>
          </w:p>
        </w:tc>
        <w:tc>
          <w:tcPr>
            <w:tcW w:w="150" w:type="pct"/>
            <w:tcBorders>
              <w:top w:val="nil"/>
              <w:left w:val="nil"/>
              <w:bottom w:val="nil"/>
              <w:right w:val="nil"/>
            </w:tcBorders>
            <w:shd w:val="clear" w:color="auto" w:fill="auto"/>
            <w:noWrap/>
            <w:tcMar>
              <w:top w:w="6" w:type="dxa"/>
              <w:bottom w:w="6" w:type="dxa"/>
            </w:tcMar>
          </w:tcPr>
          <w:p w14:paraId="6B7AC0EA"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5F47CE3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24.3</w:t>
            </w:r>
          </w:p>
        </w:tc>
        <w:tc>
          <w:tcPr>
            <w:tcW w:w="364" w:type="pct"/>
            <w:tcBorders>
              <w:top w:val="nil"/>
              <w:left w:val="nil"/>
              <w:bottom w:val="nil"/>
              <w:right w:val="nil"/>
            </w:tcBorders>
            <w:shd w:val="clear" w:color="auto" w:fill="auto"/>
            <w:noWrap/>
            <w:tcMar>
              <w:top w:w="6" w:type="dxa"/>
              <w:bottom w:w="6" w:type="dxa"/>
            </w:tcMar>
          </w:tcPr>
          <w:p w14:paraId="60BEDB8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10.3</w:t>
            </w:r>
          </w:p>
        </w:tc>
        <w:tc>
          <w:tcPr>
            <w:tcW w:w="363" w:type="pct"/>
            <w:tcBorders>
              <w:top w:val="nil"/>
              <w:left w:val="nil"/>
              <w:bottom w:val="nil"/>
              <w:right w:val="nil"/>
            </w:tcBorders>
            <w:shd w:val="clear" w:color="auto" w:fill="auto"/>
            <w:noWrap/>
            <w:tcMar>
              <w:top w:w="6" w:type="dxa"/>
              <w:bottom w:w="6" w:type="dxa"/>
            </w:tcMar>
          </w:tcPr>
          <w:p w14:paraId="14F9028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7.3</w:t>
            </w:r>
          </w:p>
        </w:tc>
        <w:tc>
          <w:tcPr>
            <w:tcW w:w="418" w:type="pct"/>
            <w:tcBorders>
              <w:top w:val="nil"/>
              <w:left w:val="nil"/>
              <w:bottom w:val="nil"/>
              <w:right w:val="nil"/>
            </w:tcBorders>
            <w:shd w:val="clear" w:color="auto" w:fill="auto"/>
            <w:noWrap/>
            <w:tcMar>
              <w:top w:w="6" w:type="dxa"/>
              <w:bottom w:w="6" w:type="dxa"/>
            </w:tcMar>
          </w:tcPr>
          <w:p w14:paraId="2FE2637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14</w:t>
            </w:r>
          </w:p>
        </w:tc>
        <w:tc>
          <w:tcPr>
            <w:tcW w:w="151" w:type="pct"/>
            <w:tcBorders>
              <w:top w:val="nil"/>
              <w:left w:val="nil"/>
              <w:bottom w:val="nil"/>
              <w:right w:val="nil"/>
            </w:tcBorders>
            <w:shd w:val="clear" w:color="auto" w:fill="auto"/>
            <w:noWrap/>
            <w:tcMar>
              <w:top w:w="6" w:type="dxa"/>
              <w:bottom w:w="6" w:type="dxa"/>
            </w:tcMar>
          </w:tcPr>
          <w:p w14:paraId="1B0D7F3B"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6FD6AF1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-0.086</w:t>
            </w:r>
          </w:p>
        </w:tc>
        <w:tc>
          <w:tcPr>
            <w:tcW w:w="722" w:type="pct"/>
            <w:tcBorders>
              <w:top w:val="nil"/>
              <w:left w:val="nil"/>
              <w:bottom w:val="nil"/>
              <w:right w:val="nil"/>
            </w:tcBorders>
            <w:shd w:val="clear" w:color="auto" w:fill="auto"/>
            <w:noWrap/>
            <w:tcMar>
              <w:top w:w="6" w:type="dxa"/>
              <w:bottom w:w="6" w:type="dxa"/>
            </w:tcMar>
          </w:tcPr>
          <w:p w14:paraId="1A08934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72F9C9AC"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35126C2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Davao del Sur</w:t>
            </w:r>
          </w:p>
        </w:tc>
        <w:tc>
          <w:tcPr>
            <w:tcW w:w="810" w:type="pct"/>
            <w:tcBorders>
              <w:top w:val="nil"/>
              <w:left w:val="nil"/>
              <w:bottom w:val="nil"/>
              <w:right w:val="nil"/>
            </w:tcBorders>
            <w:shd w:val="clear" w:color="auto" w:fill="auto"/>
            <w:noWrap/>
            <w:tcMar>
              <w:top w:w="6" w:type="dxa"/>
              <w:bottom w:w="6" w:type="dxa"/>
            </w:tcMar>
          </w:tcPr>
          <w:p w14:paraId="1ECB529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DAS</w:t>
            </w:r>
          </w:p>
        </w:tc>
        <w:tc>
          <w:tcPr>
            <w:tcW w:w="150" w:type="pct"/>
            <w:tcBorders>
              <w:top w:val="nil"/>
              <w:left w:val="nil"/>
              <w:bottom w:val="nil"/>
              <w:right w:val="nil"/>
            </w:tcBorders>
            <w:shd w:val="clear" w:color="auto" w:fill="auto"/>
            <w:noWrap/>
            <w:tcMar>
              <w:top w:w="6" w:type="dxa"/>
              <w:bottom w:w="6" w:type="dxa"/>
            </w:tcMar>
          </w:tcPr>
          <w:p w14:paraId="792CE09E"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9B2053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14.8</w:t>
            </w:r>
          </w:p>
        </w:tc>
        <w:tc>
          <w:tcPr>
            <w:tcW w:w="364" w:type="pct"/>
            <w:tcBorders>
              <w:top w:val="nil"/>
              <w:left w:val="nil"/>
              <w:bottom w:val="nil"/>
              <w:right w:val="nil"/>
            </w:tcBorders>
            <w:shd w:val="clear" w:color="auto" w:fill="auto"/>
            <w:noWrap/>
            <w:tcMar>
              <w:top w:w="6" w:type="dxa"/>
              <w:bottom w:w="6" w:type="dxa"/>
            </w:tcMar>
          </w:tcPr>
          <w:p w14:paraId="4D7EAD2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8.1</w:t>
            </w:r>
          </w:p>
        </w:tc>
        <w:tc>
          <w:tcPr>
            <w:tcW w:w="363" w:type="pct"/>
            <w:tcBorders>
              <w:top w:val="nil"/>
              <w:left w:val="nil"/>
              <w:bottom w:val="nil"/>
              <w:right w:val="nil"/>
            </w:tcBorders>
            <w:shd w:val="clear" w:color="auto" w:fill="auto"/>
            <w:noWrap/>
            <w:tcMar>
              <w:top w:w="6" w:type="dxa"/>
              <w:bottom w:w="6" w:type="dxa"/>
            </w:tcMar>
          </w:tcPr>
          <w:p w14:paraId="0FC678E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7.2</w:t>
            </w:r>
          </w:p>
        </w:tc>
        <w:tc>
          <w:tcPr>
            <w:tcW w:w="418" w:type="pct"/>
            <w:tcBorders>
              <w:top w:val="nil"/>
              <w:left w:val="nil"/>
              <w:bottom w:val="nil"/>
              <w:right w:val="nil"/>
            </w:tcBorders>
            <w:shd w:val="clear" w:color="auto" w:fill="auto"/>
            <w:noWrap/>
            <w:tcMar>
              <w:top w:w="6" w:type="dxa"/>
              <w:bottom w:w="6" w:type="dxa"/>
            </w:tcMar>
          </w:tcPr>
          <w:p w14:paraId="4C1922C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10</w:t>
            </w:r>
          </w:p>
        </w:tc>
        <w:tc>
          <w:tcPr>
            <w:tcW w:w="151" w:type="pct"/>
            <w:tcBorders>
              <w:top w:val="nil"/>
              <w:left w:val="nil"/>
              <w:bottom w:val="nil"/>
              <w:right w:val="nil"/>
            </w:tcBorders>
            <w:shd w:val="clear" w:color="auto" w:fill="auto"/>
            <w:noWrap/>
            <w:tcMar>
              <w:top w:w="6" w:type="dxa"/>
              <w:bottom w:w="6" w:type="dxa"/>
            </w:tcMar>
          </w:tcPr>
          <w:p w14:paraId="7B58764C"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0BBF366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-0.086</w:t>
            </w:r>
          </w:p>
        </w:tc>
        <w:tc>
          <w:tcPr>
            <w:tcW w:w="722" w:type="pct"/>
            <w:tcBorders>
              <w:top w:val="nil"/>
              <w:left w:val="nil"/>
              <w:bottom w:val="nil"/>
              <w:right w:val="nil"/>
            </w:tcBorders>
            <w:shd w:val="clear" w:color="auto" w:fill="auto"/>
            <w:noWrap/>
            <w:tcMar>
              <w:top w:w="6" w:type="dxa"/>
              <w:bottom w:w="6" w:type="dxa"/>
            </w:tcMar>
          </w:tcPr>
          <w:p w14:paraId="4197ADF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65265EA1"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73BACFB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Davao Oriental</w:t>
            </w:r>
          </w:p>
        </w:tc>
        <w:tc>
          <w:tcPr>
            <w:tcW w:w="810" w:type="pct"/>
            <w:tcBorders>
              <w:top w:val="nil"/>
              <w:left w:val="nil"/>
              <w:bottom w:val="nil"/>
              <w:right w:val="nil"/>
            </w:tcBorders>
            <w:shd w:val="clear" w:color="auto" w:fill="auto"/>
            <w:noWrap/>
            <w:tcMar>
              <w:top w:w="6" w:type="dxa"/>
              <w:bottom w:w="6" w:type="dxa"/>
            </w:tcMar>
          </w:tcPr>
          <w:p w14:paraId="60C029B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DAO</w:t>
            </w:r>
          </w:p>
        </w:tc>
        <w:tc>
          <w:tcPr>
            <w:tcW w:w="150" w:type="pct"/>
            <w:tcBorders>
              <w:top w:val="nil"/>
              <w:left w:val="nil"/>
              <w:bottom w:val="nil"/>
              <w:right w:val="nil"/>
            </w:tcBorders>
            <w:shd w:val="clear" w:color="auto" w:fill="auto"/>
            <w:noWrap/>
            <w:tcMar>
              <w:top w:w="6" w:type="dxa"/>
              <w:bottom w:w="6" w:type="dxa"/>
            </w:tcMar>
          </w:tcPr>
          <w:p w14:paraId="470CA01A"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A66EAC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22.5</w:t>
            </w:r>
          </w:p>
        </w:tc>
        <w:tc>
          <w:tcPr>
            <w:tcW w:w="364" w:type="pct"/>
            <w:tcBorders>
              <w:top w:val="nil"/>
              <w:left w:val="nil"/>
              <w:bottom w:val="nil"/>
              <w:right w:val="nil"/>
            </w:tcBorders>
            <w:shd w:val="clear" w:color="auto" w:fill="auto"/>
            <w:noWrap/>
            <w:tcMar>
              <w:top w:w="6" w:type="dxa"/>
              <w:bottom w:w="6" w:type="dxa"/>
            </w:tcMar>
          </w:tcPr>
          <w:p w14:paraId="6948916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27.7</w:t>
            </w:r>
          </w:p>
        </w:tc>
        <w:tc>
          <w:tcPr>
            <w:tcW w:w="363" w:type="pct"/>
            <w:tcBorders>
              <w:top w:val="nil"/>
              <w:left w:val="nil"/>
              <w:bottom w:val="nil"/>
              <w:right w:val="nil"/>
            </w:tcBorders>
            <w:shd w:val="clear" w:color="auto" w:fill="auto"/>
            <w:noWrap/>
            <w:tcMar>
              <w:top w:w="6" w:type="dxa"/>
              <w:bottom w:w="6" w:type="dxa"/>
            </w:tcMar>
          </w:tcPr>
          <w:p w14:paraId="1FFF0B7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21.8</w:t>
            </w:r>
          </w:p>
        </w:tc>
        <w:tc>
          <w:tcPr>
            <w:tcW w:w="418" w:type="pct"/>
            <w:tcBorders>
              <w:top w:val="nil"/>
              <w:left w:val="nil"/>
              <w:bottom w:val="nil"/>
              <w:right w:val="nil"/>
            </w:tcBorders>
            <w:shd w:val="clear" w:color="auto" w:fill="auto"/>
            <w:noWrap/>
            <w:tcMar>
              <w:top w:w="6" w:type="dxa"/>
              <w:bottom w:w="6" w:type="dxa"/>
            </w:tcMar>
          </w:tcPr>
          <w:p w14:paraId="16678F0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24</w:t>
            </w:r>
          </w:p>
        </w:tc>
        <w:tc>
          <w:tcPr>
            <w:tcW w:w="151" w:type="pct"/>
            <w:tcBorders>
              <w:top w:val="nil"/>
              <w:left w:val="nil"/>
              <w:bottom w:val="nil"/>
              <w:right w:val="nil"/>
            </w:tcBorders>
            <w:shd w:val="clear" w:color="auto" w:fill="auto"/>
            <w:noWrap/>
            <w:tcMar>
              <w:top w:w="6" w:type="dxa"/>
              <w:bottom w:w="6" w:type="dxa"/>
            </w:tcMar>
          </w:tcPr>
          <w:p w14:paraId="1DE7AFC1"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5C4E444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-0.125</w:t>
            </w:r>
          </w:p>
        </w:tc>
        <w:tc>
          <w:tcPr>
            <w:tcW w:w="722" w:type="pct"/>
            <w:tcBorders>
              <w:top w:val="nil"/>
              <w:left w:val="nil"/>
              <w:bottom w:val="nil"/>
              <w:right w:val="nil"/>
            </w:tcBorders>
            <w:shd w:val="clear" w:color="auto" w:fill="auto"/>
            <w:noWrap/>
            <w:tcMar>
              <w:top w:w="6" w:type="dxa"/>
              <w:bottom w:w="6" w:type="dxa"/>
            </w:tcMar>
          </w:tcPr>
          <w:p w14:paraId="419DFE0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496B0C30"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0C09206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Cotabato</w:t>
            </w:r>
          </w:p>
        </w:tc>
        <w:tc>
          <w:tcPr>
            <w:tcW w:w="810" w:type="pct"/>
            <w:tcBorders>
              <w:top w:val="nil"/>
              <w:left w:val="nil"/>
              <w:bottom w:val="nil"/>
              <w:right w:val="nil"/>
            </w:tcBorders>
            <w:shd w:val="clear" w:color="auto" w:fill="auto"/>
            <w:noWrap/>
            <w:tcMar>
              <w:top w:w="6" w:type="dxa"/>
              <w:bottom w:w="6" w:type="dxa"/>
            </w:tcMar>
          </w:tcPr>
          <w:p w14:paraId="552CE80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NCO</w:t>
            </w:r>
          </w:p>
        </w:tc>
        <w:tc>
          <w:tcPr>
            <w:tcW w:w="150" w:type="pct"/>
            <w:tcBorders>
              <w:top w:val="nil"/>
              <w:left w:val="nil"/>
              <w:bottom w:val="nil"/>
              <w:right w:val="nil"/>
            </w:tcBorders>
            <w:shd w:val="clear" w:color="auto" w:fill="auto"/>
            <w:noWrap/>
            <w:tcMar>
              <w:top w:w="6" w:type="dxa"/>
              <w:bottom w:w="6" w:type="dxa"/>
            </w:tcMar>
          </w:tcPr>
          <w:p w14:paraId="36CF5CB8"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C24CD7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36.5</w:t>
            </w:r>
          </w:p>
        </w:tc>
        <w:tc>
          <w:tcPr>
            <w:tcW w:w="364" w:type="pct"/>
            <w:tcBorders>
              <w:top w:val="nil"/>
              <w:left w:val="nil"/>
              <w:bottom w:val="nil"/>
              <w:right w:val="nil"/>
            </w:tcBorders>
            <w:shd w:val="clear" w:color="auto" w:fill="auto"/>
            <w:noWrap/>
            <w:tcMar>
              <w:top w:w="6" w:type="dxa"/>
              <w:bottom w:w="6" w:type="dxa"/>
            </w:tcMar>
          </w:tcPr>
          <w:p w14:paraId="3AEA56A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23.6</w:t>
            </w:r>
          </w:p>
        </w:tc>
        <w:tc>
          <w:tcPr>
            <w:tcW w:w="363" w:type="pct"/>
            <w:tcBorders>
              <w:top w:val="nil"/>
              <w:left w:val="nil"/>
              <w:bottom w:val="nil"/>
              <w:right w:val="nil"/>
            </w:tcBorders>
            <w:shd w:val="clear" w:color="auto" w:fill="auto"/>
            <w:noWrap/>
            <w:tcMar>
              <w:top w:w="6" w:type="dxa"/>
              <w:bottom w:w="6" w:type="dxa"/>
            </w:tcMar>
          </w:tcPr>
          <w:p w14:paraId="4B0AD5A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23.6</w:t>
            </w:r>
          </w:p>
        </w:tc>
        <w:tc>
          <w:tcPr>
            <w:tcW w:w="418" w:type="pct"/>
            <w:tcBorders>
              <w:top w:val="nil"/>
              <w:left w:val="nil"/>
              <w:bottom w:val="nil"/>
              <w:right w:val="nil"/>
            </w:tcBorders>
            <w:shd w:val="clear" w:color="auto" w:fill="auto"/>
            <w:noWrap/>
            <w:tcMar>
              <w:top w:w="6" w:type="dxa"/>
              <w:bottom w:w="6" w:type="dxa"/>
            </w:tcMar>
          </w:tcPr>
          <w:p w14:paraId="79B4309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27.9</w:t>
            </w:r>
          </w:p>
        </w:tc>
        <w:tc>
          <w:tcPr>
            <w:tcW w:w="151" w:type="pct"/>
            <w:tcBorders>
              <w:top w:val="nil"/>
              <w:left w:val="nil"/>
              <w:bottom w:val="nil"/>
              <w:right w:val="nil"/>
            </w:tcBorders>
            <w:shd w:val="clear" w:color="auto" w:fill="auto"/>
            <w:noWrap/>
            <w:tcMar>
              <w:top w:w="6" w:type="dxa"/>
              <w:bottom w:w="6" w:type="dxa"/>
            </w:tcMar>
          </w:tcPr>
          <w:p w14:paraId="10B96D39"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349FDF2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-0.062</w:t>
            </w:r>
          </w:p>
        </w:tc>
        <w:tc>
          <w:tcPr>
            <w:tcW w:w="722" w:type="pct"/>
            <w:tcBorders>
              <w:top w:val="nil"/>
              <w:left w:val="nil"/>
              <w:bottom w:val="nil"/>
              <w:right w:val="nil"/>
            </w:tcBorders>
            <w:shd w:val="clear" w:color="auto" w:fill="auto"/>
            <w:noWrap/>
            <w:tcMar>
              <w:top w:w="6" w:type="dxa"/>
              <w:bottom w:w="6" w:type="dxa"/>
            </w:tcMar>
          </w:tcPr>
          <w:p w14:paraId="743FAA0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540DC31F"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ABF5D1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Sarangani</w:t>
            </w:r>
          </w:p>
        </w:tc>
        <w:tc>
          <w:tcPr>
            <w:tcW w:w="810" w:type="pct"/>
            <w:tcBorders>
              <w:top w:val="nil"/>
              <w:left w:val="nil"/>
              <w:bottom w:val="nil"/>
              <w:right w:val="nil"/>
            </w:tcBorders>
            <w:shd w:val="clear" w:color="auto" w:fill="auto"/>
            <w:noWrap/>
            <w:tcMar>
              <w:top w:w="6" w:type="dxa"/>
              <w:bottom w:w="6" w:type="dxa"/>
            </w:tcMar>
          </w:tcPr>
          <w:p w14:paraId="0A62F20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SAR</w:t>
            </w:r>
          </w:p>
        </w:tc>
        <w:tc>
          <w:tcPr>
            <w:tcW w:w="150" w:type="pct"/>
            <w:tcBorders>
              <w:top w:val="nil"/>
              <w:left w:val="nil"/>
              <w:bottom w:val="nil"/>
              <w:right w:val="nil"/>
            </w:tcBorders>
            <w:shd w:val="clear" w:color="auto" w:fill="auto"/>
            <w:noWrap/>
            <w:tcMar>
              <w:top w:w="6" w:type="dxa"/>
              <w:bottom w:w="6" w:type="dxa"/>
            </w:tcMar>
          </w:tcPr>
          <w:p w14:paraId="10ECCD7E"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67941C6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45.2</w:t>
            </w:r>
          </w:p>
        </w:tc>
        <w:tc>
          <w:tcPr>
            <w:tcW w:w="364" w:type="pct"/>
            <w:tcBorders>
              <w:top w:val="nil"/>
              <w:left w:val="nil"/>
              <w:bottom w:val="nil"/>
              <w:right w:val="nil"/>
            </w:tcBorders>
            <w:shd w:val="clear" w:color="auto" w:fill="auto"/>
            <w:noWrap/>
            <w:tcMar>
              <w:top w:w="6" w:type="dxa"/>
              <w:bottom w:w="6" w:type="dxa"/>
            </w:tcMar>
          </w:tcPr>
          <w:p w14:paraId="3812C67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36.1</w:t>
            </w:r>
          </w:p>
        </w:tc>
        <w:tc>
          <w:tcPr>
            <w:tcW w:w="363" w:type="pct"/>
            <w:tcBorders>
              <w:top w:val="nil"/>
              <w:left w:val="nil"/>
              <w:bottom w:val="nil"/>
              <w:right w:val="nil"/>
            </w:tcBorders>
            <w:shd w:val="clear" w:color="auto" w:fill="auto"/>
            <w:noWrap/>
            <w:tcMar>
              <w:top w:w="6" w:type="dxa"/>
              <w:bottom w:w="6" w:type="dxa"/>
            </w:tcMar>
          </w:tcPr>
          <w:p w14:paraId="43552A7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33.5</w:t>
            </w:r>
          </w:p>
        </w:tc>
        <w:tc>
          <w:tcPr>
            <w:tcW w:w="418" w:type="pct"/>
            <w:tcBorders>
              <w:top w:val="nil"/>
              <w:left w:val="nil"/>
              <w:bottom w:val="nil"/>
              <w:right w:val="nil"/>
            </w:tcBorders>
            <w:shd w:val="clear" w:color="auto" w:fill="auto"/>
            <w:noWrap/>
            <w:tcMar>
              <w:top w:w="6" w:type="dxa"/>
              <w:bottom w:w="6" w:type="dxa"/>
            </w:tcMar>
          </w:tcPr>
          <w:p w14:paraId="354AB92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38.3</w:t>
            </w:r>
          </w:p>
        </w:tc>
        <w:tc>
          <w:tcPr>
            <w:tcW w:w="151" w:type="pct"/>
            <w:tcBorders>
              <w:top w:val="nil"/>
              <w:left w:val="nil"/>
              <w:bottom w:val="nil"/>
              <w:right w:val="nil"/>
            </w:tcBorders>
            <w:shd w:val="clear" w:color="auto" w:fill="auto"/>
            <w:noWrap/>
            <w:tcMar>
              <w:top w:w="6" w:type="dxa"/>
              <w:bottom w:w="6" w:type="dxa"/>
            </w:tcMar>
          </w:tcPr>
          <w:p w14:paraId="0EAEB1B1"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5EE38B9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-0.133</w:t>
            </w:r>
          </w:p>
        </w:tc>
        <w:tc>
          <w:tcPr>
            <w:tcW w:w="722" w:type="pct"/>
            <w:tcBorders>
              <w:top w:val="nil"/>
              <w:left w:val="nil"/>
              <w:bottom w:val="nil"/>
              <w:right w:val="nil"/>
            </w:tcBorders>
            <w:shd w:val="clear" w:color="auto" w:fill="auto"/>
            <w:noWrap/>
            <w:tcMar>
              <w:top w:w="6" w:type="dxa"/>
              <w:bottom w:w="6" w:type="dxa"/>
            </w:tcMar>
          </w:tcPr>
          <w:p w14:paraId="5A6E49B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4944A784"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2F03627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South Cotabato</w:t>
            </w:r>
          </w:p>
        </w:tc>
        <w:tc>
          <w:tcPr>
            <w:tcW w:w="810" w:type="pct"/>
            <w:tcBorders>
              <w:top w:val="nil"/>
              <w:left w:val="nil"/>
              <w:bottom w:val="nil"/>
              <w:right w:val="nil"/>
            </w:tcBorders>
            <w:shd w:val="clear" w:color="auto" w:fill="auto"/>
            <w:noWrap/>
            <w:tcMar>
              <w:top w:w="6" w:type="dxa"/>
              <w:bottom w:w="6" w:type="dxa"/>
            </w:tcMar>
          </w:tcPr>
          <w:p w14:paraId="2FE53FC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SCO</w:t>
            </w:r>
          </w:p>
        </w:tc>
        <w:tc>
          <w:tcPr>
            <w:tcW w:w="150" w:type="pct"/>
            <w:tcBorders>
              <w:top w:val="nil"/>
              <w:left w:val="nil"/>
              <w:bottom w:val="nil"/>
              <w:right w:val="nil"/>
            </w:tcBorders>
            <w:shd w:val="clear" w:color="auto" w:fill="auto"/>
            <w:noWrap/>
            <w:tcMar>
              <w:top w:w="6" w:type="dxa"/>
              <w:bottom w:w="6" w:type="dxa"/>
            </w:tcMar>
          </w:tcPr>
          <w:p w14:paraId="08CC9940"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2C1FEB9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18.3</w:t>
            </w:r>
          </w:p>
        </w:tc>
        <w:tc>
          <w:tcPr>
            <w:tcW w:w="364" w:type="pct"/>
            <w:tcBorders>
              <w:top w:val="nil"/>
              <w:left w:val="nil"/>
              <w:bottom w:val="nil"/>
              <w:right w:val="nil"/>
            </w:tcBorders>
            <w:shd w:val="clear" w:color="auto" w:fill="auto"/>
            <w:noWrap/>
            <w:tcMar>
              <w:top w:w="6" w:type="dxa"/>
              <w:bottom w:w="6" w:type="dxa"/>
            </w:tcMar>
          </w:tcPr>
          <w:p w14:paraId="5F9CDFC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13.7</w:t>
            </w:r>
          </w:p>
        </w:tc>
        <w:tc>
          <w:tcPr>
            <w:tcW w:w="363" w:type="pct"/>
            <w:tcBorders>
              <w:top w:val="nil"/>
              <w:left w:val="nil"/>
              <w:bottom w:val="nil"/>
              <w:right w:val="nil"/>
            </w:tcBorders>
            <w:shd w:val="clear" w:color="auto" w:fill="auto"/>
            <w:noWrap/>
            <w:tcMar>
              <w:top w:w="6" w:type="dxa"/>
              <w:bottom w:w="6" w:type="dxa"/>
            </w:tcMar>
          </w:tcPr>
          <w:p w14:paraId="2042E2A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12.8</w:t>
            </w:r>
          </w:p>
        </w:tc>
        <w:tc>
          <w:tcPr>
            <w:tcW w:w="418" w:type="pct"/>
            <w:tcBorders>
              <w:top w:val="nil"/>
              <w:left w:val="nil"/>
              <w:bottom w:val="nil"/>
              <w:right w:val="nil"/>
            </w:tcBorders>
            <w:shd w:val="clear" w:color="auto" w:fill="auto"/>
            <w:noWrap/>
            <w:tcMar>
              <w:top w:w="6" w:type="dxa"/>
              <w:bottom w:w="6" w:type="dxa"/>
            </w:tcMar>
          </w:tcPr>
          <w:p w14:paraId="40FD6A4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14.9</w:t>
            </w:r>
          </w:p>
        </w:tc>
        <w:tc>
          <w:tcPr>
            <w:tcW w:w="151" w:type="pct"/>
            <w:tcBorders>
              <w:top w:val="nil"/>
              <w:left w:val="nil"/>
              <w:bottom w:val="nil"/>
              <w:right w:val="nil"/>
            </w:tcBorders>
            <w:shd w:val="clear" w:color="auto" w:fill="auto"/>
            <w:noWrap/>
            <w:tcMar>
              <w:top w:w="6" w:type="dxa"/>
              <w:bottom w:w="6" w:type="dxa"/>
            </w:tcMar>
          </w:tcPr>
          <w:p w14:paraId="54E2B7DA"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18B3F76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-0.114</w:t>
            </w:r>
          </w:p>
        </w:tc>
        <w:tc>
          <w:tcPr>
            <w:tcW w:w="722" w:type="pct"/>
            <w:tcBorders>
              <w:top w:val="nil"/>
              <w:left w:val="nil"/>
              <w:bottom w:val="nil"/>
              <w:right w:val="nil"/>
            </w:tcBorders>
            <w:shd w:val="clear" w:color="auto" w:fill="auto"/>
            <w:noWrap/>
            <w:tcMar>
              <w:top w:w="6" w:type="dxa"/>
              <w:bottom w:w="6" w:type="dxa"/>
            </w:tcMar>
          </w:tcPr>
          <w:p w14:paraId="4B2799D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4894FFF6"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69DB3C7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Agusan del Norte </w:t>
            </w:r>
          </w:p>
        </w:tc>
        <w:tc>
          <w:tcPr>
            <w:tcW w:w="810" w:type="pct"/>
            <w:tcBorders>
              <w:top w:val="nil"/>
              <w:left w:val="nil"/>
              <w:bottom w:val="nil"/>
              <w:right w:val="nil"/>
            </w:tcBorders>
            <w:shd w:val="clear" w:color="auto" w:fill="auto"/>
            <w:noWrap/>
            <w:tcMar>
              <w:top w:w="6" w:type="dxa"/>
              <w:bottom w:w="6" w:type="dxa"/>
            </w:tcMar>
          </w:tcPr>
          <w:p w14:paraId="1AAB359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AGN</w:t>
            </w:r>
          </w:p>
        </w:tc>
        <w:tc>
          <w:tcPr>
            <w:tcW w:w="150" w:type="pct"/>
            <w:tcBorders>
              <w:top w:val="nil"/>
              <w:left w:val="nil"/>
              <w:bottom w:val="nil"/>
              <w:right w:val="nil"/>
            </w:tcBorders>
            <w:shd w:val="clear" w:color="auto" w:fill="auto"/>
            <w:noWrap/>
            <w:tcMar>
              <w:top w:w="6" w:type="dxa"/>
              <w:bottom w:w="6" w:type="dxa"/>
            </w:tcMar>
          </w:tcPr>
          <w:p w14:paraId="35348B19"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3BC9075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25.8</w:t>
            </w:r>
          </w:p>
        </w:tc>
        <w:tc>
          <w:tcPr>
            <w:tcW w:w="364" w:type="pct"/>
            <w:tcBorders>
              <w:top w:val="nil"/>
              <w:left w:val="nil"/>
              <w:bottom w:val="nil"/>
              <w:right w:val="nil"/>
            </w:tcBorders>
            <w:shd w:val="clear" w:color="auto" w:fill="auto"/>
            <w:noWrap/>
            <w:tcMar>
              <w:top w:w="6" w:type="dxa"/>
              <w:bottom w:w="6" w:type="dxa"/>
            </w:tcMar>
          </w:tcPr>
          <w:p w14:paraId="2A2C46F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18.9</w:t>
            </w:r>
          </w:p>
        </w:tc>
        <w:tc>
          <w:tcPr>
            <w:tcW w:w="363" w:type="pct"/>
            <w:tcBorders>
              <w:top w:val="nil"/>
              <w:left w:val="nil"/>
              <w:bottom w:val="nil"/>
              <w:right w:val="nil"/>
            </w:tcBorders>
            <w:shd w:val="clear" w:color="auto" w:fill="auto"/>
            <w:noWrap/>
            <w:tcMar>
              <w:top w:w="6" w:type="dxa"/>
              <w:bottom w:w="6" w:type="dxa"/>
            </w:tcMar>
          </w:tcPr>
          <w:p w14:paraId="7FAC275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23.5</w:t>
            </w:r>
          </w:p>
        </w:tc>
        <w:tc>
          <w:tcPr>
            <w:tcW w:w="418" w:type="pct"/>
            <w:tcBorders>
              <w:top w:val="nil"/>
              <w:left w:val="nil"/>
              <w:bottom w:val="nil"/>
              <w:right w:val="nil"/>
            </w:tcBorders>
            <w:shd w:val="clear" w:color="auto" w:fill="auto"/>
            <w:noWrap/>
            <w:tcMar>
              <w:top w:w="6" w:type="dxa"/>
              <w:bottom w:w="6" w:type="dxa"/>
            </w:tcMar>
          </w:tcPr>
          <w:p w14:paraId="0A6DD66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22.7</w:t>
            </w:r>
          </w:p>
        </w:tc>
        <w:tc>
          <w:tcPr>
            <w:tcW w:w="151" w:type="pct"/>
            <w:tcBorders>
              <w:top w:val="nil"/>
              <w:left w:val="nil"/>
              <w:bottom w:val="nil"/>
              <w:right w:val="nil"/>
            </w:tcBorders>
            <w:shd w:val="clear" w:color="auto" w:fill="auto"/>
            <w:noWrap/>
            <w:tcMar>
              <w:top w:w="6" w:type="dxa"/>
              <w:bottom w:w="6" w:type="dxa"/>
            </w:tcMar>
          </w:tcPr>
          <w:p w14:paraId="32C6DDE6"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123B880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-0.075</w:t>
            </w:r>
          </w:p>
        </w:tc>
        <w:tc>
          <w:tcPr>
            <w:tcW w:w="722" w:type="pct"/>
            <w:tcBorders>
              <w:top w:val="nil"/>
              <w:left w:val="nil"/>
              <w:bottom w:val="nil"/>
              <w:right w:val="nil"/>
            </w:tcBorders>
            <w:shd w:val="clear" w:color="auto" w:fill="auto"/>
            <w:noWrap/>
            <w:tcMar>
              <w:top w:w="6" w:type="dxa"/>
              <w:bottom w:w="6" w:type="dxa"/>
            </w:tcMar>
          </w:tcPr>
          <w:p w14:paraId="10DEA60D"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4D36D688"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172C65E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Agusan del Sur</w:t>
            </w:r>
          </w:p>
        </w:tc>
        <w:tc>
          <w:tcPr>
            <w:tcW w:w="810" w:type="pct"/>
            <w:tcBorders>
              <w:top w:val="nil"/>
              <w:left w:val="nil"/>
              <w:bottom w:val="nil"/>
              <w:right w:val="nil"/>
            </w:tcBorders>
            <w:shd w:val="clear" w:color="auto" w:fill="auto"/>
            <w:noWrap/>
            <w:tcMar>
              <w:top w:w="6" w:type="dxa"/>
              <w:bottom w:w="6" w:type="dxa"/>
            </w:tcMar>
          </w:tcPr>
          <w:p w14:paraId="1D4DE0C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AGS</w:t>
            </w:r>
          </w:p>
        </w:tc>
        <w:tc>
          <w:tcPr>
            <w:tcW w:w="150" w:type="pct"/>
            <w:tcBorders>
              <w:top w:val="nil"/>
              <w:left w:val="nil"/>
              <w:bottom w:val="nil"/>
              <w:right w:val="nil"/>
            </w:tcBorders>
            <w:shd w:val="clear" w:color="auto" w:fill="auto"/>
            <w:noWrap/>
            <w:tcMar>
              <w:top w:w="6" w:type="dxa"/>
              <w:bottom w:w="6" w:type="dxa"/>
            </w:tcMar>
          </w:tcPr>
          <w:p w14:paraId="4FB4086E"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48B4464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37.5</w:t>
            </w:r>
          </w:p>
        </w:tc>
        <w:tc>
          <w:tcPr>
            <w:tcW w:w="364" w:type="pct"/>
            <w:tcBorders>
              <w:top w:val="nil"/>
              <w:left w:val="nil"/>
              <w:bottom w:val="nil"/>
              <w:right w:val="nil"/>
            </w:tcBorders>
            <w:shd w:val="clear" w:color="auto" w:fill="auto"/>
            <w:noWrap/>
            <w:tcMar>
              <w:top w:w="6" w:type="dxa"/>
              <w:bottom w:w="6" w:type="dxa"/>
            </w:tcMar>
          </w:tcPr>
          <w:p w14:paraId="46F8848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30.6</w:t>
            </w:r>
          </w:p>
        </w:tc>
        <w:tc>
          <w:tcPr>
            <w:tcW w:w="363" w:type="pct"/>
            <w:tcBorders>
              <w:top w:val="nil"/>
              <w:left w:val="nil"/>
              <w:bottom w:val="nil"/>
              <w:right w:val="nil"/>
            </w:tcBorders>
            <w:shd w:val="clear" w:color="auto" w:fill="auto"/>
            <w:noWrap/>
            <w:tcMar>
              <w:top w:w="6" w:type="dxa"/>
              <w:bottom w:w="6" w:type="dxa"/>
            </w:tcMar>
          </w:tcPr>
          <w:p w14:paraId="4701297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33.4</w:t>
            </w:r>
          </w:p>
        </w:tc>
        <w:tc>
          <w:tcPr>
            <w:tcW w:w="418" w:type="pct"/>
            <w:tcBorders>
              <w:top w:val="nil"/>
              <w:left w:val="nil"/>
              <w:bottom w:val="nil"/>
              <w:right w:val="nil"/>
            </w:tcBorders>
            <w:shd w:val="clear" w:color="auto" w:fill="auto"/>
            <w:noWrap/>
            <w:tcMar>
              <w:top w:w="6" w:type="dxa"/>
              <w:bottom w:w="6" w:type="dxa"/>
            </w:tcMar>
          </w:tcPr>
          <w:p w14:paraId="12A0FF8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33.8</w:t>
            </w:r>
          </w:p>
        </w:tc>
        <w:tc>
          <w:tcPr>
            <w:tcW w:w="151" w:type="pct"/>
            <w:tcBorders>
              <w:top w:val="nil"/>
              <w:left w:val="nil"/>
              <w:bottom w:val="nil"/>
              <w:right w:val="nil"/>
            </w:tcBorders>
            <w:shd w:val="clear" w:color="auto" w:fill="auto"/>
            <w:noWrap/>
            <w:tcMar>
              <w:top w:w="6" w:type="dxa"/>
              <w:bottom w:w="6" w:type="dxa"/>
            </w:tcMar>
          </w:tcPr>
          <w:p w14:paraId="45774EC2"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0D15403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-0.065</w:t>
            </w:r>
          </w:p>
        </w:tc>
        <w:tc>
          <w:tcPr>
            <w:tcW w:w="722" w:type="pct"/>
            <w:tcBorders>
              <w:top w:val="nil"/>
              <w:left w:val="nil"/>
              <w:bottom w:val="nil"/>
              <w:right w:val="nil"/>
            </w:tcBorders>
            <w:shd w:val="clear" w:color="auto" w:fill="auto"/>
            <w:noWrap/>
            <w:tcMar>
              <w:top w:w="6" w:type="dxa"/>
              <w:bottom w:w="6" w:type="dxa"/>
            </w:tcMar>
          </w:tcPr>
          <w:p w14:paraId="034D72B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0995BDE2"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4BD1098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Surigao Del Norte</w:t>
            </w:r>
          </w:p>
        </w:tc>
        <w:tc>
          <w:tcPr>
            <w:tcW w:w="810" w:type="pct"/>
            <w:tcBorders>
              <w:top w:val="nil"/>
              <w:left w:val="nil"/>
              <w:bottom w:val="nil"/>
              <w:right w:val="nil"/>
            </w:tcBorders>
            <w:shd w:val="clear" w:color="auto" w:fill="auto"/>
            <w:noWrap/>
            <w:tcMar>
              <w:top w:w="6" w:type="dxa"/>
              <w:bottom w:w="6" w:type="dxa"/>
            </w:tcMar>
          </w:tcPr>
          <w:p w14:paraId="2D66928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SUN</w:t>
            </w:r>
          </w:p>
        </w:tc>
        <w:tc>
          <w:tcPr>
            <w:tcW w:w="150" w:type="pct"/>
            <w:tcBorders>
              <w:top w:val="nil"/>
              <w:left w:val="nil"/>
              <w:bottom w:val="nil"/>
              <w:right w:val="nil"/>
            </w:tcBorders>
            <w:shd w:val="clear" w:color="auto" w:fill="auto"/>
            <w:noWrap/>
            <w:tcMar>
              <w:top w:w="6" w:type="dxa"/>
              <w:bottom w:w="6" w:type="dxa"/>
            </w:tcMar>
          </w:tcPr>
          <w:p w14:paraId="530EFCE9"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01094A4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28.8</w:t>
            </w:r>
          </w:p>
        </w:tc>
        <w:tc>
          <w:tcPr>
            <w:tcW w:w="364" w:type="pct"/>
            <w:tcBorders>
              <w:top w:val="nil"/>
              <w:left w:val="nil"/>
              <w:bottom w:val="nil"/>
              <w:right w:val="nil"/>
            </w:tcBorders>
            <w:shd w:val="clear" w:color="auto" w:fill="auto"/>
            <w:noWrap/>
            <w:tcMar>
              <w:top w:w="6" w:type="dxa"/>
              <w:bottom w:w="6" w:type="dxa"/>
            </w:tcMar>
          </w:tcPr>
          <w:p w14:paraId="5C72E17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27.7</w:t>
            </w:r>
          </w:p>
        </w:tc>
        <w:tc>
          <w:tcPr>
            <w:tcW w:w="363" w:type="pct"/>
            <w:tcBorders>
              <w:top w:val="nil"/>
              <w:left w:val="nil"/>
              <w:bottom w:val="nil"/>
              <w:right w:val="nil"/>
            </w:tcBorders>
            <w:shd w:val="clear" w:color="auto" w:fill="auto"/>
            <w:noWrap/>
            <w:tcMar>
              <w:top w:w="6" w:type="dxa"/>
              <w:bottom w:w="6" w:type="dxa"/>
            </w:tcMar>
          </w:tcPr>
          <w:p w14:paraId="3E3FF54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21.2</w:t>
            </w:r>
          </w:p>
        </w:tc>
        <w:tc>
          <w:tcPr>
            <w:tcW w:w="418" w:type="pct"/>
            <w:tcBorders>
              <w:top w:val="nil"/>
              <w:left w:val="nil"/>
              <w:bottom w:val="nil"/>
              <w:right w:val="nil"/>
            </w:tcBorders>
            <w:shd w:val="clear" w:color="auto" w:fill="auto"/>
            <w:noWrap/>
            <w:tcMar>
              <w:top w:w="6" w:type="dxa"/>
              <w:bottom w:w="6" w:type="dxa"/>
            </w:tcMar>
          </w:tcPr>
          <w:p w14:paraId="36B2B8A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25.9</w:t>
            </w:r>
          </w:p>
        </w:tc>
        <w:tc>
          <w:tcPr>
            <w:tcW w:w="151" w:type="pct"/>
            <w:tcBorders>
              <w:top w:val="nil"/>
              <w:left w:val="nil"/>
              <w:bottom w:val="nil"/>
              <w:right w:val="nil"/>
            </w:tcBorders>
            <w:shd w:val="clear" w:color="auto" w:fill="auto"/>
            <w:noWrap/>
            <w:tcMar>
              <w:top w:w="6" w:type="dxa"/>
              <w:bottom w:w="6" w:type="dxa"/>
            </w:tcMar>
          </w:tcPr>
          <w:p w14:paraId="0162E086"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494C1FD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-0.146</w:t>
            </w:r>
          </w:p>
        </w:tc>
        <w:tc>
          <w:tcPr>
            <w:tcW w:w="722" w:type="pct"/>
            <w:tcBorders>
              <w:top w:val="nil"/>
              <w:left w:val="nil"/>
              <w:bottom w:val="nil"/>
              <w:right w:val="nil"/>
            </w:tcBorders>
            <w:shd w:val="clear" w:color="auto" w:fill="auto"/>
            <w:noWrap/>
            <w:tcMar>
              <w:top w:w="6" w:type="dxa"/>
              <w:bottom w:w="6" w:type="dxa"/>
            </w:tcMar>
          </w:tcPr>
          <w:p w14:paraId="086E469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332CC5D0"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50A24A16"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Surigao Del Sur </w:t>
            </w:r>
          </w:p>
        </w:tc>
        <w:tc>
          <w:tcPr>
            <w:tcW w:w="810" w:type="pct"/>
            <w:tcBorders>
              <w:top w:val="nil"/>
              <w:left w:val="nil"/>
              <w:bottom w:val="nil"/>
              <w:right w:val="nil"/>
            </w:tcBorders>
            <w:shd w:val="clear" w:color="auto" w:fill="auto"/>
            <w:noWrap/>
            <w:tcMar>
              <w:top w:w="6" w:type="dxa"/>
              <w:bottom w:w="6" w:type="dxa"/>
            </w:tcMar>
          </w:tcPr>
          <w:p w14:paraId="7D0116A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SUR</w:t>
            </w:r>
          </w:p>
        </w:tc>
        <w:tc>
          <w:tcPr>
            <w:tcW w:w="150" w:type="pct"/>
            <w:tcBorders>
              <w:top w:val="nil"/>
              <w:left w:val="nil"/>
              <w:bottom w:val="nil"/>
              <w:right w:val="nil"/>
            </w:tcBorders>
            <w:shd w:val="clear" w:color="auto" w:fill="auto"/>
            <w:noWrap/>
            <w:tcMar>
              <w:top w:w="6" w:type="dxa"/>
              <w:bottom w:w="6" w:type="dxa"/>
            </w:tcMar>
          </w:tcPr>
          <w:p w14:paraId="2DCF6E72"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09CCDA7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32.3</w:t>
            </w:r>
          </w:p>
        </w:tc>
        <w:tc>
          <w:tcPr>
            <w:tcW w:w="364" w:type="pct"/>
            <w:tcBorders>
              <w:top w:val="nil"/>
              <w:left w:val="nil"/>
              <w:bottom w:val="nil"/>
              <w:right w:val="nil"/>
            </w:tcBorders>
            <w:shd w:val="clear" w:color="auto" w:fill="auto"/>
            <w:noWrap/>
            <w:tcMar>
              <w:top w:w="6" w:type="dxa"/>
              <w:bottom w:w="6" w:type="dxa"/>
            </w:tcMar>
          </w:tcPr>
          <w:p w14:paraId="12E5D2E9"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19.2</w:t>
            </w:r>
          </w:p>
        </w:tc>
        <w:tc>
          <w:tcPr>
            <w:tcW w:w="363" w:type="pct"/>
            <w:tcBorders>
              <w:top w:val="nil"/>
              <w:left w:val="nil"/>
              <w:bottom w:val="nil"/>
              <w:right w:val="nil"/>
            </w:tcBorders>
            <w:shd w:val="clear" w:color="auto" w:fill="auto"/>
            <w:noWrap/>
            <w:tcMar>
              <w:top w:w="6" w:type="dxa"/>
              <w:bottom w:w="6" w:type="dxa"/>
            </w:tcMar>
          </w:tcPr>
          <w:p w14:paraId="15D8F9A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24</w:t>
            </w:r>
          </w:p>
        </w:tc>
        <w:tc>
          <w:tcPr>
            <w:tcW w:w="418" w:type="pct"/>
            <w:tcBorders>
              <w:top w:val="nil"/>
              <w:left w:val="nil"/>
              <w:bottom w:val="nil"/>
              <w:right w:val="nil"/>
            </w:tcBorders>
            <w:shd w:val="clear" w:color="auto" w:fill="auto"/>
            <w:noWrap/>
            <w:tcMar>
              <w:top w:w="6" w:type="dxa"/>
              <w:bottom w:w="6" w:type="dxa"/>
            </w:tcMar>
          </w:tcPr>
          <w:p w14:paraId="3FEE60A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25.2</w:t>
            </w:r>
          </w:p>
        </w:tc>
        <w:tc>
          <w:tcPr>
            <w:tcW w:w="151" w:type="pct"/>
            <w:tcBorders>
              <w:top w:val="nil"/>
              <w:left w:val="nil"/>
              <w:bottom w:val="nil"/>
              <w:right w:val="nil"/>
            </w:tcBorders>
            <w:shd w:val="clear" w:color="auto" w:fill="auto"/>
            <w:noWrap/>
            <w:tcMar>
              <w:top w:w="6" w:type="dxa"/>
              <w:bottom w:w="6" w:type="dxa"/>
            </w:tcMar>
          </w:tcPr>
          <w:p w14:paraId="36FF7AA1"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02104BA8"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-0.052</w:t>
            </w:r>
          </w:p>
        </w:tc>
        <w:tc>
          <w:tcPr>
            <w:tcW w:w="722" w:type="pct"/>
            <w:tcBorders>
              <w:top w:val="nil"/>
              <w:left w:val="nil"/>
              <w:bottom w:val="nil"/>
              <w:right w:val="nil"/>
            </w:tcBorders>
            <w:shd w:val="clear" w:color="auto" w:fill="auto"/>
            <w:noWrap/>
            <w:tcMar>
              <w:top w:w="6" w:type="dxa"/>
              <w:bottom w:w="6" w:type="dxa"/>
            </w:tcMar>
          </w:tcPr>
          <w:p w14:paraId="4633255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6FD8CB1B" w14:textId="77777777" w:rsidTr="0089094B">
        <w:trPr>
          <w:trHeight w:val="170"/>
        </w:trPr>
        <w:tc>
          <w:tcPr>
            <w:tcW w:w="1182" w:type="pct"/>
            <w:tcBorders>
              <w:top w:val="nil"/>
              <w:left w:val="nil"/>
              <w:bottom w:val="nil"/>
              <w:right w:val="nil"/>
            </w:tcBorders>
            <w:shd w:val="clear" w:color="auto" w:fill="auto"/>
            <w:noWrap/>
            <w:tcMar>
              <w:top w:w="6" w:type="dxa"/>
              <w:bottom w:w="6" w:type="dxa"/>
            </w:tcMar>
          </w:tcPr>
          <w:p w14:paraId="57AD9E6B"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Basilan </w:t>
            </w:r>
          </w:p>
        </w:tc>
        <w:tc>
          <w:tcPr>
            <w:tcW w:w="810" w:type="pct"/>
            <w:tcBorders>
              <w:top w:val="nil"/>
              <w:left w:val="nil"/>
              <w:bottom w:val="nil"/>
              <w:right w:val="nil"/>
            </w:tcBorders>
            <w:shd w:val="clear" w:color="auto" w:fill="auto"/>
            <w:noWrap/>
            <w:tcMar>
              <w:top w:w="6" w:type="dxa"/>
              <w:bottom w:w="6" w:type="dxa"/>
            </w:tcMar>
          </w:tcPr>
          <w:p w14:paraId="3AA3514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BAS</w:t>
            </w:r>
          </w:p>
        </w:tc>
        <w:tc>
          <w:tcPr>
            <w:tcW w:w="150" w:type="pct"/>
            <w:tcBorders>
              <w:top w:val="nil"/>
              <w:left w:val="nil"/>
              <w:bottom w:val="nil"/>
              <w:right w:val="nil"/>
            </w:tcBorders>
            <w:shd w:val="clear" w:color="auto" w:fill="auto"/>
            <w:noWrap/>
            <w:tcMar>
              <w:top w:w="6" w:type="dxa"/>
              <w:bottom w:w="6" w:type="dxa"/>
            </w:tcMar>
          </w:tcPr>
          <w:p w14:paraId="2670F10C"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bottom w:val="nil"/>
              <w:right w:val="nil"/>
            </w:tcBorders>
            <w:shd w:val="clear" w:color="auto" w:fill="auto"/>
            <w:noWrap/>
            <w:tcMar>
              <w:top w:w="6" w:type="dxa"/>
              <w:bottom w:w="6" w:type="dxa"/>
            </w:tcMar>
          </w:tcPr>
          <w:p w14:paraId="55DC294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35.6</w:t>
            </w:r>
          </w:p>
        </w:tc>
        <w:tc>
          <w:tcPr>
            <w:tcW w:w="364" w:type="pct"/>
            <w:tcBorders>
              <w:top w:val="nil"/>
              <w:left w:val="nil"/>
              <w:bottom w:val="nil"/>
              <w:right w:val="nil"/>
            </w:tcBorders>
            <w:shd w:val="clear" w:color="auto" w:fill="auto"/>
            <w:noWrap/>
            <w:tcMar>
              <w:top w:w="6" w:type="dxa"/>
              <w:bottom w:w="6" w:type="dxa"/>
            </w:tcMar>
          </w:tcPr>
          <w:p w14:paraId="7A298E4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66.3</w:t>
            </w:r>
          </w:p>
        </w:tc>
        <w:tc>
          <w:tcPr>
            <w:tcW w:w="363" w:type="pct"/>
            <w:tcBorders>
              <w:top w:val="nil"/>
              <w:left w:val="nil"/>
              <w:bottom w:val="nil"/>
              <w:right w:val="nil"/>
            </w:tcBorders>
            <w:shd w:val="clear" w:color="auto" w:fill="auto"/>
            <w:noWrap/>
            <w:tcMar>
              <w:top w:w="6" w:type="dxa"/>
              <w:bottom w:w="6" w:type="dxa"/>
            </w:tcMar>
          </w:tcPr>
          <w:p w14:paraId="2743CD5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42.5</w:t>
            </w:r>
          </w:p>
        </w:tc>
        <w:tc>
          <w:tcPr>
            <w:tcW w:w="418" w:type="pct"/>
            <w:tcBorders>
              <w:top w:val="nil"/>
              <w:left w:val="nil"/>
              <w:bottom w:val="nil"/>
              <w:right w:val="nil"/>
            </w:tcBorders>
            <w:shd w:val="clear" w:color="auto" w:fill="auto"/>
            <w:noWrap/>
            <w:tcMar>
              <w:top w:w="6" w:type="dxa"/>
              <w:bottom w:w="6" w:type="dxa"/>
            </w:tcMar>
          </w:tcPr>
          <w:p w14:paraId="6F29B8E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48.1</w:t>
            </w:r>
          </w:p>
        </w:tc>
        <w:tc>
          <w:tcPr>
            <w:tcW w:w="151" w:type="pct"/>
            <w:tcBorders>
              <w:top w:val="nil"/>
              <w:left w:val="nil"/>
              <w:bottom w:val="nil"/>
              <w:right w:val="nil"/>
            </w:tcBorders>
            <w:shd w:val="clear" w:color="auto" w:fill="auto"/>
            <w:noWrap/>
            <w:tcMar>
              <w:top w:w="6" w:type="dxa"/>
              <w:bottom w:w="6" w:type="dxa"/>
            </w:tcMar>
          </w:tcPr>
          <w:p w14:paraId="2EA77380"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bottom w:val="nil"/>
              <w:right w:val="nil"/>
            </w:tcBorders>
            <w:shd w:val="clear" w:color="auto" w:fill="auto"/>
            <w:noWrap/>
            <w:tcMar>
              <w:top w:w="6" w:type="dxa"/>
              <w:bottom w:w="6" w:type="dxa"/>
            </w:tcMar>
          </w:tcPr>
          <w:p w14:paraId="6906B97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-0.155</w:t>
            </w:r>
          </w:p>
        </w:tc>
        <w:tc>
          <w:tcPr>
            <w:tcW w:w="722" w:type="pct"/>
            <w:tcBorders>
              <w:top w:val="nil"/>
              <w:left w:val="nil"/>
              <w:bottom w:val="nil"/>
              <w:right w:val="nil"/>
            </w:tcBorders>
            <w:shd w:val="clear" w:color="auto" w:fill="auto"/>
            <w:noWrap/>
            <w:tcMar>
              <w:top w:w="6" w:type="dxa"/>
              <w:bottom w:w="6" w:type="dxa"/>
            </w:tcMar>
          </w:tcPr>
          <w:p w14:paraId="4205B40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460AD661" w14:textId="77777777" w:rsidTr="0089094B">
        <w:trPr>
          <w:trHeight w:val="170"/>
        </w:trPr>
        <w:tc>
          <w:tcPr>
            <w:tcW w:w="1182" w:type="pct"/>
            <w:tcBorders>
              <w:top w:val="nil"/>
              <w:left w:val="nil"/>
              <w:right w:val="nil"/>
            </w:tcBorders>
            <w:shd w:val="clear" w:color="auto" w:fill="auto"/>
            <w:noWrap/>
            <w:tcMar>
              <w:top w:w="6" w:type="dxa"/>
              <w:bottom w:w="6" w:type="dxa"/>
            </w:tcMar>
          </w:tcPr>
          <w:p w14:paraId="6AF4C51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xml:space="preserve">Lanao del Sur </w:t>
            </w:r>
          </w:p>
        </w:tc>
        <w:tc>
          <w:tcPr>
            <w:tcW w:w="810" w:type="pct"/>
            <w:tcBorders>
              <w:top w:val="nil"/>
              <w:left w:val="nil"/>
              <w:right w:val="nil"/>
            </w:tcBorders>
            <w:shd w:val="clear" w:color="auto" w:fill="auto"/>
            <w:noWrap/>
            <w:tcMar>
              <w:top w:w="6" w:type="dxa"/>
              <w:bottom w:w="6" w:type="dxa"/>
            </w:tcMar>
          </w:tcPr>
          <w:p w14:paraId="4B39EDFA"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LAS</w:t>
            </w:r>
          </w:p>
        </w:tc>
        <w:tc>
          <w:tcPr>
            <w:tcW w:w="150" w:type="pct"/>
            <w:tcBorders>
              <w:top w:val="nil"/>
              <w:left w:val="nil"/>
              <w:right w:val="nil"/>
            </w:tcBorders>
            <w:shd w:val="clear" w:color="auto" w:fill="auto"/>
            <w:noWrap/>
            <w:tcMar>
              <w:top w:w="6" w:type="dxa"/>
              <w:bottom w:w="6" w:type="dxa"/>
            </w:tcMar>
          </w:tcPr>
          <w:p w14:paraId="086B7BF2" w14:textId="77777777" w:rsidR="004E2B5B" w:rsidRPr="0026312D" w:rsidRDefault="004E2B5B" w:rsidP="00532745">
            <w:pPr>
              <w:rPr>
                <w:rFonts w:ascii="Times New Roman" w:hAnsi="Times New Roman" w:cs="Times New Roman"/>
                <w:color w:val="000000"/>
                <w:sz w:val="22"/>
                <w:szCs w:val="22"/>
              </w:rPr>
            </w:pPr>
          </w:p>
        </w:tc>
        <w:tc>
          <w:tcPr>
            <w:tcW w:w="363" w:type="pct"/>
            <w:tcBorders>
              <w:top w:val="nil"/>
              <w:left w:val="nil"/>
              <w:right w:val="nil"/>
            </w:tcBorders>
            <w:shd w:val="clear" w:color="auto" w:fill="auto"/>
            <w:noWrap/>
            <w:tcMar>
              <w:top w:w="6" w:type="dxa"/>
              <w:bottom w:w="6" w:type="dxa"/>
            </w:tcMar>
          </w:tcPr>
          <w:p w14:paraId="1E7EAA83"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72.4</w:t>
            </w:r>
          </w:p>
        </w:tc>
        <w:tc>
          <w:tcPr>
            <w:tcW w:w="364" w:type="pct"/>
            <w:tcBorders>
              <w:top w:val="nil"/>
              <w:left w:val="nil"/>
              <w:right w:val="nil"/>
            </w:tcBorders>
            <w:shd w:val="clear" w:color="auto" w:fill="auto"/>
            <w:noWrap/>
            <w:tcMar>
              <w:top w:w="6" w:type="dxa"/>
              <w:bottom w:w="6" w:type="dxa"/>
            </w:tcMar>
          </w:tcPr>
          <w:p w14:paraId="7C6034E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64.2</w:t>
            </w:r>
          </w:p>
        </w:tc>
        <w:tc>
          <w:tcPr>
            <w:tcW w:w="363" w:type="pct"/>
            <w:tcBorders>
              <w:top w:val="nil"/>
              <w:left w:val="nil"/>
              <w:right w:val="nil"/>
            </w:tcBorders>
            <w:shd w:val="clear" w:color="auto" w:fill="auto"/>
            <w:noWrap/>
            <w:tcMar>
              <w:top w:w="6" w:type="dxa"/>
              <w:bottom w:w="6" w:type="dxa"/>
            </w:tcMar>
          </w:tcPr>
          <w:p w14:paraId="11D9C56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7.4</w:t>
            </w:r>
          </w:p>
        </w:tc>
        <w:tc>
          <w:tcPr>
            <w:tcW w:w="418" w:type="pct"/>
            <w:tcBorders>
              <w:top w:val="nil"/>
              <w:left w:val="nil"/>
              <w:right w:val="nil"/>
            </w:tcBorders>
            <w:shd w:val="clear" w:color="auto" w:fill="auto"/>
            <w:noWrap/>
            <w:tcMar>
              <w:top w:w="6" w:type="dxa"/>
              <w:bottom w:w="6" w:type="dxa"/>
            </w:tcMar>
          </w:tcPr>
          <w:p w14:paraId="6A75D6B4"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48</w:t>
            </w:r>
          </w:p>
        </w:tc>
        <w:tc>
          <w:tcPr>
            <w:tcW w:w="151" w:type="pct"/>
            <w:tcBorders>
              <w:top w:val="nil"/>
              <w:left w:val="nil"/>
              <w:right w:val="nil"/>
            </w:tcBorders>
            <w:shd w:val="clear" w:color="auto" w:fill="auto"/>
            <w:noWrap/>
            <w:tcMar>
              <w:top w:w="6" w:type="dxa"/>
              <w:bottom w:w="6" w:type="dxa"/>
            </w:tcMar>
          </w:tcPr>
          <w:p w14:paraId="45BAA7A2" w14:textId="77777777" w:rsidR="004E2B5B" w:rsidRPr="0026312D" w:rsidRDefault="004E2B5B" w:rsidP="00532745">
            <w:pPr>
              <w:rPr>
                <w:rFonts w:ascii="Times New Roman" w:hAnsi="Times New Roman" w:cs="Times New Roman"/>
                <w:color w:val="000000"/>
                <w:sz w:val="22"/>
                <w:szCs w:val="22"/>
              </w:rPr>
            </w:pPr>
          </w:p>
        </w:tc>
        <w:tc>
          <w:tcPr>
            <w:tcW w:w="478" w:type="pct"/>
            <w:tcBorders>
              <w:top w:val="nil"/>
              <w:left w:val="nil"/>
              <w:right w:val="nil"/>
            </w:tcBorders>
            <w:shd w:val="clear" w:color="auto" w:fill="auto"/>
            <w:noWrap/>
            <w:tcMar>
              <w:top w:w="6" w:type="dxa"/>
              <w:bottom w:w="6" w:type="dxa"/>
            </w:tcMar>
          </w:tcPr>
          <w:p w14:paraId="24BDCF7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-0.022</w:t>
            </w:r>
          </w:p>
        </w:tc>
        <w:tc>
          <w:tcPr>
            <w:tcW w:w="722" w:type="pct"/>
            <w:tcBorders>
              <w:top w:val="nil"/>
              <w:left w:val="nil"/>
              <w:right w:val="nil"/>
            </w:tcBorders>
            <w:shd w:val="clear" w:color="auto" w:fill="auto"/>
            <w:noWrap/>
            <w:tcMar>
              <w:top w:w="6" w:type="dxa"/>
              <w:bottom w:w="6" w:type="dxa"/>
            </w:tcMar>
          </w:tcPr>
          <w:p w14:paraId="20CBD08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Deficit</w:t>
            </w:r>
          </w:p>
        </w:tc>
      </w:tr>
      <w:tr w:rsidR="0089094B" w:rsidRPr="00D6728E" w14:paraId="31EBDFA0" w14:textId="77777777" w:rsidTr="0089094B">
        <w:trPr>
          <w:trHeight w:val="170"/>
        </w:trPr>
        <w:tc>
          <w:tcPr>
            <w:tcW w:w="1182" w:type="pct"/>
            <w:tcBorders>
              <w:top w:val="nil"/>
              <w:left w:val="nil"/>
              <w:bottom w:val="single" w:sz="4" w:space="0" w:color="auto"/>
              <w:right w:val="nil"/>
            </w:tcBorders>
            <w:shd w:val="clear" w:color="auto" w:fill="auto"/>
            <w:noWrap/>
            <w:tcMar>
              <w:top w:w="6" w:type="dxa"/>
              <w:bottom w:w="6" w:type="dxa"/>
            </w:tcMar>
          </w:tcPr>
          <w:p w14:paraId="28CF283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Maguindanao</w:t>
            </w:r>
          </w:p>
        </w:tc>
        <w:tc>
          <w:tcPr>
            <w:tcW w:w="810" w:type="pct"/>
            <w:tcBorders>
              <w:top w:val="nil"/>
              <w:left w:val="nil"/>
              <w:bottom w:val="single" w:sz="4" w:space="0" w:color="auto"/>
              <w:right w:val="nil"/>
            </w:tcBorders>
            <w:shd w:val="clear" w:color="auto" w:fill="auto"/>
            <w:noWrap/>
            <w:tcMar>
              <w:top w:w="6" w:type="dxa"/>
              <w:bottom w:w="6" w:type="dxa"/>
            </w:tcMar>
          </w:tcPr>
          <w:p w14:paraId="2E45E1A7"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MGN</w:t>
            </w:r>
          </w:p>
        </w:tc>
        <w:tc>
          <w:tcPr>
            <w:tcW w:w="150" w:type="pct"/>
            <w:tcBorders>
              <w:top w:val="nil"/>
              <w:left w:val="nil"/>
              <w:bottom w:val="single" w:sz="4" w:space="0" w:color="auto"/>
              <w:right w:val="nil"/>
            </w:tcBorders>
            <w:shd w:val="clear" w:color="auto" w:fill="auto"/>
            <w:noWrap/>
            <w:tcMar>
              <w:top w:w="6" w:type="dxa"/>
              <w:bottom w:w="6" w:type="dxa"/>
            </w:tcMar>
          </w:tcPr>
          <w:p w14:paraId="49EE9531"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w:t>
            </w:r>
          </w:p>
        </w:tc>
        <w:tc>
          <w:tcPr>
            <w:tcW w:w="363" w:type="pct"/>
            <w:tcBorders>
              <w:top w:val="nil"/>
              <w:left w:val="nil"/>
              <w:bottom w:val="single" w:sz="4" w:space="0" w:color="auto"/>
              <w:right w:val="nil"/>
            </w:tcBorders>
            <w:shd w:val="clear" w:color="auto" w:fill="auto"/>
            <w:noWrap/>
            <w:tcMar>
              <w:top w:w="6" w:type="dxa"/>
              <w:bottom w:w="6" w:type="dxa"/>
            </w:tcMar>
          </w:tcPr>
          <w:p w14:paraId="60DE4440"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45.7</w:t>
            </w:r>
          </w:p>
        </w:tc>
        <w:tc>
          <w:tcPr>
            <w:tcW w:w="364" w:type="pct"/>
            <w:tcBorders>
              <w:top w:val="nil"/>
              <w:left w:val="nil"/>
              <w:bottom w:val="single" w:sz="4" w:space="0" w:color="auto"/>
              <w:right w:val="nil"/>
            </w:tcBorders>
            <w:shd w:val="clear" w:color="auto" w:fill="auto"/>
            <w:noWrap/>
            <w:tcMar>
              <w:top w:w="6" w:type="dxa"/>
              <w:bottom w:w="6" w:type="dxa"/>
            </w:tcMar>
          </w:tcPr>
          <w:p w14:paraId="49ED4815"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40.6</w:t>
            </w:r>
          </w:p>
        </w:tc>
        <w:tc>
          <w:tcPr>
            <w:tcW w:w="363" w:type="pct"/>
            <w:tcBorders>
              <w:top w:val="nil"/>
              <w:left w:val="nil"/>
              <w:bottom w:val="single" w:sz="4" w:space="0" w:color="auto"/>
              <w:right w:val="nil"/>
            </w:tcBorders>
            <w:shd w:val="clear" w:color="auto" w:fill="auto"/>
            <w:noWrap/>
            <w:tcMar>
              <w:top w:w="6" w:type="dxa"/>
              <w:bottom w:w="6" w:type="dxa"/>
            </w:tcMar>
          </w:tcPr>
          <w:p w14:paraId="2EF318A2"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29.8</w:t>
            </w:r>
          </w:p>
        </w:tc>
        <w:tc>
          <w:tcPr>
            <w:tcW w:w="418" w:type="pct"/>
            <w:tcBorders>
              <w:top w:val="nil"/>
              <w:left w:val="nil"/>
              <w:bottom w:val="single" w:sz="4" w:space="0" w:color="auto"/>
              <w:right w:val="nil"/>
            </w:tcBorders>
            <w:shd w:val="clear" w:color="auto" w:fill="auto"/>
            <w:noWrap/>
            <w:tcMar>
              <w:top w:w="6" w:type="dxa"/>
              <w:bottom w:w="6" w:type="dxa"/>
            </w:tcMar>
          </w:tcPr>
          <w:p w14:paraId="3F04D1DF"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38.7</w:t>
            </w:r>
          </w:p>
        </w:tc>
        <w:tc>
          <w:tcPr>
            <w:tcW w:w="151" w:type="pct"/>
            <w:tcBorders>
              <w:top w:val="nil"/>
              <w:left w:val="nil"/>
              <w:bottom w:val="single" w:sz="4" w:space="0" w:color="auto"/>
              <w:right w:val="nil"/>
            </w:tcBorders>
            <w:shd w:val="clear" w:color="auto" w:fill="auto"/>
            <w:noWrap/>
            <w:tcMar>
              <w:top w:w="6" w:type="dxa"/>
              <w:bottom w:w="6" w:type="dxa"/>
            </w:tcMar>
          </w:tcPr>
          <w:p w14:paraId="36F43BBE"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 </w:t>
            </w:r>
          </w:p>
        </w:tc>
        <w:tc>
          <w:tcPr>
            <w:tcW w:w="478" w:type="pct"/>
            <w:tcBorders>
              <w:top w:val="nil"/>
              <w:left w:val="nil"/>
              <w:bottom w:val="single" w:sz="4" w:space="0" w:color="auto"/>
              <w:right w:val="nil"/>
            </w:tcBorders>
            <w:shd w:val="clear" w:color="auto" w:fill="auto"/>
            <w:noWrap/>
            <w:tcMar>
              <w:top w:w="6" w:type="dxa"/>
              <w:bottom w:w="6" w:type="dxa"/>
            </w:tcMar>
          </w:tcPr>
          <w:p w14:paraId="52A4B8C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0.057</w:t>
            </w:r>
          </w:p>
        </w:tc>
        <w:tc>
          <w:tcPr>
            <w:tcW w:w="722" w:type="pct"/>
            <w:tcBorders>
              <w:top w:val="nil"/>
              <w:left w:val="nil"/>
              <w:bottom w:val="single" w:sz="4" w:space="0" w:color="auto"/>
              <w:right w:val="nil"/>
            </w:tcBorders>
            <w:shd w:val="clear" w:color="auto" w:fill="auto"/>
            <w:noWrap/>
            <w:tcMar>
              <w:top w:w="6" w:type="dxa"/>
              <w:bottom w:w="6" w:type="dxa"/>
            </w:tcMar>
          </w:tcPr>
          <w:p w14:paraId="14523C9C" w14:textId="77777777" w:rsidR="004E2B5B" w:rsidRPr="0026312D" w:rsidRDefault="004E2B5B" w:rsidP="00532745">
            <w:pPr>
              <w:rPr>
                <w:rFonts w:ascii="Times New Roman" w:hAnsi="Times New Roman" w:cs="Times New Roman"/>
                <w:color w:val="000000"/>
                <w:sz w:val="22"/>
                <w:szCs w:val="22"/>
              </w:rPr>
            </w:pPr>
            <w:r w:rsidRPr="0026312D">
              <w:rPr>
                <w:rFonts w:ascii="Times New Roman" w:hAnsi="Times New Roman" w:cs="Times New Roman"/>
                <w:color w:val="000000"/>
                <w:sz w:val="22"/>
                <w:szCs w:val="22"/>
              </w:rPr>
              <w:t>Surplus</w:t>
            </w:r>
          </w:p>
        </w:tc>
      </w:tr>
    </w:tbl>
    <w:p w14:paraId="4C7E5246" w14:textId="77777777" w:rsidR="001D0B5B" w:rsidRDefault="004E2B5B" w:rsidP="001D0B5B">
      <w:pPr>
        <w:rPr>
          <w:rFonts w:ascii="Times New Roman" w:eastAsia="Arial" w:hAnsi="Times New Roman" w:cs="Times New Roman"/>
        </w:rPr>
      </w:pPr>
      <w:r w:rsidRPr="0026312D">
        <w:rPr>
          <w:rFonts w:ascii="Times New Roman" w:eastAsia="Arial" w:hAnsi="Times New Roman" w:cs="Times New Roman"/>
        </w:rPr>
        <w:t>Source: Authors</w:t>
      </w:r>
      <w:r w:rsidR="00927E1B" w:rsidRPr="0026312D">
        <w:rPr>
          <w:rFonts w:ascii="Times New Roman" w:eastAsia="Arial" w:hAnsi="Times New Roman" w:cs="Times New Roman"/>
        </w:rPr>
        <w:t>'</w:t>
      </w:r>
      <w:r w:rsidRPr="0026312D">
        <w:rPr>
          <w:rFonts w:ascii="Times New Roman" w:eastAsia="Arial" w:hAnsi="Times New Roman" w:cs="Times New Roman"/>
        </w:rPr>
        <w:t xml:space="preserve"> calculation based on the analysis of the 2015 Family Income and Expenditure Survey</w:t>
      </w:r>
      <w:r w:rsidR="001D0B5B">
        <w:rPr>
          <w:rFonts w:ascii="Times New Roman" w:eastAsia="Arial" w:hAnsi="Times New Roman" w:cs="Times New Roman"/>
        </w:rPr>
        <w:t xml:space="preserve">. </w:t>
      </w:r>
    </w:p>
    <w:p w14:paraId="426FB423" w14:textId="522E123B" w:rsidR="004E2B5B" w:rsidRPr="0026312D" w:rsidRDefault="001D0B5B" w:rsidP="001D0B5B">
      <w:pPr>
        <w:rPr>
          <w:rFonts w:ascii="Times New Roman" w:hAnsi="Times New Roman" w:cs="Times New Roman"/>
          <w:lang w:val="en-US" w:eastAsia="en-US"/>
        </w:rPr>
      </w:pPr>
      <w:r>
        <w:rPr>
          <w:rFonts w:ascii="Times New Roman" w:eastAsia="Arial" w:hAnsi="Times New Roman" w:cs="Times New Roman"/>
        </w:rPr>
        <w:t xml:space="preserve">Note: </w:t>
      </w:r>
      <w:r w:rsidR="004E2B5B" w:rsidRPr="0026312D">
        <w:rPr>
          <w:rFonts w:ascii="Times New Roman" w:eastAsia="Arial" w:hAnsi="Times New Roman" w:cs="Times New Roman"/>
        </w:rPr>
        <w:t xml:space="preserve">NBR </w:t>
      </w:r>
      <w:r>
        <w:rPr>
          <w:rFonts w:ascii="Times New Roman" w:eastAsia="Arial" w:hAnsi="Times New Roman" w:cs="Times New Roman"/>
        </w:rPr>
        <w:t>is n</w:t>
      </w:r>
      <w:r w:rsidR="004E2B5B" w:rsidRPr="0026312D">
        <w:rPr>
          <w:rFonts w:ascii="Times New Roman" w:eastAsia="Arial" w:hAnsi="Times New Roman" w:cs="Times New Roman"/>
        </w:rPr>
        <w:t>et benefit ratio</w:t>
      </w:r>
      <w:r>
        <w:rPr>
          <w:rFonts w:ascii="Times New Roman" w:eastAsia="Arial" w:hAnsi="Times New Roman" w:cs="Times New Roman"/>
        </w:rPr>
        <w:t>.</w:t>
      </w:r>
    </w:p>
    <w:p w14:paraId="672CE33C" w14:textId="525E8BD7" w:rsidR="0033134A" w:rsidRDefault="0033134A">
      <w:pPr>
        <w:spacing w:after="160" w:line="259" w:lineRule="auto"/>
        <w:rPr>
          <w:rFonts w:ascii="Montserrat" w:eastAsiaTheme="majorEastAsia" w:hAnsi="Montserrat" w:cstheme="majorBidi"/>
          <w:b/>
          <w:color w:val="2F5496" w:themeColor="accent1" w:themeShade="BF"/>
          <w:sz w:val="28"/>
          <w:szCs w:val="32"/>
          <w:lang w:val="en-US" w:eastAsia="en-US"/>
        </w:rPr>
      </w:pPr>
    </w:p>
    <w:sectPr w:rsidR="0033134A" w:rsidSect="003178A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77D2" w14:textId="77777777" w:rsidR="00C8266A" w:rsidRDefault="00C8266A" w:rsidP="00844EAA">
      <w:r>
        <w:separator/>
      </w:r>
    </w:p>
  </w:endnote>
  <w:endnote w:type="continuationSeparator" w:id="0">
    <w:p w14:paraId="2C316640" w14:textId="77777777" w:rsidR="00C8266A" w:rsidRDefault="00C8266A" w:rsidP="0084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F6FA" w14:textId="77777777" w:rsidR="004E2B5B" w:rsidRDefault="004E2B5B">
    <w:pPr>
      <w:pStyle w:val="Footer"/>
    </w:pPr>
    <w:r>
      <w:rPr>
        <w:noProof/>
        <w14:ligatures w14:val="standardContextual"/>
      </w:rPr>
      <mc:AlternateContent>
        <mc:Choice Requires="wps">
          <w:drawing>
            <wp:anchor distT="0" distB="0" distL="0" distR="0" simplePos="0" relativeHeight="251660288" behindDoc="0" locked="0" layoutInCell="1" allowOverlap="1" wp14:anchorId="1CDE2BA5" wp14:editId="123D14AA">
              <wp:simplePos x="635" y="635"/>
              <wp:positionH relativeFrom="page">
                <wp:align>left</wp:align>
              </wp:positionH>
              <wp:positionV relativeFrom="page">
                <wp:align>bottom</wp:align>
              </wp:positionV>
              <wp:extent cx="443865" cy="443865"/>
              <wp:effectExtent l="0" t="0" r="5080" b="0"/>
              <wp:wrapNone/>
              <wp:docPr id="6" name="Text Box 6"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8C5AD" w14:textId="77777777" w:rsidR="004E2B5B" w:rsidRPr="00977A09" w:rsidRDefault="004E2B5B" w:rsidP="00977A09">
                          <w:pPr>
                            <w:rPr>
                              <w:rFonts w:cs="Calibri"/>
                              <w:noProof/>
                              <w:color w:val="000000"/>
                              <w:sz w:val="22"/>
                              <w:szCs w:val="22"/>
                            </w:rPr>
                          </w:pPr>
                          <w:r w:rsidRPr="00977A09">
                            <w:rPr>
                              <w:rFonts w:cs="Calibri"/>
                              <w:noProof/>
                              <w:color w:val="000000"/>
                              <w:sz w:val="22"/>
                              <w:szCs w:val="22"/>
                            </w:rPr>
                            <w:t>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DE2BA5" id="_x0000_t202" coordsize="21600,21600" o:spt="202" path="m,l,21600r21600,l21600,xe">
              <v:stroke joinstyle="miter"/>
              <v:path gradientshapeok="t" o:connecttype="rect"/>
            </v:shapetype>
            <v:shape id="Text Box 6" o:spid="_x0000_s1026" type="#_x0000_t202" alt="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F18C5AD" w14:textId="77777777" w:rsidR="004E2B5B" w:rsidRPr="00977A09" w:rsidRDefault="004E2B5B" w:rsidP="00977A09">
                    <w:pPr>
                      <w:rPr>
                        <w:rFonts w:cs="Calibri"/>
                        <w:noProof/>
                        <w:color w:val="000000"/>
                        <w:sz w:val="22"/>
                        <w:szCs w:val="22"/>
                      </w:rPr>
                    </w:pPr>
                    <w:r w:rsidRPr="00977A09">
                      <w:rPr>
                        <w:rFonts w:cs="Calibri"/>
                        <w:noProof/>
                        <w:color w:val="000000"/>
                        <w:sz w:val="22"/>
                        <w:szCs w:val="22"/>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529662"/>
      <w:docPartObj>
        <w:docPartGallery w:val="Page Numbers (Bottom of Page)"/>
        <w:docPartUnique/>
      </w:docPartObj>
    </w:sdtPr>
    <w:sdtEndPr>
      <w:rPr>
        <w:rFonts w:ascii="Times New Roman" w:hAnsi="Times New Roman" w:cs="Times New Roman"/>
        <w:noProof/>
        <w:sz w:val="24"/>
        <w:szCs w:val="24"/>
      </w:rPr>
    </w:sdtEndPr>
    <w:sdtContent>
      <w:p w14:paraId="6264A62E" w14:textId="63E97073" w:rsidR="00F61EB6" w:rsidRDefault="00F61EB6">
        <w:pPr>
          <w:pStyle w:val="Footer"/>
          <w:jc w:val="center"/>
        </w:pPr>
        <w:r w:rsidRPr="0078274F">
          <w:rPr>
            <w:rFonts w:ascii="Times New Roman" w:hAnsi="Times New Roman" w:cs="Times New Roman"/>
            <w:sz w:val="24"/>
            <w:szCs w:val="24"/>
          </w:rPr>
          <w:fldChar w:fldCharType="begin"/>
        </w:r>
        <w:r w:rsidRPr="001503F2">
          <w:rPr>
            <w:rFonts w:ascii="Times New Roman" w:hAnsi="Times New Roman" w:cs="Times New Roman"/>
            <w:sz w:val="24"/>
            <w:szCs w:val="24"/>
          </w:rPr>
          <w:instrText xml:space="preserve"> PAGE   \* MERGEFORMAT </w:instrText>
        </w:r>
        <w:r w:rsidRPr="0078274F">
          <w:rPr>
            <w:rFonts w:ascii="Times New Roman" w:hAnsi="Times New Roman" w:cs="Times New Roman"/>
            <w:sz w:val="24"/>
            <w:szCs w:val="24"/>
          </w:rPr>
          <w:fldChar w:fldCharType="separate"/>
        </w:r>
        <w:r w:rsidRPr="001503F2">
          <w:rPr>
            <w:rFonts w:ascii="Times New Roman" w:hAnsi="Times New Roman" w:cs="Times New Roman"/>
            <w:noProof/>
            <w:sz w:val="24"/>
            <w:szCs w:val="24"/>
          </w:rPr>
          <w:t>2</w:t>
        </w:r>
        <w:r w:rsidRPr="0078274F">
          <w:rPr>
            <w:rFonts w:ascii="Times New Roman" w:hAnsi="Times New Roman" w:cs="Times New Roman"/>
            <w:noProof/>
            <w:sz w:val="24"/>
            <w:szCs w:val="24"/>
          </w:rPr>
          <w:fldChar w:fldCharType="end"/>
        </w:r>
      </w:p>
    </w:sdtContent>
  </w:sdt>
  <w:p w14:paraId="36DDCCF3" w14:textId="03C2418A" w:rsidR="004E2B5B" w:rsidRDefault="004E2B5B" w:rsidP="006B3610">
    <w:pPr>
      <w:tabs>
        <w:tab w:val="center" w:pos="4550"/>
        <w:tab w:val="left" w:pos="5818"/>
      </w:tabs>
      <w:ind w:right="-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01027" w14:textId="77777777" w:rsidR="00C8266A" w:rsidRDefault="00C8266A" w:rsidP="00844EAA">
      <w:r>
        <w:separator/>
      </w:r>
    </w:p>
  </w:footnote>
  <w:footnote w:type="continuationSeparator" w:id="0">
    <w:p w14:paraId="7AB96E3C" w14:textId="77777777" w:rsidR="00C8266A" w:rsidRDefault="00C8266A" w:rsidP="00844EAA">
      <w:r>
        <w:continuationSeparator/>
      </w:r>
    </w:p>
  </w:footnote>
  <w:footnote w:id="1">
    <w:p w14:paraId="7944BD76" w14:textId="75483D88" w:rsidR="004E2B5B" w:rsidRPr="001F566D" w:rsidRDefault="004E2B5B" w:rsidP="004E2B5B">
      <w:pPr>
        <w:pStyle w:val="FootnoteText"/>
        <w:jc w:val="both"/>
        <w:rPr>
          <w:rFonts w:ascii="Times New Roman" w:hAnsi="Times New Roman" w:cs="Times New Roman"/>
          <w:sz w:val="22"/>
          <w:szCs w:val="22"/>
        </w:rPr>
      </w:pPr>
      <w:r w:rsidRPr="001F566D">
        <w:rPr>
          <w:rStyle w:val="FootnoteReference"/>
          <w:rFonts w:ascii="Times New Roman" w:hAnsi="Times New Roman" w:cs="Times New Roman"/>
          <w:sz w:val="22"/>
          <w:szCs w:val="22"/>
        </w:rPr>
        <w:footnoteRef/>
      </w:r>
      <w:r w:rsidRPr="001F566D">
        <w:rPr>
          <w:rFonts w:ascii="Times New Roman" w:hAnsi="Times New Roman" w:cs="Times New Roman"/>
          <w:sz w:val="22"/>
          <w:szCs w:val="22"/>
        </w:rPr>
        <w:t xml:space="preserve"> Recent empirical applications have been documented for inflation at risk (Banerjee et al., 2024; López-Salido &amp; Loria, 2024), </w:t>
      </w:r>
      <w:r w:rsidR="004248DE" w:rsidRPr="001F566D">
        <w:rPr>
          <w:rFonts w:ascii="Times New Roman" w:hAnsi="Times New Roman" w:cs="Times New Roman"/>
          <w:sz w:val="22"/>
          <w:szCs w:val="22"/>
        </w:rPr>
        <w:t xml:space="preserve">and </w:t>
      </w:r>
      <w:r w:rsidRPr="001F566D">
        <w:rPr>
          <w:rFonts w:ascii="Times New Roman" w:hAnsi="Times New Roman" w:cs="Times New Roman"/>
          <w:sz w:val="22"/>
          <w:szCs w:val="22"/>
        </w:rPr>
        <w:t>interest rate risk (Molyneux et al., 2022).</w:t>
      </w:r>
    </w:p>
  </w:footnote>
  <w:footnote w:id="2">
    <w:p w14:paraId="5D254197" w14:textId="77777777" w:rsidR="004E2B5B" w:rsidRPr="001F566D" w:rsidRDefault="004E2B5B" w:rsidP="004E2B5B">
      <w:pPr>
        <w:pStyle w:val="FootnoteText"/>
        <w:rPr>
          <w:rFonts w:ascii="Times New Roman" w:hAnsi="Times New Roman" w:cs="Times New Roman"/>
          <w:sz w:val="22"/>
          <w:szCs w:val="22"/>
          <w:lang w:val="en-US"/>
        </w:rPr>
      </w:pPr>
      <w:r w:rsidRPr="001F566D">
        <w:rPr>
          <w:rStyle w:val="FootnoteReference"/>
          <w:rFonts w:ascii="Times New Roman" w:hAnsi="Times New Roman" w:cs="Times New Roman"/>
          <w:sz w:val="22"/>
          <w:szCs w:val="22"/>
        </w:rPr>
        <w:footnoteRef/>
      </w:r>
      <w:r w:rsidRPr="001F566D">
        <w:rPr>
          <w:rFonts w:ascii="Times New Roman" w:hAnsi="Times New Roman" w:cs="Times New Roman"/>
          <w:sz w:val="22"/>
          <w:szCs w:val="22"/>
        </w:rPr>
        <w:t xml:space="preserve"> Li (2023) employed a similar approach in interpolating official annual immigration data to quarterly frequency.</w:t>
      </w:r>
    </w:p>
  </w:footnote>
  <w:footnote w:id="3">
    <w:p w14:paraId="327B2477" w14:textId="11FE1A7A" w:rsidR="00E144C0" w:rsidRPr="00E50D3E" w:rsidRDefault="00E144C0" w:rsidP="00E144C0">
      <w:pPr>
        <w:pStyle w:val="FootnoteText"/>
        <w:jc w:val="both"/>
        <w:rPr>
          <w:rFonts w:ascii="Times New Roman" w:hAnsi="Times New Roman" w:cs="Times New Roman"/>
          <w:sz w:val="22"/>
          <w:szCs w:val="22"/>
          <w:lang w:val="en-US"/>
        </w:rPr>
      </w:pPr>
      <w:r w:rsidRPr="00E50D3E">
        <w:rPr>
          <w:rStyle w:val="FootnoteReference"/>
          <w:rFonts w:ascii="Times New Roman" w:hAnsi="Times New Roman" w:cs="Times New Roman"/>
          <w:sz w:val="22"/>
          <w:szCs w:val="22"/>
        </w:rPr>
        <w:footnoteRef/>
      </w:r>
      <w:r w:rsidRPr="00E50D3E">
        <w:rPr>
          <w:rFonts w:ascii="Times New Roman" w:hAnsi="Times New Roman" w:cs="Times New Roman"/>
          <w:sz w:val="22"/>
          <w:szCs w:val="22"/>
        </w:rPr>
        <w:t xml:space="preserve"> The applied tariff rates are as follows: (a) a 35</w:t>
      </w:r>
      <w:r w:rsidR="001D0B5B">
        <w:rPr>
          <w:rFonts w:ascii="Times New Roman" w:hAnsi="Times New Roman" w:cs="Times New Roman"/>
          <w:sz w:val="22"/>
          <w:szCs w:val="22"/>
        </w:rPr>
        <w:t>%</w:t>
      </w:r>
      <w:r w:rsidRPr="00E50D3E">
        <w:rPr>
          <w:rFonts w:ascii="Times New Roman" w:hAnsi="Times New Roman" w:cs="Times New Roman"/>
          <w:sz w:val="22"/>
          <w:szCs w:val="22"/>
        </w:rPr>
        <w:t xml:space="preserve"> tariff for both in-quota and out-quota rice imports from ASEAN member states, (b) a 40</w:t>
      </w:r>
      <w:r w:rsidR="001D0B5B">
        <w:rPr>
          <w:rFonts w:ascii="Times New Roman" w:hAnsi="Times New Roman" w:cs="Times New Roman"/>
          <w:sz w:val="22"/>
          <w:szCs w:val="22"/>
        </w:rPr>
        <w:t>%</w:t>
      </w:r>
      <w:r w:rsidRPr="00E50D3E">
        <w:rPr>
          <w:rFonts w:ascii="Times New Roman" w:hAnsi="Times New Roman" w:cs="Times New Roman"/>
          <w:sz w:val="22"/>
          <w:szCs w:val="22"/>
        </w:rPr>
        <w:t xml:space="preserve"> in-quota tariff for rice imports from non-ASEAN and World Trade Organization (WTO) member states within the minimum access volume (MAV) of 350,000 metric tons, (c) a 50</w:t>
      </w:r>
      <w:r w:rsidR="001D0B5B">
        <w:rPr>
          <w:rFonts w:ascii="Times New Roman" w:hAnsi="Times New Roman" w:cs="Times New Roman"/>
          <w:sz w:val="22"/>
          <w:szCs w:val="22"/>
        </w:rPr>
        <w:t>%</w:t>
      </w:r>
      <w:r w:rsidRPr="00E50D3E">
        <w:rPr>
          <w:rFonts w:ascii="Times New Roman" w:hAnsi="Times New Roman" w:cs="Times New Roman"/>
          <w:sz w:val="22"/>
          <w:szCs w:val="22"/>
        </w:rPr>
        <w:t xml:space="preserve"> out-quota tariff for imports from non-ASEAN and WTO member states above the MAV, and (d) a 180</w:t>
      </w:r>
      <w:r w:rsidR="001D0B5B">
        <w:rPr>
          <w:rFonts w:ascii="Times New Roman" w:hAnsi="Times New Roman" w:cs="Times New Roman"/>
          <w:sz w:val="22"/>
          <w:szCs w:val="22"/>
        </w:rPr>
        <w:t>%</w:t>
      </w:r>
      <w:r w:rsidRPr="00E50D3E">
        <w:rPr>
          <w:rFonts w:ascii="Times New Roman" w:hAnsi="Times New Roman" w:cs="Times New Roman"/>
          <w:sz w:val="22"/>
          <w:szCs w:val="22"/>
        </w:rPr>
        <w:t xml:space="preserve"> bound tariff rate for imports from non-ASEAN countries above 350,000 tons (</w:t>
      </w:r>
      <w:proofErr w:type="spellStart"/>
      <w:r w:rsidRPr="00E50D3E">
        <w:rPr>
          <w:rFonts w:ascii="Times New Roman" w:hAnsi="Times New Roman" w:cs="Times New Roman"/>
          <w:sz w:val="22"/>
          <w:szCs w:val="22"/>
        </w:rPr>
        <w:t>Balié</w:t>
      </w:r>
      <w:proofErr w:type="spellEnd"/>
      <w:r w:rsidRPr="00E50D3E">
        <w:rPr>
          <w:rFonts w:ascii="Times New Roman" w:hAnsi="Times New Roman" w:cs="Times New Roman"/>
          <w:sz w:val="22"/>
          <w:szCs w:val="22"/>
        </w:rPr>
        <w:t xml:space="preserve">, Minot &amp; Valera,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E9D8" w14:textId="2AC289C5" w:rsidR="00DF6023" w:rsidRDefault="00DF6023">
    <w:pPr>
      <w:pStyle w:val="Header"/>
    </w:pPr>
  </w:p>
  <w:p w14:paraId="2C5620A4" w14:textId="59EFD00A" w:rsidR="004E2B5B" w:rsidRPr="00EA7B26" w:rsidRDefault="004E2B5B" w:rsidP="00354211">
    <w:pPr>
      <w:pStyle w:val="Header"/>
      <w:ind w:right="-141"/>
      <w:rPr>
        <w:rFonts w:ascii="Lora" w:hAnsi="Lora" w:cs="Segoe UI"/>
        <w:color w:val="1F3864" w:themeColor="accent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E40EA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19495CFE"/>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2AE8944A"/>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625558EC"/>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462782"/>
    <w:multiLevelType w:val="hybridMultilevel"/>
    <w:tmpl w:val="B972C7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743DD7"/>
    <w:multiLevelType w:val="hybridMultilevel"/>
    <w:tmpl w:val="C506053E"/>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C4D7E"/>
    <w:multiLevelType w:val="multilevel"/>
    <w:tmpl w:val="4138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B79A5"/>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6A5465"/>
    <w:multiLevelType w:val="hybridMultilevel"/>
    <w:tmpl w:val="2F1A5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161CEE"/>
    <w:multiLevelType w:val="hybridMultilevel"/>
    <w:tmpl w:val="ABAA2F60"/>
    <w:lvl w:ilvl="0" w:tplc="3C526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E73BB"/>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C4154B"/>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36807"/>
    <w:multiLevelType w:val="hybridMultilevel"/>
    <w:tmpl w:val="4BB00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3F1B29"/>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822DD5"/>
    <w:multiLevelType w:val="hybridMultilevel"/>
    <w:tmpl w:val="57FCC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0E6931"/>
    <w:multiLevelType w:val="hybridMultilevel"/>
    <w:tmpl w:val="15BE63FE"/>
    <w:lvl w:ilvl="0" w:tplc="CF14B6D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B823329"/>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3728D1"/>
    <w:multiLevelType w:val="hybridMultilevel"/>
    <w:tmpl w:val="FF16B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ED49DD"/>
    <w:multiLevelType w:val="hybridMultilevel"/>
    <w:tmpl w:val="AC7CA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0B4A46"/>
    <w:multiLevelType w:val="hybridMultilevel"/>
    <w:tmpl w:val="6166FD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2BD56B8"/>
    <w:multiLevelType w:val="hybridMultilevel"/>
    <w:tmpl w:val="3D8C9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4335B"/>
    <w:multiLevelType w:val="hybridMultilevel"/>
    <w:tmpl w:val="3D8C9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C56B0E"/>
    <w:multiLevelType w:val="hybridMultilevel"/>
    <w:tmpl w:val="A4E43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6D233D"/>
    <w:multiLevelType w:val="hybridMultilevel"/>
    <w:tmpl w:val="15BE63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04496E"/>
    <w:multiLevelType w:val="hybridMultilevel"/>
    <w:tmpl w:val="A04CF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B76D6B"/>
    <w:multiLevelType w:val="hybridMultilevel"/>
    <w:tmpl w:val="C506053E"/>
    <w:lvl w:ilvl="0" w:tplc="6F4AFD2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A6BF6"/>
    <w:multiLevelType w:val="hybridMultilevel"/>
    <w:tmpl w:val="15BE63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EA33A7"/>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765063"/>
    <w:multiLevelType w:val="hybridMultilevel"/>
    <w:tmpl w:val="27020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247217"/>
    <w:multiLevelType w:val="hybridMultilevel"/>
    <w:tmpl w:val="FB6AC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D2234A"/>
    <w:multiLevelType w:val="hybridMultilevel"/>
    <w:tmpl w:val="A4E43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926556"/>
    <w:multiLevelType w:val="hybridMultilevel"/>
    <w:tmpl w:val="0836736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E013180"/>
    <w:multiLevelType w:val="hybridMultilevel"/>
    <w:tmpl w:val="3D8C9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005875">
    <w:abstractNumId w:val="1"/>
  </w:num>
  <w:num w:numId="2" w16cid:durableId="1608804839">
    <w:abstractNumId w:val="2"/>
  </w:num>
  <w:num w:numId="3" w16cid:durableId="1243417600">
    <w:abstractNumId w:val="3"/>
  </w:num>
  <w:num w:numId="4" w16cid:durableId="846988042">
    <w:abstractNumId w:val="4"/>
  </w:num>
  <w:num w:numId="5" w16cid:durableId="1469010179">
    <w:abstractNumId w:val="16"/>
  </w:num>
  <w:num w:numId="6" w16cid:durableId="1138958275">
    <w:abstractNumId w:val="27"/>
  </w:num>
  <w:num w:numId="7" w16cid:durableId="925456388">
    <w:abstractNumId w:val="24"/>
  </w:num>
  <w:num w:numId="8" w16cid:durableId="1234926867">
    <w:abstractNumId w:val="7"/>
  </w:num>
  <w:num w:numId="9" w16cid:durableId="431701980">
    <w:abstractNumId w:val="20"/>
  </w:num>
  <w:num w:numId="10" w16cid:durableId="78718204">
    <w:abstractNumId w:val="10"/>
  </w:num>
  <w:num w:numId="11" w16cid:durableId="720789681">
    <w:abstractNumId w:val="26"/>
  </w:num>
  <w:num w:numId="12" w16cid:durableId="1005860043">
    <w:abstractNumId w:val="12"/>
  </w:num>
  <w:num w:numId="13" w16cid:durableId="243681856">
    <w:abstractNumId w:val="30"/>
  </w:num>
  <w:num w:numId="14" w16cid:durableId="410660400">
    <w:abstractNumId w:val="28"/>
  </w:num>
  <w:num w:numId="15" w16cid:durableId="1925918546">
    <w:abstractNumId w:val="8"/>
  </w:num>
  <w:num w:numId="16" w16cid:durableId="258678319">
    <w:abstractNumId w:val="11"/>
  </w:num>
  <w:num w:numId="17" w16cid:durableId="1714841582">
    <w:abstractNumId w:val="0"/>
  </w:num>
  <w:num w:numId="18" w16cid:durableId="611016614">
    <w:abstractNumId w:val="14"/>
  </w:num>
  <w:num w:numId="19" w16cid:durableId="150412996">
    <w:abstractNumId w:val="17"/>
  </w:num>
  <w:num w:numId="20" w16cid:durableId="396824132">
    <w:abstractNumId w:val="25"/>
  </w:num>
  <w:num w:numId="21" w16cid:durableId="869998837">
    <w:abstractNumId w:val="29"/>
  </w:num>
  <w:num w:numId="22" w16cid:durableId="1530877002">
    <w:abstractNumId w:val="22"/>
  </w:num>
  <w:num w:numId="23" w16cid:durableId="898904671">
    <w:abstractNumId w:val="21"/>
  </w:num>
  <w:num w:numId="24" w16cid:durableId="756252565">
    <w:abstractNumId w:val="15"/>
  </w:num>
  <w:num w:numId="25" w16cid:durableId="169687536">
    <w:abstractNumId w:val="13"/>
  </w:num>
  <w:num w:numId="26" w16cid:durableId="1510022685">
    <w:abstractNumId w:val="19"/>
  </w:num>
  <w:num w:numId="27" w16cid:durableId="1763180678">
    <w:abstractNumId w:val="31"/>
  </w:num>
  <w:num w:numId="28" w16cid:durableId="1855270046">
    <w:abstractNumId w:val="23"/>
  </w:num>
  <w:num w:numId="29" w16cid:durableId="2106489506">
    <w:abstractNumId w:val="5"/>
  </w:num>
  <w:num w:numId="30" w16cid:durableId="1091853406">
    <w:abstractNumId w:val="33"/>
  </w:num>
  <w:num w:numId="31" w16cid:durableId="824662116">
    <w:abstractNumId w:val="9"/>
  </w:num>
  <w:num w:numId="32" w16cid:durableId="768888952">
    <w:abstractNumId w:val="18"/>
  </w:num>
  <w:num w:numId="33" w16cid:durableId="493883696">
    <w:abstractNumId w:val="32"/>
  </w:num>
  <w:num w:numId="34" w16cid:durableId="414131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sTQwNDW2NDW0MLJQ0lEKTi0uzszPAykwrAUAZ3NnfCwAAAA="/>
  </w:docVars>
  <w:rsids>
    <w:rsidRoot w:val="00844EAA"/>
    <w:rsid w:val="0000133C"/>
    <w:rsid w:val="000028A6"/>
    <w:rsid w:val="00003C7A"/>
    <w:rsid w:val="00003C97"/>
    <w:rsid w:val="00004259"/>
    <w:rsid w:val="00006F9E"/>
    <w:rsid w:val="000104AE"/>
    <w:rsid w:val="0001172E"/>
    <w:rsid w:val="00013A17"/>
    <w:rsid w:val="000145EB"/>
    <w:rsid w:val="00015634"/>
    <w:rsid w:val="00016209"/>
    <w:rsid w:val="00016950"/>
    <w:rsid w:val="0001761F"/>
    <w:rsid w:val="0002159D"/>
    <w:rsid w:val="00022D8E"/>
    <w:rsid w:val="000232CC"/>
    <w:rsid w:val="00025481"/>
    <w:rsid w:val="00025CDE"/>
    <w:rsid w:val="00030CBE"/>
    <w:rsid w:val="00031E56"/>
    <w:rsid w:val="00033D98"/>
    <w:rsid w:val="00033F7C"/>
    <w:rsid w:val="00041148"/>
    <w:rsid w:val="000419BF"/>
    <w:rsid w:val="00042D54"/>
    <w:rsid w:val="00043004"/>
    <w:rsid w:val="00043EF2"/>
    <w:rsid w:val="00045B8D"/>
    <w:rsid w:val="0004674C"/>
    <w:rsid w:val="00046C06"/>
    <w:rsid w:val="00052D25"/>
    <w:rsid w:val="00054558"/>
    <w:rsid w:val="000565C7"/>
    <w:rsid w:val="00057A25"/>
    <w:rsid w:val="000603F4"/>
    <w:rsid w:val="000615AD"/>
    <w:rsid w:val="00062601"/>
    <w:rsid w:val="00064832"/>
    <w:rsid w:val="00065015"/>
    <w:rsid w:val="0006509C"/>
    <w:rsid w:val="00070A74"/>
    <w:rsid w:val="00072CF4"/>
    <w:rsid w:val="0007338D"/>
    <w:rsid w:val="000735A3"/>
    <w:rsid w:val="00073B9F"/>
    <w:rsid w:val="0007516C"/>
    <w:rsid w:val="000802B6"/>
    <w:rsid w:val="00083C93"/>
    <w:rsid w:val="000864B1"/>
    <w:rsid w:val="000870EC"/>
    <w:rsid w:val="0008745A"/>
    <w:rsid w:val="00091AA6"/>
    <w:rsid w:val="00094C0F"/>
    <w:rsid w:val="000957DD"/>
    <w:rsid w:val="0009631C"/>
    <w:rsid w:val="00097C95"/>
    <w:rsid w:val="000A2AA3"/>
    <w:rsid w:val="000A4ABC"/>
    <w:rsid w:val="000A5313"/>
    <w:rsid w:val="000B29B1"/>
    <w:rsid w:val="000B29DF"/>
    <w:rsid w:val="000B39FF"/>
    <w:rsid w:val="000B4935"/>
    <w:rsid w:val="000B5488"/>
    <w:rsid w:val="000C0B8C"/>
    <w:rsid w:val="000C2C7D"/>
    <w:rsid w:val="000C4CEA"/>
    <w:rsid w:val="000C4FD7"/>
    <w:rsid w:val="000C7005"/>
    <w:rsid w:val="000C705F"/>
    <w:rsid w:val="000C7119"/>
    <w:rsid w:val="000C740B"/>
    <w:rsid w:val="000C7BBD"/>
    <w:rsid w:val="000D16AE"/>
    <w:rsid w:val="000D2E20"/>
    <w:rsid w:val="000D494D"/>
    <w:rsid w:val="000E21D0"/>
    <w:rsid w:val="000E2B1B"/>
    <w:rsid w:val="000E398D"/>
    <w:rsid w:val="000E55C3"/>
    <w:rsid w:val="000E6CE4"/>
    <w:rsid w:val="000E7A24"/>
    <w:rsid w:val="000F1AE8"/>
    <w:rsid w:val="000F241C"/>
    <w:rsid w:val="000F2B8B"/>
    <w:rsid w:val="000F54BC"/>
    <w:rsid w:val="000F681F"/>
    <w:rsid w:val="00102D92"/>
    <w:rsid w:val="00103059"/>
    <w:rsid w:val="00104B51"/>
    <w:rsid w:val="0011320A"/>
    <w:rsid w:val="0011334F"/>
    <w:rsid w:val="0011730E"/>
    <w:rsid w:val="0012045D"/>
    <w:rsid w:val="0012101E"/>
    <w:rsid w:val="0012125A"/>
    <w:rsid w:val="00122457"/>
    <w:rsid w:val="001224E7"/>
    <w:rsid w:val="001234B1"/>
    <w:rsid w:val="00123578"/>
    <w:rsid w:val="0012462F"/>
    <w:rsid w:val="0012642F"/>
    <w:rsid w:val="001317DB"/>
    <w:rsid w:val="0013464E"/>
    <w:rsid w:val="00136204"/>
    <w:rsid w:val="00137EA0"/>
    <w:rsid w:val="00142E31"/>
    <w:rsid w:val="0014381C"/>
    <w:rsid w:val="001503F2"/>
    <w:rsid w:val="0015225D"/>
    <w:rsid w:val="001540C0"/>
    <w:rsid w:val="00154750"/>
    <w:rsid w:val="00155A5F"/>
    <w:rsid w:val="001603A7"/>
    <w:rsid w:val="00161900"/>
    <w:rsid w:val="00161DFC"/>
    <w:rsid w:val="00163814"/>
    <w:rsid w:val="00167E37"/>
    <w:rsid w:val="00170F14"/>
    <w:rsid w:val="0017211C"/>
    <w:rsid w:val="00173AB1"/>
    <w:rsid w:val="00173B72"/>
    <w:rsid w:val="00174ECE"/>
    <w:rsid w:val="00175FD1"/>
    <w:rsid w:val="00176335"/>
    <w:rsid w:val="001778F0"/>
    <w:rsid w:val="00181457"/>
    <w:rsid w:val="001814F0"/>
    <w:rsid w:val="00181E4B"/>
    <w:rsid w:val="00182799"/>
    <w:rsid w:val="00182D13"/>
    <w:rsid w:val="00183D58"/>
    <w:rsid w:val="00185C2B"/>
    <w:rsid w:val="0019042C"/>
    <w:rsid w:val="00191965"/>
    <w:rsid w:val="00192C5B"/>
    <w:rsid w:val="00193FC4"/>
    <w:rsid w:val="00196136"/>
    <w:rsid w:val="00196A23"/>
    <w:rsid w:val="0019760E"/>
    <w:rsid w:val="001A1B7A"/>
    <w:rsid w:val="001A4B31"/>
    <w:rsid w:val="001A56BB"/>
    <w:rsid w:val="001B0600"/>
    <w:rsid w:val="001B19C4"/>
    <w:rsid w:val="001B2B25"/>
    <w:rsid w:val="001B413A"/>
    <w:rsid w:val="001C34C7"/>
    <w:rsid w:val="001C382D"/>
    <w:rsid w:val="001C4EAF"/>
    <w:rsid w:val="001C53FA"/>
    <w:rsid w:val="001D036B"/>
    <w:rsid w:val="001D0B5B"/>
    <w:rsid w:val="001D196B"/>
    <w:rsid w:val="001D2C21"/>
    <w:rsid w:val="001D64A9"/>
    <w:rsid w:val="001D7007"/>
    <w:rsid w:val="001D76D6"/>
    <w:rsid w:val="001E01CC"/>
    <w:rsid w:val="001E1F96"/>
    <w:rsid w:val="001E413B"/>
    <w:rsid w:val="001E4E05"/>
    <w:rsid w:val="001F05E9"/>
    <w:rsid w:val="001F2581"/>
    <w:rsid w:val="001F566D"/>
    <w:rsid w:val="00200ADC"/>
    <w:rsid w:val="00200EFA"/>
    <w:rsid w:val="00201398"/>
    <w:rsid w:val="00201ED8"/>
    <w:rsid w:val="00203972"/>
    <w:rsid w:val="00212BA9"/>
    <w:rsid w:val="0021513B"/>
    <w:rsid w:val="00215CB4"/>
    <w:rsid w:val="00216C90"/>
    <w:rsid w:val="0022192E"/>
    <w:rsid w:val="002228C9"/>
    <w:rsid w:val="00224B9D"/>
    <w:rsid w:val="00225E23"/>
    <w:rsid w:val="00226188"/>
    <w:rsid w:val="00226C75"/>
    <w:rsid w:val="002274AA"/>
    <w:rsid w:val="002276EC"/>
    <w:rsid w:val="002339E7"/>
    <w:rsid w:val="00235545"/>
    <w:rsid w:val="002358D2"/>
    <w:rsid w:val="00235C82"/>
    <w:rsid w:val="0023644E"/>
    <w:rsid w:val="00237F86"/>
    <w:rsid w:val="00242B79"/>
    <w:rsid w:val="00242D8D"/>
    <w:rsid w:val="00243BDE"/>
    <w:rsid w:val="00243F4D"/>
    <w:rsid w:val="00247500"/>
    <w:rsid w:val="00254726"/>
    <w:rsid w:val="00257242"/>
    <w:rsid w:val="002578E6"/>
    <w:rsid w:val="002614FA"/>
    <w:rsid w:val="0026281A"/>
    <w:rsid w:val="0026312D"/>
    <w:rsid w:val="00264623"/>
    <w:rsid w:val="00264DD5"/>
    <w:rsid w:val="002704CF"/>
    <w:rsid w:val="00272AC9"/>
    <w:rsid w:val="00273133"/>
    <w:rsid w:val="0028630D"/>
    <w:rsid w:val="002902DC"/>
    <w:rsid w:val="00290F51"/>
    <w:rsid w:val="00292AD2"/>
    <w:rsid w:val="002945CD"/>
    <w:rsid w:val="002961AC"/>
    <w:rsid w:val="00296A07"/>
    <w:rsid w:val="002A1265"/>
    <w:rsid w:val="002A21F4"/>
    <w:rsid w:val="002A2B4C"/>
    <w:rsid w:val="002A56A2"/>
    <w:rsid w:val="002A75F3"/>
    <w:rsid w:val="002B329C"/>
    <w:rsid w:val="002B4199"/>
    <w:rsid w:val="002B442D"/>
    <w:rsid w:val="002C0651"/>
    <w:rsid w:val="002C09D6"/>
    <w:rsid w:val="002C5F97"/>
    <w:rsid w:val="002D34CA"/>
    <w:rsid w:val="002D3C7D"/>
    <w:rsid w:val="002D4F00"/>
    <w:rsid w:val="002D5673"/>
    <w:rsid w:val="002D68FA"/>
    <w:rsid w:val="002E5CE1"/>
    <w:rsid w:val="002E669A"/>
    <w:rsid w:val="002F06DD"/>
    <w:rsid w:val="00302089"/>
    <w:rsid w:val="003042B5"/>
    <w:rsid w:val="00305B24"/>
    <w:rsid w:val="00305EFC"/>
    <w:rsid w:val="003110B7"/>
    <w:rsid w:val="00312A6F"/>
    <w:rsid w:val="00312ABF"/>
    <w:rsid w:val="00315B2A"/>
    <w:rsid w:val="00315CF6"/>
    <w:rsid w:val="003178A1"/>
    <w:rsid w:val="00317DCF"/>
    <w:rsid w:val="00320A2C"/>
    <w:rsid w:val="0032144D"/>
    <w:rsid w:val="003225DF"/>
    <w:rsid w:val="00327A4E"/>
    <w:rsid w:val="0033134A"/>
    <w:rsid w:val="00332C80"/>
    <w:rsid w:val="003331F4"/>
    <w:rsid w:val="00333AA2"/>
    <w:rsid w:val="00334893"/>
    <w:rsid w:val="00337402"/>
    <w:rsid w:val="0033783C"/>
    <w:rsid w:val="00340133"/>
    <w:rsid w:val="0034194B"/>
    <w:rsid w:val="00343080"/>
    <w:rsid w:val="00346192"/>
    <w:rsid w:val="003501D1"/>
    <w:rsid w:val="00354211"/>
    <w:rsid w:val="0035580E"/>
    <w:rsid w:val="00357718"/>
    <w:rsid w:val="003613DB"/>
    <w:rsid w:val="0036385B"/>
    <w:rsid w:val="00366A29"/>
    <w:rsid w:val="00367937"/>
    <w:rsid w:val="00370D61"/>
    <w:rsid w:val="00371B9E"/>
    <w:rsid w:val="0037378A"/>
    <w:rsid w:val="00373E8B"/>
    <w:rsid w:val="00376061"/>
    <w:rsid w:val="00380088"/>
    <w:rsid w:val="00380E3F"/>
    <w:rsid w:val="00386A79"/>
    <w:rsid w:val="00386D4E"/>
    <w:rsid w:val="00386D53"/>
    <w:rsid w:val="00387817"/>
    <w:rsid w:val="00390735"/>
    <w:rsid w:val="00390E0F"/>
    <w:rsid w:val="00391282"/>
    <w:rsid w:val="00392651"/>
    <w:rsid w:val="00393EF9"/>
    <w:rsid w:val="00394371"/>
    <w:rsid w:val="00394917"/>
    <w:rsid w:val="00397A6B"/>
    <w:rsid w:val="003A0BA1"/>
    <w:rsid w:val="003A3BDE"/>
    <w:rsid w:val="003A4529"/>
    <w:rsid w:val="003A4B12"/>
    <w:rsid w:val="003A5D52"/>
    <w:rsid w:val="003A6B90"/>
    <w:rsid w:val="003A7D4F"/>
    <w:rsid w:val="003B7653"/>
    <w:rsid w:val="003C119A"/>
    <w:rsid w:val="003C22EB"/>
    <w:rsid w:val="003C5A22"/>
    <w:rsid w:val="003C5E0B"/>
    <w:rsid w:val="003C6692"/>
    <w:rsid w:val="003D0D89"/>
    <w:rsid w:val="003D0FF0"/>
    <w:rsid w:val="003D2777"/>
    <w:rsid w:val="003D3C88"/>
    <w:rsid w:val="003D4B0E"/>
    <w:rsid w:val="003D77C6"/>
    <w:rsid w:val="003E600D"/>
    <w:rsid w:val="003E74E3"/>
    <w:rsid w:val="003E7650"/>
    <w:rsid w:val="003F15C0"/>
    <w:rsid w:val="003F1A46"/>
    <w:rsid w:val="003F1EA5"/>
    <w:rsid w:val="003F3D60"/>
    <w:rsid w:val="0040024E"/>
    <w:rsid w:val="0040136A"/>
    <w:rsid w:val="00402B61"/>
    <w:rsid w:val="004032C8"/>
    <w:rsid w:val="00406611"/>
    <w:rsid w:val="00406FD7"/>
    <w:rsid w:val="0041013C"/>
    <w:rsid w:val="00411E74"/>
    <w:rsid w:val="004125C5"/>
    <w:rsid w:val="00412D0A"/>
    <w:rsid w:val="004145F3"/>
    <w:rsid w:val="00420C6B"/>
    <w:rsid w:val="004213D1"/>
    <w:rsid w:val="00422E5D"/>
    <w:rsid w:val="00423E4F"/>
    <w:rsid w:val="00423F08"/>
    <w:rsid w:val="004241A4"/>
    <w:rsid w:val="004248DE"/>
    <w:rsid w:val="00431CA4"/>
    <w:rsid w:val="00432AF1"/>
    <w:rsid w:val="004346D4"/>
    <w:rsid w:val="00441E95"/>
    <w:rsid w:val="004446A8"/>
    <w:rsid w:val="004447C6"/>
    <w:rsid w:val="00446863"/>
    <w:rsid w:val="004468B0"/>
    <w:rsid w:val="004521F7"/>
    <w:rsid w:val="004525C8"/>
    <w:rsid w:val="00454FFF"/>
    <w:rsid w:val="00456548"/>
    <w:rsid w:val="00457ECF"/>
    <w:rsid w:val="00467DE7"/>
    <w:rsid w:val="004703C9"/>
    <w:rsid w:val="004715DF"/>
    <w:rsid w:val="00472A69"/>
    <w:rsid w:val="00472F77"/>
    <w:rsid w:val="00473966"/>
    <w:rsid w:val="0047753D"/>
    <w:rsid w:val="00477D54"/>
    <w:rsid w:val="00482636"/>
    <w:rsid w:val="00482A58"/>
    <w:rsid w:val="004842D9"/>
    <w:rsid w:val="004849DE"/>
    <w:rsid w:val="004864EB"/>
    <w:rsid w:val="00487AA4"/>
    <w:rsid w:val="00487FAB"/>
    <w:rsid w:val="004903EC"/>
    <w:rsid w:val="004932B0"/>
    <w:rsid w:val="00493E01"/>
    <w:rsid w:val="0049661C"/>
    <w:rsid w:val="004A0208"/>
    <w:rsid w:val="004A1AED"/>
    <w:rsid w:val="004A3497"/>
    <w:rsid w:val="004A4314"/>
    <w:rsid w:val="004A4C5F"/>
    <w:rsid w:val="004A61AF"/>
    <w:rsid w:val="004B2CF6"/>
    <w:rsid w:val="004C1203"/>
    <w:rsid w:val="004C76F4"/>
    <w:rsid w:val="004D0AC5"/>
    <w:rsid w:val="004D0FC8"/>
    <w:rsid w:val="004D2D81"/>
    <w:rsid w:val="004D3C05"/>
    <w:rsid w:val="004D679C"/>
    <w:rsid w:val="004D6DEA"/>
    <w:rsid w:val="004E1EF2"/>
    <w:rsid w:val="004E2B5B"/>
    <w:rsid w:val="004E30E7"/>
    <w:rsid w:val="004E4A8E"/>
    <w:rsid w:val="004E5BE1"/>
    <w:rsid w:val="004F151E"/>
    <w:rsid w:val="004F2BB6"/>
    <w:rsid w:val="004F52C3"/>
    <w:rsid w:val="004F7143"/>
    <w:rsid w:val="004F76BB"/>
    <w:rsid w:val="00501FCA"/>
    <w:rsid w:val="0050257B"/>
    <w:rsid w:val="00503380"/>
    <w:rsid w:val="005046EE"/>
    <w:rsid w:val="00506A3D"/>
    <w:rsid w:val="005122DB"/>
    <w:rsid w:val="005161AB"/>
    <w:rsid w:val="005209CE"/>
    <w:rsid w:val="00520E51"/>
    <w:rsid w:val="00521398"/>
    <w:rsid w:val="00524153"/>
    <w:rsid w:val="00530FF4"/>
    <w:rsid w:val="005324E8"/>
    <w:rsid w:val="005336A4"/>
    <w:rsid w:val="00535501"/>
    <w:rsid w:val="0053656A"/>
    <w:rsid w:val="00537E1A"/>
    <w:rsid w:val="00540EA1"/>
    <w:rsid w:val="00541066"/>
    <w:rsid w:val="00544551"/>
    <w:rsid w:val="00544558"/>
    <w:rsid w:val="00544FE2"/>
    <w:rsid w:val="005477A6"/>
    <w:rsid w:val="0055298F"/>
    <w:rsid w:val="00553D1F"/>
    <w:rsid w:val="00557756"/>
    <w:rsid w:val="00563AB9"/>
    <w:rsid w:val="00564541"/>
    <w:rsid w:val="00565D3A"/>
    <w:rsid w:val="005676CB"/>
    <w:rsid w:val="00570B26"/>
    <w:rsid w:val="00571A48"/>
    <w:rsid w:val="00571BEC"/>
    <w:rsid w:val="00572DC6"/>
    <w:rsid w:val="00576ABE"/>
    <w:rsid w:val="00580BC1"/>
    <w:rsid w:val="005857ED"/>
    <w:rsid w:val="00585DC1"/>
    <w:rsid w:val="00590180"/>
    <w:rsid w:val="0059432E"/>
    <w:rsid w:val="005954F9"/>
    <w:rsid w:val="005A1A9B"/>
    <w:rsid w:val="005A2FBA"/>
    <w:rsid w:val="005A3AB2"/>
    <w:rsid w:val="005A688A"/>
    <w:rsid w:val="005A6EEC"/>
    <w:rsid w:val="005B0CA3"/>
    <w:rsid w:val="005B5928"/>
    <w:rsid w:val="005C1702"/>
    <w:rsid w:val="005C17AC"/>
    <w:rsid w:val="005C48A0"/>
    <w:rsid w:val="005C4E12"/>
    <w:rsid w:val="005C7517"/>
    <w:rsid w:val="005D52DE"/>
    <w:rsid w:val="005D5B09"/>
    <w:rsid w:val="005D5F44"/>
    <w:rsid w:val="005D7406"/>
    <w:rsid w:val="005E071F"/>
    <w:rsid w:val="005E0CF0"/>
    <w:rsid w:val="005E33D8"/>
    <w:rsid w:val="005E38FF"/>
    <w:rsid w:val="005E5103"/>
    <w:rsid w:val="005E5AE8"/>
    <w:rsid w:val="005E7390"/>
    <w:rsid w:val="005F1972"/>
    <w:rsid w:val="005F2D57"/>
    <w:rsid w:val="005F5D4A"/>
    <w:rsid w:val="00600759"/>
    <w:rsid w:val="00600BC9"/>
    <w:rsid w:val="00603D3C"/>
    <w:rsid w:val="006047E1"/>
    <w:rsid w:val="0060680C"/>
    <w:rsid w:val="00610F13"/>
    <w:rsid w:val="00611242"/>
    <w:rsid w:val="00611857"/>
    <w:rsid w:val="006125E9"/>
    <w:rsid w:val="00613B9B"/>
    <w:rsid w:val="00615541"/>
    <w:rsid w:val="00616669"/>
    <w:rsid w:val="00626C8D"/>
    <w:rsid w:val="006305F1"/>
    <w:rsid w:val="006317F4"/>
    <w:rsid w:val="00631AD3"/>
    <w:rsid w:val="00632DA7"/>
    <w:rsid w:val="00637182"/>
    <w:rsid w:val="0064347C"/>
    <w:rsid w:val="00644107"/>
    <w:rsid w:val="00646F04"/>
    <w:rsid w:val="00653C54"/>
    <w:rsid w:val="00656A8B"/>
    <w:rsid w:val="006579F6"/>
    <w:rsid w:val="0066065B"/>
    <w:rsid w:val="0066149C"/>
    <w:rsid w:val="00661B46"/>
    <w:rsid w:val="0066305D"/>
    <w:rsid w:val="00664449"/>
    <w:rsid w:val="006649FE"/>
    <w:rsid w:val="00665975"/>
    <w:rsid w:val="00667D49"/>
    <w:rsid w:val="00672410"/>
    <w:rsid w:val="00672A03"/>
    <w:rsid w:val="00672E70"/>
    <w:rsid w:val="00676D85"/>
    <w:rsid w:val="00677340"/>
    <w:rsid w:val="00680C04"/>
    <w:rsid w:val="0068207F"/>
    <w:rsid w:val="00686DE8"/>
    <w:rsid w:val="006876D1"/>
    <w:rsid w:val="00687A7A"/>
    <w:rsid w:val="00691155"/>
    <w:rsid w:val="00691E2A"/>
    <w:rsid w:val="006945B6"/>
    <w:rsid w:val="00695879"/>
    <w:rsid w:val="006967BC"/>
    <w:rsid w:val="006977BF"/>
    <w:rsid w:val="00697D53"/>
    <w:rsid w:val="006A3965"/>
    <w:rsid w:val="006A529A"/>
    <w:rsid w:val="006A7761"/>
    <w:rsid w:val="006B1258"/>
    <w:rsid w:val="006B1699"/>
    <w:rsid w:val="006B2334"/>
    <w:rsid w:val="006B3610"/>
    <w:rsid w:val="006B3C05"/>
    <w:rsid w:val="006B3CD6"/>
    <w:rsid w:val="006B3E05"/>
    <w:rsid w:val="006B7270"/>
    <w:rsid w:val="006B79D2"/>
    <w:rsid w:val="006C1327"/>
    <w:rsid w:val="006C313D"/>
    <w:rsid w:val="006C3DC0"/>
    <w:rsid w:val="006C42A4"/>
    <w:rsid w:val="006C4DD1"/>
    <w:rsid w:val="006C52CE"/>
    <w:rsid w:val="006C5D96"/>
    <w:rsid w:val="006D096C"/>
    <w:rsid w:val="006D2B96"/>
    <w:rsid w:val="006D5B82"/>
    <w:rsid w:val="006D618B"/>
    <w:rsid w:val="006D6A60"/>
    <w:rsid w:val="006E08F4"/>
    <w:rsid w:val="006E4738"/>
    <w:rsid w:val="006E5D67"/>
    <w:rsid w:val="006E66E4"/>
    <w:rsid w:val="006E794E"/>
    <w:rsid w:val="006E7A82"/>
    <w:rsid w:val="006F1778"/>
    <w:rsid w:val="006F4696"/>
    <w:rsid w:val="006F5641"/>
    <w:rsid w:val="00702284"/>
    <w:rsid w:val="00702AFD"/>
    <w:rsid w:val="007120FB"/>
    <w:rsid w:val="00712235"/>
    <w:rsid w:val="007122C9"/>
    <w:rsid w:val="00714925"/>
    <w:rsid w:val="00716AED"/>
    <w:rsid w:val="0072006D"/>
    <w:rsid w:val="007215A6"/>
    <w:rsid w:val="007220CE"/>
    <w:rsid w:val="007251C8"/>
    <w:rsid w:val="00726C48"/>
    <w:rsid w:val="00727399"/>
    <w:rsid w:val="007318EE"/>
    <w:rsid w:val="0073318E"/>
    <w:rsid w:val="00733923"/>
    <w:rsid w:val="00737E15"/>
    <w:rsid w:val="0074100E"/>
    <w:rsid w:val="0074218B"/>
    <w:rsid w:val="007437B9"/>
    <w:rsid w:val="00752280"/>
    <w:rsid w:val="007546E8"/>
    <w:rsid w:val="00754C9F"/>
    <w:rsid w:val="00754E83"/>
    <w:rsid w:val="00756CCC"/>
    <w:rsid w:val="00757DFC"/>
    <w:rsid w:val="00760248"/>
    <w:rsid w:val="00760C2A"/>
    <w:rsid w:val="0076747A"/>
    <w:rsid w:val="00775EF9"/>
    <w:rsid w:val="007771CE"/>
    <w:rsid w:val="0078274F"/>
    <w:rsid w:val="00782A3F"/>
    <w:rsid w:val="00783ECA"/>
    <w:rsid w:val="007917D8"/>
    <w:rsid w:val="00792324"/>
    <w:rsid w:val="0079556C"/>
    <w:rsid w:val="007A36B6"/>
    <w:rsid w:val="007A3F54"/>
    <w:rsid w:val="007A4F3C"/>
    <w:rsid w:val="007B09EE"/>
    <w:rsid w:val="007B1E63"/>
    <w:rsid w:val="007B2061"/>
    <w:rsid w:val="007B2112"/>
    <w:rsid w:val="007B335B"/>
    <w:rsid w:val="007B4722"/>
    <w:rsid w:val="007B59F1"/>
    <w:rsid w:val="007C5632"/>
    <w:rsid w:val="007C5B90"/>
    <w:rsid w:val="007C79C5"/>
    <w:rsid w:val="007D0724"/>
    <w:rsid w:val="007D35D9"/>
    <w:rsid w:val="007D3C5A"/>
    <w:rsid w:val="007D5BFC"/>
    <w:rsid w:val="007E11B6"/>
    <w:rsid w:val="007E17B1"/>
    <w:rsid w:val="007E1AC3"/>
    <w:rsid w:val="007E2C4A"/>
    <w:rsid w:val="007E312D"/>
    <w:rsid w:val="007E7465"/>
    <w:rsid w:val="007F05F2"/>
    <w:rsid w:val="007F18D3"/>
    <w:rsid w:val="007F5E8D"/>
    <w:rsid w:val="007F62BB"/>
    <w:rsid w:val="007F7B49"/>
    <w:rsid w:val="007F7C94"/>
    <w:rsid w:val="00804877"/>
    <w:rsid w:val="00811C82"/>
    <w:rsid w:val="008138DC"/>
    <w:rsid w:val="0081397C"/>
    <w:rsid w:val="00814459"/>
    <w:rsid w:val="00814464"/>
    <w:rsid w:val="00815270"/>
    <w:rsid w:val="00823779"/>
    <w:rsid w:val="00824535"/>
    <w:rsid w:val="00824A3D"/>
    <w:rsid w:val="00826F78"/>
    <w:rsid w:val="00827D48"/>
    <w:rsid w:val="00831E7B"/>
    <w:rsid w:val="00831F62"/>
    <w:rsid w:val="00832BF7"/>
    <w:rsid w:val="00834B7E"/>
    <w:rsid w:val="008361A1"/>
    <w:rsid w:val="00836F38"/>
    <w:rsid w:val="008378C3"/>
    <w:rsid w:val="00844EAA"/>
    <w:rsid w:val="008462CD"/>
    <w:rsid w:val="008477FD"/>
    <w:rsid w:val="00847CBA"/>
    <w:rsid w:val="0085133C"/>
    <w:rsid w:val="0085356D"/>
    <w:rsid w:val="00853DD7"/>
    <w:rsid w:val="0085566D"/>
    <w:rsid w:val="008566F9"/>
    <w:rsid w:val="00860504"/>
    <w:rsid w:val="00860DD9"/>
    <w:rsid w:val="00866649"/>
    <w:rsid w:val="00867960"/>
    <w:rsid w:val="00871EA7"/>
    <w:rsid w:val="00871EED"/>
    <w:rsid w:val="00873534"/>
    <w:rsid w:val="00873E2C"/>
    <w:rsid w:val="008760E1"/>
    <w:rsid w:val="00877EE5"/>
    <w:rsid w:val="0088623C"/>
    <w:rsid w:val="008867BA"/>
    <w:rsid w:val="00887325"/>
    <w:rsid w:val="00887AAC"/>
    <w:rsid w:val="0089094B"/>
    <w:rsid w:val="00892DC0"/>
    <w:rsid w:val="008A0A5D"/>
    <w:rsid w:val="008A0A65"/>
    <w:rsid w:val="008A1B9F"/>
    <w:rsid w:val="008A415F"/>
    <w:rsid w:val="008B0194"/>
    <w:rsid w:val="008B031B"/>
    <w:rsid w:val="008B128B"/>
    <w:rsid w:val="008B21A9"/>
    <w:rsid w:val="008B34A7"/>
    <w:rsid w:val="008B3B01"/>
    <w:rsid w:val="008B42CB"/>
    <w:rsid w:val="008B4C6B"/>
    <w:rsid w:val="008B5675"/>
    <w:rsid w:val="008B68AE"/>
    <w:rsid w:val="008B6A8B"/>
    <w:rsid w:val="008B7F0C"/>
    <w:rsid w:val="008C0463"/>
    <w:rsid w:val="008C05F1"/>
    <w:rsid w:val="008C2F7E"/>
    <w:rsid w:val="008C40DD"/>
    <w:rsid w:val="008C51A3"/>
    <w:rsid w:val="008C580F"/>
    <w:rsid w:val="008C6D7B"/>
    <w:rsid w:val="008C7BD4"/>
    <w:rsid w:val="008D193A"/>
    <w:rsid w:val="008D26E4"/>
    <w:rsid w:val="008D4123"/>
    <w:rsid w:val="008D521C"/>
    <w:rsid w:val="008D7F2C"/>
    <w:rsid w:val="008E058D"/>
    <w:rsid w:val="008E4654"/>
    <w:rsid w:val="008E4B38"/>
    <w:rsid w:val="008E6775"/>
    <w:rsid w:val="008F0C51"/>
    <w:rsid w:val="008F172C"/>
    <w:rsid w:val="008F1CEF"/>
    <w:rsid w:val="008F4FC6"/>
    <w:rsid w:val="008F5128"/>
    <w:rsid w:val="00903E1E"/>
    <w:rsid w:val="0090484F"/>
    <w:rsid w:val="00904AD3"/>
    <w:rsid w:val="00906271"/>
    <w:rsid w:val="00906AAF"/>
    <w:rsid w:val="00906BBD"/>
    <w:rsid w:val="00916099"/>
    <w:rsid w:val="00927E1B"/>
    <w:rsid w:val="009333D6"/>
    <w:rsid w:val="00934187"/>
    <w:rsid w:val="0093468B"/>
    <w:rsid w:val="0093653E"/>
    <w:rsid w:val="00936CB4"/>
    <w:rsid w:val="0093727A"/>
    <w:rsid w:val="00937A5C"/>
    <w:rsid w:val="00941931"/>
    <w:rsid w:val="00946966"/>
    <w:rsid w:val="00952660"/>
    <w:rsid w:val="009571D3"/>
    <w:rsid w:val="00957F4D"/>
    <w:rsid w:val="00962A27"/>
    <w:rsid w:val="00963930"/>
    <w:rsid w:val="00964363"/>
    <w:rsid w:val="009650D0"/>
    <w:rsid w:val="00965D85"/>
    <w:rsid w:val="009729DE"/>
    <w:rsid w:val="00973A27"/>
    <w:rsid w:val="00973AFF"/>
    <w:rsid w:val="00973BDF"/>
    <w:rsid w:val="00975724"/>
    <w:rsid w:val="009764B6"/>
    <w:rsid w:val="00976A38"/>
    <w:rsid w:val="00976D88"/>
    <w:rsid w:val="00976D98"/>
    <w:rsid w:val="009778FF"/>
    <w:rsid w:val="00977A09"/>
    <w:rsid w:val="00980193"/>
    <w:rsid w:val="00981ABD"/>
    <w:rsid w:val="009821AD"/>
    <w:rsid w:val="009824A8"/>
    <w:rsid w:val="009851EA"/>
    <w:rsid w:val="0098799C"/>
    <w:rsid w:val="00987BF2"/>
    <w:rsid w:val="009908C6"/>
    <w:rsid w:val="00992600"/>
    <w:rsid w:val="00993B63"/>
    <w:rsid w:val="0099678A"/>
    <w:rsid w:val="009A1C6A"/>
    <w:rsid w:val="009A27A2"/>
    <w:rsid w:val="009A3030"/>
    <w:rsid w:val="009A37AA"/>
    <w:rsid w:val="009B1003"/>
    <w:rsid w:val="009B1910"/>
    <w:rsid w:val="009B1A31"/>
    <w:rsid w:val="009B2823"/>
    <w:rsid w:val="009B4793"/>
    <w:rsid w:val="009B4C78"/>
    <w:rsid w:val="009C4EDD"/>
    <w:rsid w:val="009C66EB"/>
    <w:rsid w:val="009C69EB"/>
    <w:rsid w:val="009C7E7C"/>
    <w:rsid w:val="009D14B5"/>
    <w:rsid w:val="009D1F91"/>
    <w:rsid w:val="009D4CC6"/>
    <w:rsid w:val="009D506D"/>
    <w:rsid w:val="009D587A"/>
    <w:rsid w:val="009E0538"/>
    <w:rsid w:val="009E1043"/>
    <w:rsid w:val="009E34E4"/>
    <w:rsid w:val="009E79B9"/>
    <w:rsid w:val="009E7DC1"/>
    <w:rsid w:val="009F0907"/>
    <w:rsid w:val="009F15D5"/>
    <w:rsid w:val="009F2F12"/>
    <w:rsid w:val="009F3759"/>
    <w:rsid w:val="00A0269C"/>
    <w:rsid w:val="00A07C31"/>
    <w:rsid w:val="00A11BF2"/>
    <w:rsid w:val="00A14A0F"/>
    <w:rsid w:val="00A14BDA"/>
    <w:rsid w:val="00A15658"/>
    <w:rsid w:val="00A21415"/>
    <w:rsid w:val="00A22D3F"/>
    <w:rsid w:val="00A24F66"/>
    <w:rsid w:val="00A25E8C"/>
    <w:rsid w:val="00A260DC"/>
    <w:rsid w:val="00A26FCE"/>
    <w:rsid w:val="00A272D8"/>
    <w:rsid w:val="00A273A8"/>
    <w:rsid w:val="00A339F3"/>
    <w:rsid w:val="00A36488"/>
    <w:rsid w:val="00A377DE"/>
    <w:rsid w:val="00A42B60"/>
    <w:rsid w:val="00A45886"/>
    <w:rsid w:val="00A4799B"/>
    <w:rsid w:val="00A505CC"/>
    <w:rsid w:val="00A50D7F"/>
    <w:rsid w:val="00A52B79"/>
    <w:rsid w:val="00A52D72"/>
    <w:rsid w:val="00A54EBA"/>
    <w:rsid w:val="00A5767D"/>
    <w:rsid w:val="00A6242C"/>
    <w:rsid w:val="00A63D9D"/>
    <w:rsid w:val="00A74A1F"/>
    <w:rsid w:val="00A75469"/>
    <w:rsid w:val="00A77849"/>
    <w:rsid w:val="00A80BEE"/>
    <w:rsid w:val="00A81674"/>
    <w:rsid w:val="00A81C0F"/>
    <w:rsid w:val="00A84F41"/>
    <w:rsid w:val="00A90905"/>
    <w:rsid w:val="00A93E1C"/>
    <w:rsid w:val="00A965F7"/>
    <w:rsid w:val="00A97457"/>
    <w:rsid w:val="00AA0EA5"/>
    <w:rsid w:val="00AA1748"/>
    <w:rsid w:val="00AA45B9"/>
    <w:rsid w:val="00AA7589"/>
    <w:rsid w:val="00AA78C7"/>
    <w:rsid w:val="00AB0C35"/>
    <w:rsid w:val="00AB1E64"/>
    <w:rsid w:val="00AB30B9"/>
    <w:rsid w:val="00AB35ED"/>
    <w:rsid w:val="00AB5C4E"/>
    <w:rsid w:val="00AC2967"/>
    <w:rsid w:val="00AC2C11"/>
    <w:rsid w:val="00AC34A4"/>
    <w:rsid w:val="00AC3BEC"/>
    <w:rsid w:val="00AC3D3C"/>
    <w:rsid w:val="00AC57E6"/>
    <w:rsid w:val="00AC7332"/>
    <w:rsid w:val="00AD26BB"/>
    <w:rsid w:val="00AD4FBF"/>
    <w:rsid w:val="00AE7820"/>
    <w:rsid w:val="00AF14E6"/>
    <w:rsid w:val="00AF4DEB"/>
    <w:rsid w:val="00AF5AED"/>
    <w:rsid w:val="00B01AE0"/>
    <w:rsid w:val="00B0344C"/>
    <w:rsid w:val="00B03AFA"/>
    <w:rsid w:val="00B03FB0"/>
    <w:rsid w:val="00B048B0"/>
    <w:rsid w:val="00B072E5"/>
    <w:rsid w:val="00B1331F"/>
    <w:rsid w:val="00B139C9"/>
    <w:rsid w:val="00B15C9F"/>
    <w:rsid w:val="00B20585"/>
    <w:rsid w:val="00B22705"/>
    <w:rsid w:val="00B30299"/>
    <w:rsid w:val="00B328B6"/>
    <w:rsid w:val="00B33E27"/>
    <w:rsid w:val="00B35462"/>
    <w:rsid w:val="00B37929"/>
    <w:rsid w:val="00B37A6E"/>
    <w:rsid w:val="00B40EB3"/>
    <w:rsid w:val="00B421F8"/>
    <w:rsid w:val="00B4263F"/>
    <w:rsid w:val="00B50B22"/>
    <w:rsid w:val="00B52779"/>
    <w:rsid w:val="00B553D1"/>
    <w:rsid w:val="00B55E8D"/>
    <w:rsid w:val="00B57DCA"/>
    <w:rsid w:val="00B60430"/>
    <w:rsid w:val="00B62DF0"/>
    <w:rsid w:val="00B6535F"/>
    <w:rsid w:val="00B72088"/>
    <w:rsid w:val="00B725BB"/>
    <w:rsid w:val="00B742C7"/>
    <w:rsid w:val="00B77535"/>
    <w:rsid w:val="00B80367"/>
    <w:rsid w:val="00B83A1F"/>
    <w:rsid w:val="00B911D1"/>
    <w:rsid w:val="00B94640"/>
    <w:rsid w:val="00B94ABE"/>
    <w:rsid w:val="00BA734D"/>
    <w:rsid w:val="00BB0D37"/>
    <w:rsid w:val="00BB1B03"/>
    <w:rsid w:val="00BB5C50"/>
    <w:rsid w:val="00BB63A9"/>
    <w:rsid w:val="00BB7361"/>
    <w:rsid w:val="00BC083A"/>
    <w:rsid w:val="00BC11D4"/>
    <w:rsid w:val="00BC3548"/>
    <w:rsid w:val="00BC708E"/>
    <w:rsid w:val="00BC7270"/>
    <w:rsid w:val="00BD1C5B"/>
    <w:rsid w:val="00BD3E09"/>
    <w:rsid w:val="00BD6556"/>
    <w:rsid w:val="00BD7E64"/>
    <w:rsid w:val="00BE0211"/>
    <w:rsid w:val="00BE1A32"/>
    <w:rsid w:val="00BF2135"/>
    <w:rsid w:val="00BF385A"/>
    <w:rsid w:val="00BF420C"/>
    <w:rsid w:val="00BF5F38"/>
    <w:rsid w:val="00C06509"/>
    <w:rsid w:val="00C06859"/>
    <w:rsid w:val="00C0754D"/>
    <w:rsid w:val="00C144CA"/>
    <w:rsid w:val="00C16218"/>
    <w:rsid w:val="00C16B87"/>
    <w:rsid w:val="00C20D28"/>
    <w:rsid w:val="00C211B2"/>
    <w:rsid w:val="00C21361"/>
    <w:rsid w:val="00C227E8"/>
    <w:rsid w:val="00C263CC"/>
    <w:rsid w:val="00C312BA"/>
    <w:rsid w:val="00C31D1B"/>
    <w:rsid w:val="00C33286"/>
    <w:rsid w:val="00C4274F"/>
    <w:rsid w:val="00C45EE3"/>
    <w:rsid w:val="00C465FA"/>
    <w:rsid w:val="00C47D08"/>
    <w:rsid w:val="00C503B2"/>
    <w:rsid w:val="00C506E5"/>
    <w:rsid w:val="00C513B9"/>
    <w:rsid w:val="00C5158C"/>
    <w:rsid w:val="00C56E66"/>
    <w:rsid w:val="00C56FA1"/>
    <w:rsid w:val="00C6071A"/>
    <w:rsid w:val="00C61298"/>
    <w:rsid w:val="00C62F33"/>
    <w:rsid w:val="00C70B7B"/>
    <w:rsid w:val="00C7398C"/>
    <w:rsid w:val="00C739B7"/>
    <w:rsid w:val="00C73A3C"/>
    <w:rsid w:val="00C77CFD"/>
    <w:rsid w:val="00C8004C"/>
    <w:rsid w:val="00C81201"/>
    <w:rsid w:val="00C8266A"/>
    <w:rsid w:val="00C85537"/>
    <w:rsid w:val="00C859FF"/>
    <w:rsid w:val="00C968AA"/>
    <w:rsid w:val="00C9693F"/>
    <w:rsid w:val="00C97250"/>
    <w:rsid w:val="00CA1079"/>
    <w:rsid w:val="00CA4092"/>
    <w:rsid w:val="00CB0421"/>
    <w:rsid w:val="00CB26C4"/>
    <w:rsid w:val="00CB62F8"/>
    <w:rsid w:val="00CB6C11"/>
    <w:rsid w:val="00CB7A02"/>
    <w:rsid w:val="00CC32A3"/>
    <w:rsid w:val="00CC57BE"/>
    <w:rsid w:val="00CD159C"/>
    <w:rsid w:val="00CD25D1"/>
    <w:rsid w:val="00CD761A"/>
    <w:rsid w:val="00CD7C79"/>
    <w:rsid w:val="00CE02D2"/>
    <w:rsid w:val="00CE24DF"/>
    <w:rsid w:val="00CE4C1B"/>
    <w:rsid w:val="00CE5BA8"/>
    <w:rsid w:val="00CE70ED"/>
    <w:rsid w:val="00CE7568"/>
    <w:rsid w:val="00CF0D3D"/>
    <w:rsid w:val="00CF3808"/>
    <w:rsid w:val="00CF6FE6"/>
    <w:rsid w:val="00CF7110"/>
    <w:rsid w:val="00D000E0"/>
    <w:rsid w:val="00D021FD"/>
    <w:rsid w:val="00D03B53"/>
    <w:rsid w:val="00D045AB"/>
    <w:rsid w:val="00D04952"/>
    <w:rsid w:val="00D12C5E"/>
    <w:rsid w:val="00D13236"/>
    <w:rsid w:val="00D145C2"/>
    <w:rsid w:val="00D168EB"/>
    <w:rsid w:val="00D21364"/>
    <w:rsid w:val="00D21E9B"/>
    <w:rsid w:val="00D22F71"/>
    <w:rsid w:val="00D233F5"/>
    <w:rsid w:val="00D24F39"/>
    <w:rsid w:val="00D26CC0"/>
    <w:rsid w:val="00D27FBB"/>
    <w:rsid w:val="00D349C2"/>
    <w:rsid w:val="00D34A50"/>
    <w:rsid w:val="00D354AB"/>
    <w:rsid w:val="00D3572A"/>
    <w:rsid w:val="00D4189A"/>
    <w:rsid w:val="00D51CA9"/>
    <w:rsid w:val="00D535C1"/>
    <w:rsid w:val="00D55DFD"/>
    <w:rsid w:val="00D60FC4"/>
    <w:rsid w:val="00D63A29"/>
    <w:rsid w:val="00D65828"/>
    <w:rsid w:val="00D65ED4"/>
    <w:rsid w:val="00D66E98"/>
    <w:rsid w:val="00D6728E"/>
    <w:rsid w:val="00D7160B"/>
    <w:rsid w:val="00D71A5E"/>
    <w:rsid w:val="00D71AB6"/>
    <w:rsid w:val="00D731DB"/>
    <w:rsid w:val="00D75B4B"/>
    <w:rsid w:val="00D76AA9"/>
    <w:rsid w:val="00D80184"/>
    <w:rsid w:val="00D81B45"/>
    <w:rsid w:val="00D81C2B"/>
    <w:rsid w:val="00D82683"/>
    <w:rsid w:val="00D8422F"/>
    <w:rsid w:val="00D84EFE"/>
    <w:rsid w:val="00D85498"/>
    <w:rsid w:val="00D9065C"/>
    <w:rsid w:val="00D907C9"/>
    <w:rsid w:val="00D90A46"/>
    <w:rsid w:val="00D915B4"/>
    <w:rsid w:val="00D94720"/>
    <w:rsid w:val="00D96957"/>
    <w:rsid w:val="00D9741D"/>
    <w:rsid w:val="00DA0C86"/>
    <w:rsid w:val="00DA4A78"/>
    <w:rsid w:val="00DA553D"/>
    <w:rsid w:val="00DB2CA1"/>
    <w:rsid w:val="00DB468C"/>
    <w:rsid w:val="00DC0F04"/>
    <w:rsid w:val="00DC4594"/>
    <w:rsid w:val="00DD49D9"/>
    <w:rsid w:val="00DD4F6A"/>
    <w:rsid w:val="00DE2903"/>
    <w:rsid w:val="00DE2F91"/>
    <w:rsid w:val="00DE3015"/>
    <w:rsid w:val="00DE3A3B"/>
    <w:rsid w:val="00DE53A0"/>
    <w:rsid w:val="00DE71A6"/>
    <w:rsid w:val="00DF017C"/>
    <w:rsid w:val="00DF6023"/>
    <w:rsid w:val="00E00563"/>
    <w:rsid w:val="00E0231B"/>
    <w:rsid w:val="00E05C2E"/>
    <w:rsid w:val="00E070F7"/>
    <w:rsid w:val="00E144C0"/>
    <w:rsid w:val="00E16215"/>
    <w:rsid w:val="00E16A90"/>
    <w:rsid w:val="00E17231"/>
    <w:rsid w:val="00E17553"/>
    <w:rsid w:val="00E17E31"/>
    <w:rsid w:val="00E202B0"/>
    <w:rsid w:val="00E22ED2"/>
    <w:rsid w:val="00E305C6"/>
    <w:rsid w:val="00E323D2"/>
    <w:rsid w:val="00E32900"/>
    <w:rsid w:val="00E33EFB"/>
    <w:rsid w:val="00E423EA"/>
    <w:rsid w:val="00E426B6"/>
    <w:rsid w:val="00E43FE6"/>
    <w:rsid w:val="00E45E5C"/>
    <w:rsid w:val="00E50D3E"/>
    <w:rsid w:val="00E520A7"/>
    <w:rsid w:val="00E52318"/>
    <w:rsid w:val="00E56C13"/>
    <w:rsid w:val="00E616A2"/>
    <w:rsid w:val="00E62495"/>
    <w:rsid w:val="00E641DA"/>
    <w:rsid w:val="00E6490C"/>
    <w:rsid w:val="00E674D4"/>
    <w:rsid w:val="00E67D1E"/>
    <w:rsid w:val="00E67EDD"/>
    <w:rsid w:val="00E71B56"/>
    <w:rsid w:val="00E71C3F"/>
    <w:rsid w:val="00E71ECC"/>
    <w:rsid w:val="00E77130"/>
    <w:rsid w:val="00E802F2"/>
    <w:rsid w:val="00E81747"/>
    <w:rsid w:val="00E82516"/>
    <w:rsid w:val="00E82E24"/>
    <w:rsid w:val="00E83E66"/>
    <w:rsid w:val="00E869FB"/>
    <w:rsid w:val="00E86A66"/>
    <w:rsid w:val="00E907BD"/>
    <w:rsid w:val="00E91D0B"/>
    <w:rsid w:val="00E92231"/>
    <w:rsid w:val="00E922D8"/>
    <w:rsid w:val="00E9402E"/>
    <w:rsid w:val="00E94AF6"/>
    <w:rsid w:val="00E95542"/>
    <w:rsid w:val="00E95D6A"/>
    <w:rsid w:val="00EA310F"/>
    <w:rsid w:val="00EA433C"/>
    <w:rsid w:val="00EA4DB5"/>
    <w:rsid w:val="00EA7B26"/>
    <w:rsid w:val="00EB415D"/>
    <w:rsid w:val="00EB4FE4"/>
    <w:rsid w:val="00EB6EDE"/>
    <w:rsid w:val="00EC3016"/>
    <w:rsid w:val="00EC5779"/>
    <w:rsid w:val="00ED4546"/>
    <w:rsid w:val="00ED745F"/>
    <w:rsid w:val="00EE0EC9"/>
    <w:rsid w:val="00EE288C"/>
    <w:rsid w:val="00EE3C6C"/>
    <w:rsid w:val="00EF11E6"/>
    <w:rsid w:val="00EF5391"/>
    <w:rsid w:val="00EF593F"/>
    <w:rsid w:val="00EF5ECF"/>
    <w:rsid w:val="00EF635D"/>
    <w:rsid w:val="00EF6A44"/>
    <w:rsid w:val="00F01F84"/>
    <w:rsid w:val="00F02094"/>
    <w:rsid w:val="00F139FF"/>
    <w:rsid w:val="00F1455E"/>
    <w:rsid w:val="00F1655F"/>
    <w:rsid w:val="00F16617"/>
    <w:rsid w:val="00F23321"/>
    <w:rsid w:val="00F25A8B"/>
    <w:rsid w:val="00F3146D"/>
    <w:rsid w:val="00F31AC0"/>
    <w:rsid w:val="00F31DE7"/>
    <w:rsid w:val="00F31E2E"/>
    <w:rsid w:val="00F34AFF"/>
    <w:rsid w:val="00F34E7E"/>
    <w:rsid w:val="00F3684E"/>
    <w:rsid w:val="00F40D65"/>
    <w:rsid w:val="00F52054"/>
    <w:rsid w:val="00F529B7"/>
    <w:rsid w:val="00F541E6"/>
    <w:rsid w:val="00F576B1"/>
    <w:rsid w:val="00F61EB6"/>
    <w:rsid w:val="00F63F67"/>
    <w:rsid w:val="00F64749"/>
    <w:rsid w:val="00F656FB"/>
    <w:rsid w:val="00F65AC9"/>
    <w:rsid w:val="00F662A9"/>
    <w:rsid w:val="00F7088A"/>
    <w:rsid w:val="00F71ECF"/>
    <w:rsid w:val="00F762E7"/>
    <w:rsid w:val="00F8039A"/>
    <w:rsid w:val="00F80BFE"/>
    <w:rsid w:val="00F83A97"/>
    <w:rsid w:val="00F85269"/>
    <w:rsid w:val="00F9145F"/>
    <w:rsid w:val="00F92F68"/>
    <w:rsid w:val="00F9372F"/>
    <w:rsid w:val="00F93ACB"/>
    <w:rsid w:val="00F94CF1"/>
    <w:rsid w:val="00F94D2A"/>
    <w:rsid w:val="00F9595F"/>
    <w:rsid w:val="00F95EC2"/>
    <w:rsid w:val="00F97B5F"/>
    <w:rsid w:val="00FA10EC"/>
    <w:rsid w:val="00FA12B4"/>
    <w:rsid w:val="00FA194A"/>
    <w:rsid w:val="00FA5F7A"/>
    <w:rsid w:val="00FA7610"/>
    <w:rsid w:val="00FB038F"/>
    <w:rsid w:val="00FB72FA"/>
    <w:rsid w:val="00FC079A"/>
    <w:rsid w:val="00FC143E"/>
    <w:rsid w:val="00FC4DF4"/>
    <w:rsid w:val="00FC66E2"/>
    <w:rsid w:val="00FD002F"/>
    <w:rsid w:val="00FD05DC"/>
    <w:rsid w:val="00FD1F9B"/>
    <w:rsid w:val="00FD6A88"/>
    <w:rsid w:val="00FE2648"/>
    <w:rsid w:val="00FE45A0"/>
    <w:rsid w:val="00FE5390"/>
    <w:rsid w:val="00FE5DBE"/>
    <w:rsid w:val="00FE63E4"/>
    <w:rsid w:val="00FF02AA"/>
    <w:rsid w:val="00FF358B"/>
    <w:rsid w:val="00FF62CC"/>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3AC61B2"/>
  <w15:chartTrackingRefBased/>
  <w15:docId w15:val="{FE1936AE-C2AA-4CAF-9B1D-9BC4F50F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5C"/>
    <w:pPr>
      <w:spacing w:after="0" w:line="240" w:lineRule="auto"/>
    </w:pPr>
    <w:rPr>
      <w:rFonts w:ascii="Calibri" w:eastAsia="Calibri" w:hAnsi="Calibri" w:cs="Arial"/>
      <w:kern w:val="0"/>
      <w:sz w:val="20"/>
      <w:szCs w:val="20"/>
      <w:lang w:val="en-PH" w:eastAsia="en-PH"/>
      <w14:ligatures w14:val="none"/>
    </w:rPr>
  </w:style>
  <w:style w:type="paragraph" w:styleId="Heading1">
    <w:name w:val="heading 1"/>
    <w:basedOn w:val="Normal"/>
    <w:next w:val="Normal"/>
    <w:link w:val="Heading1Char"/>
    <w:uiPriority w:val="9"/>
    <w:qFormat/>
    <w:rsid w:val="00196136"/>
    <w:pPr>
      <w:keepNext/>
      <w:keepLines/>
      <w:spacing w:before="240" w:line="259" w:lineRule="auto"/>
      <w:outlineLvl w:val="0"/>
    </w:pPr>
    <w:rPr>
      <w:rFonts w:ascii="Montserrat" w:eastAsiaTheme="majorEastAsia" w:hAnsi="Montserrat" w:cstheme="majorBidi"/>
      <w:b/>
      <w:color w:val="2F5496" w:themeColor="accent1" w:themeShade="BF"/>
      <w:sz w:val="28"/>
      <w:szCs w:val="32"/>
      <w:lang w:val="en-US" w:eastAsia="en-US"/>
    </w:rPr>
  </w:style>
  <w:style w:type="paragraph" w:styleId="Heading2">
    <w:name w:val="heading 2"/>
    <w:basedOn w:val="Normal"/>
    <w:next w:val="Normal"/>
    <w:link w:val="Heading2Char"/>
    <w:uiPriority w:val="9"/>
    <w:unhideWhenUsed/>
    <w:qFormat/>
    <w:rsid w:val="004864EB"/>
    <w:pPr>
      <w:keepNext/>
      <w:keepLines/>
      <w:spacing w:before="40"/>
      <w:outlineLvl w:val="1"/>
    </w:pPr>
    <w:rPr>
      <w:rFonts w:ascii="Montserrat" w:eastAsiaTheme="majorEastAsia" w:hAnsi="Montserrat"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42B79"/>
    <w:pPr>
      <w:keepNext/>
      <w:keepLines/>
      <w:spacing w:before="40"/>
      <w:outlineLvl w:val="2"/>
    </w:pPr>
    <w:rPr>
      <w:rFonts w:ascii="Montserrat" w:eastAsiaTheme="majorEastAsia" w:hAnsi="Montserrat" w:cstheme="majorBidi"/>
      <w:b/>
      <w: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4EA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44EAA"/>
    <w:rPr>
      <w:rFonts w:eastAsiaTheme="minorEastAsia"/>
      <w:kern w:val="0"/>
      <w14:ligatures w14:val="none"/>
    </w:rPr>
  </w:style>
  <w:style w:type="paragraph" w:styleId="FootnoteText">
    <w:name w:val="footnote text"/>
    <w:basedOn w:val="Normal"/>
    <w:link w:val="FootnoteTextChar"/>
    <w:uiPriority w:val="99"/>
    <w:semiHidden/>
    <w:unhideWhenUsed/>
    <w:rsid w:val="00844EAA"/>
  </w:style>
  <w:style w:type="character" w:customStyle="1" w:styleId="FootnoteTextChar">
    <w:name w:val="Footnote Text Char"/>
    <w:basedOn w:val="DefaultParagraphFont"/>
    <w:link w:val="FootnoteText"/>
    <w:uiPriority w:val="99"/>
    <w:semiHidden/>
    <w:rsid w:val="00844EAA"/>
    <w:rPr>
      <w:rFonts w:ascii="Calibri" w:eastAsia="Calibri" w:hAnsi="Calibri" w:cs="Arial"/>
      <w:kern w:val="0"/>
      <w:sz w:val="20"/>
      <w:szCs w:val="20"/>
      <w:lang w:val="en-PH" w:eastAsia="en-PH"/>
      <w14:ligatures w14:val="none"/>
    </w:rPr>
  </w:style>
  <w:style w:type="character" w:styleId="FootnoteReference">
    <w:name w:val="footnote reference"/>
    <w:basedOn w:val="DefaultParagraphFont"/>
    <w:uiPriority w:val="99"/>
    <w:semiHidden/>
    <w:unhideWhenUsed/>
    <w:rsid w:val="00844EAA"/>
    <w:rPr>
      <w:vertAlign w:val="superscript"/>
    </w:rPr>
  </w:style>
  <w:style w:type="character" w:styleId="Hyperlink">
    <w:name w:val="Hyperlink"/>
    <w:basedOn w:val="DefaultParagraphFont"/>
    <w:uiPriority w:val="99"/>
    <w:unhideWhenUsed/>
    <w:rsid w:val="00844EAA"/>
    <w:rPr>
      <w:color w:val="0000FF"/>
      <w:u w:val="single"/>
    </w:rPr>
  </w:style>
  <w:style w:type="table" w:styleId="TableGrid">
    <w:name w:val="Table Grid"/>
    <w:basedOn w:val="TableNormal"/>
    <w:uiPriority w:val="59"/>
    <w:rsid w:val="00844E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EAA"/>
    <w:pPr>
      <w:autoSpaceDE w:val="0"/>
      <w:autoSpaceDN w:val="0"/>
      <w:adjustRightInd w:val="0"/>
      <w:spacing w:after="0" w:line="240" w:lineRule="auto"/>
    </w:pPr>
    <w:rPr>
      <w:rFonts w:ascii="Times New Roman" w:hAnsi="Times New Roman" w:cs="Times New Roman"/>
      <w:color w:val="000000"/>
      <w:kern w:val="0"/>
      <w:sz w:val="24"/>
      <w:szCs w:val="24"/>
      <w:lang w:val="en-PH"/>
      <w14:ligatures w14:val="none"/>
    </w:rPr>
  </w:style>
  <w:style w:type="character" w:styleId="UnresolvedMention">
    <w:name w:val="Unresolved Mention"/>
    <w:basedOn w:val="DefaultParagraphFont"/>
    <w:uiPriority w:val="99"/>
    <w:semiHidden/>
    <w:unhideWhenUsed/>
    <w:rsid w:val="00844EAA"/>
    <w:rPr>
      <w:color w:val="605E5C"/>
      <w:shd w:val="clear" w:color="auto" w:fill="E1DFDD"/>
    </w:rPr>
  </w:style>
  <w:style w:type="paragraph" w:styleId="ListParagraph">
    <w:name w:val="List Paragraph"/>
    <w:aliases w:val="Resume Title,List Paragraph1,列出段落1,FooterText,Bullet List,Colorful List Accent 1,RUS List,Text,Noise heading,Cell bullets,Number abc,List Paragraph 1,Numbered Paragraph,Main numbered paragraph,References,Numbered List Paragraph,Bullets,b"/>
    <w:basedOn w:val="Normal"/>
    <w:link w:val="ListParagraphChar"/>
    <w:uiPriority w:val="34"/>
    <w:qFormat/>
    <w:rsid w:val="00844EAA"/>
    <w:pPr>
      <w:spacing w:after="160" w:line="259" w:lineRule="auto"/>
      <w:ind w:left="720"/>
      <w:contextualSpacing/>
    </w:pPr>
    <w:rPr>
      <w:rFonts w:ascii="Avenir Next LT Pro" w:eastAsiaTheme="minorHAnsi" w:hAnsi="Avenir Next LT Pro" w:cstheme="minorBidi"/>
      <w:sz w:val="22"/>
      <w:szCs w:val="22"/>
      <w:lang w:eastAsia="en-US"/>
    </w:rPr>
  </w:style>
  <w:style w:type="character" w:customStyle="1" w:styleId="ListParagraphChar">
    <w:name w:val="List Paragraph Char"/>
    <w:aliases w:val="Resume Title Char,List Paragraph1 Char,列出段落1 Char,FooterText Char,Bullet List Char,Colorful List Accent 1 Char,RUS List Char,Text Char,Noise heading Char,Cell bullets Char,Number abc Char,List Paragraph 1 Char,Numbered Paragraph Char"/>
    <w:link w:val="ListParagraph"/>
    <w:uiPriority w:val="34"/>
    <w:qFormat/>
    <w:rsid w:val="00844EAA"/>
    <w:rPr>
      <w:rFonts w:ascii="Avenir Next LT Pro" w:hAnsi="Avenir Next LT Pro"/>
      <w:kern w:val="0"/>
      <w:lang w:val="en-PH"/>
      <w14:ligatures w14:val="none"/>
    </w:rPr>
  </w:style>
  <w:style w:type="character" w:customStyle="1" w:styleId="Heading1Char">
    <w:name w:val="Heading 1 Char"/>
    <w:basedOn w:val="DefaultParagraphFont"/>
    <w:link w:val="Heading1"/>
    <w:uiPriority w:val="9"/>
    <w:rsid w:val="00196136"/>
    <w:rPr>
      <w:rFonts w:ascii="Montserrat" w:eastAsiaTheme="majorEastAsia" w:hAnsi="Montserrat" w:cstheme="majorBidi"/>
      <w:b/>
      <w:color w:val="2F5496" w:themeColor="accent1" w:themeShade="BF"/>
      <w:kern w:val="0"/>
      <w:sz w:val="28"/>
      <w:szCs w:val="32"/>
      <w14:ligatures w14:val="none"/>
    </w:rPr>
  </w:style>
  <w:style w:type="character" w:styleId="PlaceholderText">
    <w:name w:val="Placeholder Text"/>
    <w:basedOn w:val="DefaultParagraphFont"/>
    <w:uiPriority w:val="99"/>
    <w:semiHidden/>
    <w:rsid w:val="007E11B6"/>
    <w:rPr>
      <w:color w:val="666666"/>
    </w:rPr>
  </w:style>
  <w:style w:type="paragraph" w:styleId="Footer">
    <w:name w:val="footer"/>
    <w:basedOn w:val="Normal"/>
    <w:link w:val="FooterChar"/>
    <w:uiPriority w:val="99"/>
    <w:unhideWhenUsed/>
    <w:rsid w:val="007E11B6"/>
    <w:pPr>
      <w:tabs>
        <w:tab w:val="center" w:pos="4680"/>
        <w:tab w:val="right" w:pos="9360"/>
      </w:tabs>
    </w:pPr>
  </w:style>
  <w:style w:type="character" w:customStyle="1" w:styleId="FooterChar">
    <w:name w:val="Footer Char"/>
    <w:basedOn w:val="DefaultParagraphFont"/>
    <w:link w:val="Footer"/>
    <w:uiPriority w:val="99"/>
    <w:rsid w:val="007E11B6"/>
    <w:rPr>
      <w:rFonts w:ascii="Calibri" w:eastAsia="Calibri" w:hAnsi="Calibri" w:cs="Arial"/>
      <w:kern w:val="0"/>
      <w:sz w:val="20"/>
      <w:szCs w:val="20"/>
      <w:lang w:val="en-PH" w:eastAsia="en-PH"/>
      <w14:ligatures w14:val="none"/>
    </w:rPr>
  </w:style>
  <w:style w:type="paragraph" w:styleId="Revision">
    <w:name w:val="Revision"/>
    <w:hidden/>
    <w:uiPriority w:val="99"/>
    <w:semiHidden/>
    <w:rsid w:val="007E11B6"/>
    <w:pPr>
      <w:spacing w:after="0" w:line="240" w:lineRule="auto"/>
    </w:pPr>
    <w:rPr>
      <w:rFonts w:ascii="Calibri" w:eastAsia="Calibri" w:hAnsi="Calibri" w:cs="Arial"/>
      <w:kern w:val="0"/>
      <w:sz w:val="20"/>
      <w:szCs w:val="20"/>
      <w:lang w:val="en-PH" w:eastAsia="en-PH"/>
      <w14:ligatures w14:val="none"/>
    </w:rPr>
  </w:style>
  <w:style w:type="character" w:styleId="CommentReference">
    <w:name w:val="annotation reference"/>
    <w:basedOn w:val="DefaultParagraphFont"/>
    <w:uiPriority w:val="99"/>
    <w:semiHidden/>
    <w:unhideWhenUsed/>
    <w:rsid w:val="007E11B6"/>
    <w:rPr>
      <w:sz w:val="16"/>
      <w:szCs w:val="16"/>
    </w:rPr>
  </w:style>
  <w:style w:type="paragraph" w:styleId="CommentText">
    <w:name w:val="annotation text"/>
    <w:basedOn w:val="Normal"/>
    <w:link w:val="CommentTextChar"/>
    <w:uiPriority w:val="99"/>
    <w:unhideWhenUsed/>
    <w:rsid w:val="007E11B6"/>
  </w:style>
  <w:style w:type="character" w:customStyle="1" w:styleId="CommentTextChar">
    <w:name w:val="Comment Text Char"/>
    <w:basedOn w:val="DefaultParagraphFont"/>
    <w:link w:val="CommentText"/>
    <w:uiPriority w:val="99"/>
    <w:rsid w:val="007E11B6"/>
    <w:rPr>
      <w:rFonts w:ascii="Calibri" w:eastAsia="Calibri" w:hAnsi="Calibri" w:cs="Arial"/>
      <w:kern w:val="0"/>
      <w:sz w:val="20"/>
      <w:szCs w:val="20"/>
      <w:lang w:val="en-PH" w:eastAsia="en-PH"/>
      <w14:ligatures w14:val="none"/>
    </w:rPr>
  </w:style>
  <w:style w:type="paragraph" w:styleId="CommentSubject">
    <w:name w:val="annotation subject"/>
    <w:basedOn w:val="CommentText"/>
    <w:next w:val="CommentText"/>
    <w:link w:val="CommentSubjectChar"/>
    <w:uiPriority w:val="99"/>
    <w:semiHidden/>
    <w:unhideWhenUsed/>
    <w:rsid w:val="007E11B6"/>
    <w:rPr>
      <w:b/>
      <w:bCs/>
    </w:rPr>
  </w:style>
  <w:style w:type="character" w:customStyle="1" w:styleId="CommentSubjectChar">
    <w:name w:val="Comment Subject Char"/>
    <w:basedOn w:val="CommentTextChar"/>
    <w:link w:val="CommentSubject"/>
    <w:uiPriority w:val="99"/>
    <w:semiHidden/>
    <w:rsid w:val="007E11B6"/>
    <w:rPr>
      <w:rFonts w:ascii="Calibri" w:eastAsia="Calibri" w:hAnsi="Calibri" w:cs="Arial"/>
      <w:b/>
      <w:bCs/>
      <w:kern w:val="0"/>
      <w:sz w:val="20"/>
      <w:szCs w:val="20"/>
      <w:lang w:val="en-PH" w:eastAsia="en-PH"/>
      <w14:ligatures w14:val="none"/>
    </w:rPr>
  </w:style>
  <w:style w:type="paragraph" w:styleId="Header">
    <w:name w:val="header"/>
    <w:basedOn w:val="Normal"/>
    <w:link w:val="HeaderChar"/>
    <w:uiPriority w:val="99"/>
    <w:unhideWhenUsed/>
    <w:rsid w:val="007E11B6"/>
    <w:pPr>
      <w:tabs>
        <w:tab w:val="center" w:pos="4680"/>
        <w:tab w:val="right" w:pos="9360"/>
      </w:tabs>
    </w:pPr>
  </w:style>
  <w:style w:type="character" w:customStyle="1" w:styleId="HeaderChar">
    <w:name w:val="Header Char"/>
    <w:basedOn w:val="DefaultParagraphFont"/>
    <w:link w:val="Header"/>
    <w:uiPriority w:val="99"/>
    <w:rsid w:val="007E11B6"/>
    <w:rPr>
      <w:rFonts w:ascii="Calibri" w:eastAsia="Calibri" w:hAnsi="Calibri" w:cs="Arial"/>
      <w:kern w:val="0"/>
      <w:sz w:val="20"/>
      <w:szCs w:val="20"/>
      <w:lang w:val="en-PH" w:eastAsia="en-PH"/>
      <w14:ligatures w14:val="none"/>
    </w:rPr>
  </w:style>
  <w:style w:type="character" w:customStyle="1" w:styleId="Heading2Char">
    <w:name w:val="Heading 2 Char"/>
    <w:basedOn w:val="DefaultParagraphFont"/>
    <w:link w:val="Heading2"/>
    <w:uiPriority w:val="9"/>
    <w:rsid w:val="004864EB"/>
    <w:rPr>
      <w:rFonts w:ascii="Montserrat" w:eastAsiaTheme="majorEastAsia" w:hAnsi="Montserrat" w:cstheme="majorBidi"/>
      <w:b/>
      <w:color w:val="2F5496" w:themeColor="accent1" w:themeShade="BF"/>
      <w:kern w:val="0"/>
      <w:sz w:val="26"/>
      <w:szCs w:val="26"/>
      <w:lang w:val="en-PH" w:eastAsia="en-PH"/>
      <w14:ligatures w14:val="none"/>
    </w:rPr>
  </w:style>
  <w:style w:type="character" w:customStyle="1" w:styleId="Heading3Char">
    <w:name w:val="Heading 3 Char"/>
    <w:basedOn w:val="DefaultParagraphFont"/>
    <w:link w:val="Heading3"/>
    <w:uiPriority w:val="9"/>
    <w:rsid w:val="00242B79"/>
    <w:rPr>
      <w:rFonts w:ascii="Montserrat" w:eastAsiaTheme="majorEastAsia" w:hAnsi="Montserrat" w:cstheme="majorBidi"/>
      <w:b/>
      <w:i/>
      <w:color w:val="1F3763" w:themeColor="accent1" w:themeShade="7F"/>
      <w:kern w:val="0"/>
      <w:sz w:val="24"/>
      <w:szCs w:val="24"/>
      <w:lang w:val="en-PH" w:eastAsia="en-PH"/>
      <w14:ligatures w14:val="none"/>
    </w:rPr>
  </w:style>
  <w:style w:type="paragraph" w:styleId="TOCHeading">
    <w:name w:val="TOC Heading"/>
    <w:basedOn w:val="Heading1"/>
    <w:next w:val="Normal"/>
    <w:uiPriority w:val="39"/>
    <w:unhideWhenUsed/>
    <w:qFormat/>
    <w:rsid w:val="00506A3D"/>
    <w:pPr>
      <w:outlineLvl w:val="9"/>
    </w:pPr>
    <w:rPr>
      <w:rFonts w:asciiTheme="majorHAnsi" w:hAnsiTheme="majorHAnsi"/>
      <w:b w:val="0"/>
      <w:sz w:val="32"/>
    </w:rPr>
  </w:style>
  <w:style w:type="paragraph" w:styleId="TOC1">
    <w:name w:val="toc 1"/>
    <w:basedOn w:val="Normal"/>
    <w:next w:val="Normal"/>
    <w:autoRedefine/>
    <w:uiPriority w:val="39"/>
    <w:unhideWhenUsed/>
    <w:rsid w:val="00506A3D"/>
    <w:pPr>
      <w:spacing w:after="100"/>
    </w:pPr>
  </w:style>
  <w:style w:type="paragraph" w:styleId="TOC2">
    <w:name w:val="toc 2"/>
    <w:basedOn w:val="Normal"/>
    <w:next w:val="Normal"/>
    <w:autoRedefine/>
    <w:uiPriority w:val="39"/>
    <w:unhideWhenUsed/>
    <w:rsid w:val="00506A3D"/>
    <w:pPr>
      <w:spacing w:after="100"/>
      <w:ind w:left="200"/>
    </w:pPr>
  </w:style>
  <w:style w:type="paragraph" w:styleId="TOC3">
    <w:name w:val="toc 3"/>
    <w:basedOn w:val="Normal"/>
    <w:next w:val="Normal"/>
    <w:autoRedefine/>
    <w:uiPriority w:val="39"/>
    <w:unhideWhenUsed/>
    <w:rsid w:val="00506A3D"/>
    <w:pPr>
      <w:spacing w:after="100"/>
      <w:ind w:left="400"/>
    </w:pPr>
  </w:style>
  <w:style w:type="character" w:styleId="FollowedHyperlink">
    <w:name w:val="FollowedHyperlink"/>
    <w:basedOn w:val="DefaultParagraphFont"/>
    <w:uiPriority w:val="99"/>
    <w:semiHidden/>
    <w:unhideWhenUsed/>
    <w:rsid w:val="005336A4"/>
    <w:rPr>
      <w:color w:val="954F72" w:themeColor="followedHyperlink"/>
      <w:u w:val="single"/>
    </w:rPr>
  </w:style>
  <w:style w:type="paragraph" w:styleId="ListBullet">
    <w:name w:val="List Bullet"/>
    <w:basedOn w:val="Normal"/>
    <w:uiPriority w:val="99"/>
    <w:unhideWhenUsed/>
    <w:rsid w:val="00073B9F"/>
    <w:pPr>
      <w:numPr>
        <w:numId w:val="17"/>
      </w:numPr>
      <w:contextualSpacing/>
    </w:pPr>
  </w:style>
  <w:style w:type="table" w:styleId="TableGridLight">
    <w:name w:val="Grid Table Light"/>
    <w:basedOn w:val="TableNormal"/>
    <w:uiPriority w:val="40"/>
    <w:rsid w:val="004E2B5B"/>
    <w:pPr>
      <w:spacing w:after="0" w:line="240" w:lineRule="auto"/>
    </w:pPr>
    <w:rPr>
      <w:kern w:val="0"/>
      <w:lang w:val="en-NZ"/>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932B0"/>
    <w:rPr>
      <w:b/>
      <w:bCs/>
    </w:rPr>
  </w:style>
  <w:style w:type="paragraph" w:styleId="PlainText">
    <w:name w:val="Plain Text"/>
    <w:basedOn w:val="Normal"/>
    <w:link w:val="PlainTextChar"/>
    <w:unhideWhenUsed/>
    <w:rsid w:val="004932B0"/>
    <w:rPr>
      <w:rFonts w:ascii="Consolas" w:eastAsiaTheme="minorEastAsia" w:hAnsi="Consolas" w:cs="Consolas"/>
      <w:sz w:val="21"/>
      <w:szCs w:val="21"/>
      <w:lang w:val="en-NZ" w:eastAsia="zh-CN"/>
    </w:rPr>
  </w:style>
  <w:style w:type="character" w:customStyle="1" w:styleId="PlainTextChar">
    <w:name w:val="Plain Text Char"/>
    <w:basedOn w:val="DefaultParagraphFont"/>
    <w:link w:val="PlainText"/>
    <w:rsid w:val="004932B0"/>
    <w:rPr>
      <w:rFonts w:ascii="Consolas" w:eastAsiaTheme="minorEastAsia" w:hAnsi="Consolas" w:cs="Consolas"/>
      <w:kern w:val="0"/>
      <w:sz w:val="21"/>
      <w:szCs w:val="21"/>
      <w:lang w:val="en-NZ" w:eastAsia="zh-CN"/>
      <w14:ligatures w14:val="none"/>
    </w:rPr>
  </w:style>
  <w:style w:type="paragraph" w:customStyle="1" w:styleId="CM3">
    <w:name w:val="CM3"/>
    <w:basedOn w:val="Default"/>
    <w:next w:val="Default"/>
    <w:rsid w:val="004932B0"/>
    <w:pPr>
      <w:widowControl w:val="0"/>
    </w:pPr>
    <w:rPr>
      <w:rFonts w:eastAsia="Times New Roman"/>
      <w:color w:val="auto"/>
      <w:lang w:val="en-US"/>
    </w:rPr>
  </w:style>
  <w:style w:type="paragraph" w:customStyle="1" w:styleId="CM4">
    <w:name w:val="CM4"/>
    <w:basedOn w:val="Default"/>
    <w:next w:val="Default"/>
    <w:rsid w:val="004932B0"/>
    <w:pPr>
      <w:widowControl w:val="0"/>
      <w:spacing w:line="253" w:lineRule="atLeast"/>
    </w:pPr>
    <w:rPr>
      <w:rFonts w:eastAsia="Times New Roman"/>
      <w:color w:val="auto"/>
      <w:lang w:val="en-US"/>
    </w:rPr>
  </w:style>
  <w:style w:type="paragraph" w:customStyle="1" w:styleId="CM23">
    <w:name w:val="CM23"/>
    <w:basedOn w:val="Default"/>
    <w:next w:val="Default"/>
    <w:rsid w:val="004932B0"/>
    <w:pPr>
      <w:widowControl w:val="0"/>
      <w:spacing w:after="233"/>
    </w:pPr>
    <w:rPr>
      <w:rFonts w:eastAsia="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21383">
      <w:bodyDiv w:val="1"/>
      <w:marLeft w:val="0"/>
      <w:marRight w:val="0"/>
      <w:marTop w:val="0"/>
      <w:marBottom w:val="0"/>
      <w:divBdr>
        <w:top w:val="none" w:sz="0" w:space="0" w:color="auto"/>
        <w:left w:val="none" w:sz="0" w:space="0" w:color="auto"/>
        <w:bottom w:val="none" w:sz="0" w:space="0" w:color="auto"/>
        <w:right w:val="none" w:sz="0" w:space="0" w:color="auto"/>
      </w:divBdr>
      <w:divsChild>
        <w:div w:id="1614899661">
          <w:marLeft w:val="0"/>
          <w:marRight w:val="0"/>
          <w:marTop w:val="0"/>
          <w:marBottom w:val="0"/>
          <w:divBdr>
            <w:top w:val="none" w:sz="0" w:space="0" w:color="auto"/>
            <w:left w:val="none" w:sz="0" w:space="0" w:color="auto"/>
            <w:bottom w:val="none" w:sz="0" w:space="0" w:color="auto"/>
            <w:right w:val="none" w:sz="0" w:space="0" w:color="auto"/>
          </w:divBdr>
          <w:divsChild>
            <w:div w:id="14285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153">
      <w:bodyDiv w:val="1"/>
      <w:marLeft w:val="0"/>
      <w:marRight w:val="0"/>
      <w:marTop w:val="0"/>
      <w:marBottom w:val="0"/>
      <w:divBdr>
        <w:top w:val="none" w:sz="0" w:space="0" w:color="auto"/>
        <w:left w:val="none" w:sz="0" w:space="0" w:color="auto"/>
        <w:bottom w:val="none" w:sz="0" w:space="0" w:color="auto"/>
        <w:right w:val="none" w:sz="0" w:space="0" w:color="auto"/>
      </w:divBdr>
      <w:divsChild>
        <w:div w:id="2044743586">
          <w:marLeft w:val="0"/>
          <w:marRight w:val="0"/>
          <w:marTop w:val="0"/>
          <w:marBottom w:val="0"/>
          <w:divBdr>
            <w:top w:val="none" w:sz="0" w:space="0" w:color="auto"/>
            <w:left w:val="none" w:sz="0" w:space="0" w:color="auto"/>
            <w:bottom w:val="none" w:sz="0" w:space="0" w:color="auto"/>
            <w:right w:val="none" w:sz="0" w:space="0" w:color="auto"/>
          </w:divBdr>
          <w:divsChild>
            <w:div w:id="97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1594">
      <w:bodyDiv w:val="1"/>
      <w:marLeft w:val="0"/>
      <w:marRight w:val="0"/>
      <w:marTop w:val="0"/>
      <w:marBottom w:val="0"/>
      <w:divBdr>
        <w:top w:val="none" w:sz="0" w:space="0" w:color="auto"/>
        <w:left w:val="none" w:sz="0" w:space="0" w:color="auto"/>
        <w:bottom w:val="none" w:sz="0" w:space="0" w:color="auto"/>
        <w:right w:val="none" w:sz="0" w:space="0" w:color="auto"/>
      </w:divBdr>
      <w:divsChild>
        <w:div w:id="179783729">
          <w:marLeft w:val="0"/>
          <w:marRight w:val="0"/>
          <w:marTop w:val="0"/>
          <w:marBottom w:val="0"/>
          <w:divBdr>
            <w:top w:val="none" w:sz="0" w:space="0" w:color="auto"/>
            <w:left w:val="none" w:sz="0" w:space="0" w:color="auto"/>
            <w:bottom w:val="none" w:sz="0" w:space="0" w:color="auto"/>
            <w:right w:val="none" w:sz="0" w:space="0" w:color="auto"/>
          </w:divBdr>
          <w:divsChild>
            <w:div w:id="8558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40553">
      <w:bodyDiv w:val="1"/>
      <w:marLeft w:val="0"/>
      <w:marRight w:val="0"/>
      <w:marTop w:val="0"/>
      <w:marBottom w:val="0"/>
      <w:divBdr>
        <w:top w:val="none" w:sz="0" w:space="0" w:color="auto"/>
        <w:left w:val="none" w:sz="0" w:space="0" w:color="auto"/>
        <w:bottom w:val="none" w:sz="0" w:space="0" w:color="auto"/>
        <w:right w:val="none" w:sz="0" w:space="0" w:color="auto"/>
      </w:divBdr>
      <w:divsChild>
        <w:div w:id="2133669709">
          <w:marLeft w:val="0"/>
          <w:marRight w:val="0"/>
          <w:marTop w:val="0"/>
          <w:marBottom w:val="0"/>
          <w:divBdr>
            <w:top w:val="none" w:sz="0" w:space="0" w:color="auto"/>
            <w:left w:val="none" w:sz="0" w:space="0" w:color="auto"/>
            <w:bottom w:val="none" w:sz="0" w:space="0" w:color="auto"/>
            <w:right w:val="none" w:sz="0" w:space="0" w:color="auto"/>
          </w:divBdr>
          <w:divsChild>
            <w:div w:id="11614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71192">
      <w:bodyDiv w:val="1"/>
      <w:marLeft w:val="0"/>
      <w:marRight w:val="0"/>
      <w:marTop w:val="0"/>
      <w:marBottom w:val="0"/>
      <w:divBdr>
        <w:top w:val="none" w:sz="0" w:space="0" w:color="auto"/>
        <w:left w:val="none" w:sz="0" w:space="0" w:color="auto"/>
        <w:bottom w:val="none" w:sz="0" w:space="0" w:color="auto"/>
        <w:right w:val="none" w:sz="0" w:space="0" w:color="auto"/>
      </w:divBdr>
      <w:divsChild>
        <w:div w:id="2126541436">
          <w:marLeft w:val="0"/>
          <w:marRight w:val="0"/>
          <w:marTop w:val="0"/>
          <w:marBottom w:val="0"/>
          <w:divBdr>
            <w:top w:val="none" w:sz="0" w:space="0" w:color="auto"/>
            <w:left w:val="none" w:sz="0" w:space="0" w:color="auto"/>
            <w:bottom w:val="none" w:sz="0" w:space="0" w:color="auto"/>
            <w:right w:val="none" w:sz="0" w:space="0" w:color="auto"/>
          </w:divBdr>
          <w:divsChild>
            <w:div w:id="9635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3861">
      <w:bodyDiv w:val="1"/>
      <w:marLeft w:val="0"/>
      <w:marRight w:val="0"/>
      <w:marTop w:val="0"/>
      <w:marBottom w:val="0"/>
      <w:divBdr>
        <w:top w:val="none" w:sz="0" w:space="0" w:color="auto"/>
        <w:left w:val="none" w:sz="0" w:space="0" w:color="auto"/>
        <w:bottom w:val="none" w:sz="0" w:space="0" w:color="auto"/>
        <w:right w:val="none" w:sz="0" w:space="0" w:color="auto"/>
      </w:divBdr>
      <w:divsChild>
        <w:div w:id="216674543">
          <w:marLeft w:val="0"/>
          <w:marRight w:val="0"/>
          <w:marTop w:val="0"/>
          <w:marBottom w:val="0"/>
          <w:divBdr>
            <w:top w:val="none" w:sz="0" w:space="0" w:color="auto"/>
            <w:left w:val="none" w:sz="0" w:space="0" w:color="auto"/>
            <w:bottom w:val="none" w:sz="0" w:space="0" w:color="auto"/>
            <w:right w:val="none" w:sz="0" w:space="0" w:color="auto"/>
          </w:divBdr>
          <w:divsChild>
            <w:div w:id="8129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0651">
      <w:bodyDiv w:val="1"/>
      <w:marLeft w:val="0"/>
      <w:marRight w:val="0"/>
      <w:marTop w:val="0"/>
      <w:marBottom w:val="0"/>
      <w:divBdr>
        <w:top w:val="none" w:sz="0" w:space="0" w:color="auto"/>
        <w:left w:val="none" w:sz="0" w:space="0" w:color="auto"/>
        <w:bottom w:val="none" w:sz="0" w:space="0" w:color="auto"/>
        <w:right w:val="none" w:sz="0" w:space="0" w:color="auto"/>
      </w:divBdr>
      <w:divsChild>
        <w:div w:id="1443188196">
          <w:marLeft w:val="0"/>
          <w:marRight w:val="0"/>
          <w:marTop w:val="0"/>
          <w:marBottom w:val="0"/>
          <w:divBdr>
            <w:top w:val="none" w:sz="0" w:space="0" w:color="auto"/>
            <w:left w:val="none" w:sz="0" w:space="0" w:color="auto"/>
            <w:bottom w:val="none" w:sz="0" w:space="0" w:color="auto"/>
            <w:right w:val="none" w:sz="0" w:space="0" w:color="auto"/>
          </w:divBdr>
        </w:div>
      </w:divsChild>
    </w:div>
    <w:div w:id="1636520084">
      <w:bodyDiv w:val="1"/>
      <w:marLeft w:val="0"/>
      <w:marRight w:val="0"/>
      <w:marTop w:val="0"/>
      <w:marBottom w:val="0"/>
      <w:divBdr>
        <w:top w:val="none" w:sz="0" w:space="0" w:color="auto"/>
        <w:left w:val="none" w:sz="0" w:space="0" w:color="auto"/>
        <w:bottom w:val="none" w:sz="0" w:space="0" w:color="auto"/>
        <w:right w:val="none" w:sz="0" w:space="0" w:color="auto"/>
      </w:divBdr>
      <w:divsChild>
        <w:div w:id="254484568">
          <w:marLeft w:val="0"/>
          <w:marRight w:val="0"/>
          <w:marTop w:val="0"/>
          <w:marBottom w:val="0"/>
          <w:divBdr>
            <w:top w:val="none" w:sz="0" w:space="0" w:color="auto"/>
            <w:left w:val="none" w:sz="0" w:space="0" w:color="auto"/>
            <w:bottom w:val="none" w:sz="0" w:space="0" w:color="auto"/>
            <w:right w:val="none" w:sz="0" w:space="0" w:color="auto"/>
          </w:divBdr>
          <w:divsChild>
            <w:div w:id="21283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8860">
      <w:bodyDiv w:val="1"/>
      <w:marLeft w:val="0"/>
      <w:marRight w:val="0"/>
      <w:marTop w:val="0"/>
      <w:marBottom w:val="0"/>
      <w:divBdr>
        <w:top w:val="none" w:sz="0" w:space="0" w:color="auto"/>
        <w:left w:val="none" w:sz="0" w:space="0" w:color="auto"/>
        <w:bottom w:val="none" w:sz="0" w:space="0" w:color="auto"/>
        <w:right w:val="none" w:sz="0" w:space="0" w:color="auto"/>
      </w:divBdr>
      <w:divsChild>
        <w:div w:id="519197455">
          <w:marLeft w:val="0"/>
          <w:marRight w:val="0"/>
          <w:marTop w:val="0"/>
          <w:marBottom w:val="0"/>
          <w:divBdr>
            <w:top w:val="none" w:sz="0" w:space="0" w:color="auto"/>
            <w:left w:val="none" w:sz="0" w:space="0" w:color="auto"/>
            <w:bottom w:val="none" w:sz="0" w:space="0" w:color="auto"/>
            <w:right w:val="none" w:sz="0" w:space="0" w:color="auto"/>
          </w:divBdr>
          <w:divsChild>
            <w:div w:id="1772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750">
      <w:bodyDiv w:val="1"/>
      <w:marLeft w:val="0"/>
      <w:marRight w:val="0"/>
      <w:marTop w:val="0"/>
      <w:marBottom w:val="0"/>
      <w:divBdr>
        <w:top w:val="none" w:sz="0" w:space="0" w:color="auto"/>
        <w:left w:val="none" w:sz="0" w:space="0" w:color="auto"/>
        <w:bottom w:val="none" w:sz="0" w:space="0" w:color="auto"/>
        <w:right w:val="none" w:sz="0" w:space="0" w:color="auto"/>
      </w:divBdr>
      <w:divsChild>
        <w:div w:id="187904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hyperlink" Target="https://doi.org/10.1016/j.foodpol.2016.12.001" TargetMode="External"/><Relationship Id="rId47" Type="http://schemas.openxmlformats.org/officeDocument/2006/relationships/hyperlink" Target="https://doi.org/10.48550/arXiv.2110.14550" TargetMode="External"/><Relationship Id="rId63" Type="http://schemas.openxmlformats.org/officeDocument/2006/relationships/hyperlink" Target="https://doi.org/10.1017/S1365100521000462" TargetMode="External"/><Relationship Id="rId68" Type="http://schemas.openxmlformats.org/officeDocument/2006/relationships/hyperlink" Target="https://doi.org/10.1177/0042098017705843" TargetMode="External"/><Relationship Id="rId16" Type="http://schemas.openxmlformats.org/officeDocument/2006/relationships/image" Target="media/image5.png"/><Relationship Id="rId11" Type="http://schemas.openxmlformats.org/officeDocument/2006/relationships/footer" Target="footer1.xml"/><Relationship Id="rId32" Type="http://schemas.openxmlformats.org/officeDocument/2006/relationships/hyperlink" Target="https://doi.org/10.1002/jae.659" TargetMode="External"/><Relationship Id="rId37" Type="http://schemas.openxmlformats.org/officeDocument/2006/relationships/hyperlink" Target="https://doi.org/10.3982/QE1297" TargetMode="External"/><Relationship Id="rId53" Type="http://schemas.openxmlformats.org/officeDocument/2006/relationships/hyperlink" Target="https://doi.org/10.1086/512625" TargetMode="External"/><Relationship Id="rId58" Type="http://schemas.openxmlformats.org/officeDocument/2006/relationships/hyperlink" Target="https://doi.org/10.1016/j.econmod.2014.07.015" TargetMode="External"/><Relationship Id="rId74" Type="http://schemas.openxmlformats.org/officeDocument/2006/relationships/hyperlink" Target="https://doi.org/10.1080/0967828X.2020.1793685" TargetMode="External"/><Relationship Id="rId79" Type="http://schemas.openxmlformats.org/officeDocument/2006/relationships/hyperlink" Target="https://doi.org/10.1016/j.jbankfin.2022.106534" TargetMode="External"/><Relationship Id="rId5" Type="http://schemas.openxmlformats.org/officeDocument/2006/relationships/webSettings" Target="webSettings.xml"/><Relationship Id="rId61" Type="http://schemas.openxmlformats.org/officeDocument/2006/relationships/hyperlink" Target="https://doi.org/10.1016/j.eneco.2023.107177" TargetMode="Externa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doi.org/10.1016/j.ijforecast.2018.07.003" TargetMode="External"/><Relationship Id="rId43" Type="http://schemas.openxmlformats.org/officeDocument/2006/relationships/hyperlink" Target="https://doi.org/10.1257/aer.20130088" TargetMode="External"/><Relationship Id="rId48" Type="http://schemas.openxmlformats.org/officeDocument/2006/relationships/hyperlink" Target="https://doi.org/10.1016/j.econmod.2012.02.014" TargetMode="External"/><Relationship Id="rId56" Type="http://schemas.openxmlformats.org/officeDocument/2006/relationships/hyperlink" Target="https://doi.org/10.1016/j.foodpol.2019.101816" TargetMode="External"/><Relationship Id="rId64" Type="http://schemas.openxmlformats.org/officeDocument/2006/relationships/hyperlink" Target="https://doi.org/10.1016/j.jmoneco.2023.103570" TargetMode="External"/><Relationship Id="rId69" Type="http://schemas.openxmlformats.org/officeDocument/2006/relationships/hyperlink" Target="https://doi.org/10.4284/0038-4038-77.4.914" TargetMode="External"/><Relationship Id="rId77" Type="http://schemas.openxmlformats.org/officeDocument/2006/relationships/hyperlink" Target="https://doi.org/10.1016/S0014-2921(00)00037-4" TargetMode="External"/><Relationship Id="rId8" Type="http://schemas.openxmlformats.org/officeDocument/2006/relationships/chart" Target="charts/chart1.xml"/><Relationship Id="rId51" Type="http://schemas.openxmlformats.org/officeDocument/2006/relationships/hyperlink" Target="https://doi.org/10.1016/j.jinteco.2022.103708" TargetMode="External"/><Relationship Id="rId72" Type="http://schemas.openxmlformats.org/officeDocument/2006/relationships/hyperlink" Target="https://doi.org/10.1007/s00181-020-01875-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doi.org/10.1016/j.eap.2020.12.005" TargetMode="External"/><Relationship Id="rId38" Type="http://schemas.openxmlformats.org/officeDocument/2006/relationships/hyperlink" Target="https://doi.org/10.1016/0304-3932(83)90060-0" TargetMode="External"/><Relationship Id="rId46" Type="http://schemas.openxmlformats.org/officeDocument/2006/relationships/hyperlink" Target="https://doi.org/10.1111/j.1468-2354.2007.00324.x" TargetMode="External"/><Relationship Id="rId59" Type="http://schemas.openxmlformats.org/officeDocument/2006/relationships/hyperlink" Target="https://doi.org/10.1111/jmcb.13004" TargetMode="External"/><Relationship Id="rId67" Type="http://schemas.openxmlformats.org/officeDocument/2006/relationships/hyperlink" Target="https://doi.org/10.1016/j.jimonfin.2022.102624" TargetMode="External"/><Relationship Id="rId20" Type="http://schemas.openxmlformats.org/officeDocument/2006/relationships/image" Target="media/image9.png"/><Relationship Id="rId41" Type="http://schemas.openxmlformats.org/officeDocument/2006/relationships/hyperlink" Target="https://doi.org/10.1016/j.iref.2017.12.012" TargetMode="External"/><Relationship Id="rId54" Type="http://schemas.openxmlformats.org/officeDocument/2006/relationships/hyperlink" Target="https://doi.org/10.1016/j.econlet.2023.111928" TargetMode="External"/><Relationship Id="rId62" Type="http://schemas.openxmlformats.org/officeDocument/2006/relationships/hyperlink" Target="https://doi.org/10.1080/10485252.2010.537336" TargetMode="External"/><Relationship Id="rId70" Type="http://schemas.openxmlformats.org/officeDocument/2006/relationships/hyperlink" Target="https://doi.org/10.1111/1475-4932.12077" TargetMode="External"/><Relationship Id="rId75" Type="http://schemas.openxmlformats.org/officeDocument/2006/relationships/hyperlink" Target="https://doi.org/10.1002/ijfe.3018%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doi.org/10.1016/j.jmacro.2018.08.001" TargetMode="External"/><Relationship Id="rId49" Type="http://schemas.openxmlformats.org/officeDocument/2006/relationships/hyperlink" Target="https://doi.org/10.1257/mac.20220273" TargetMode="External"/><Relationship Id="rId57" Type="http://schemas.openxmlformats.org/officeDocument/2006/relationships/hyperlink" Target="https://doi.org/10.1016/j.cbrev.2021.06.001" TargetMode="External"/><Relationship Id="rId10" Type="http://schemas.openxmlformats.org/officeDocument/2006/relationships/header" Target="header1.xml"/><Relationship Id="rId31" Type="http://schemas.openxmlformats.org/officeDocument/2006/relationships/hyperlink" Target="https://doi.org/10.1016/j.eneco.2020.104977" TargetMode="External"/><Relationship Id="rId44" Type="http://schemas.openxmlformats.org/officeDocument/2006/relationships/hyperlink" Target="https://doi.org/10.1111/j.1538-4616.2010.00378.x" TargetMode="External"/><Relationship Id="rId52" Type="http://schemas.openxmlformats.org/officeDocument/2006/relationships/hyperlink" Target="https://doi.org/10.1016/j.jimonfin.2024.103097" TargetMode="External"/><Relationship Id="rId60" Type="http://schemas.openxmlformats.org/officeDocument/2006/relationships/hyperlink" Target="https://doi.org/10.1017/S1365100514001035" TargetMode="External"/><Relationship Id="rId65" Type="http://schemas.openxmlformats.org/officeDocument/2006/relationships/hyperlink" Target="https://doi.org/10.1016/j.jeconom.2019.04.009" TargetMode="External"/><Relationship Id="rId73" Type="http://schemas.openxmlformats.org/officeDocument/2006/relationships/hyperlink" Target="https://doi.org/10.1016/j.inteco.2015.12.001" TargetMode="External"/><Relationship Id="rId78" Type="http://schemas.openxmlformats.org/officeDocument/2006/relationships/hyperlink" Target="https://doi.org/10.1080/13504851.2021.194647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doi.org/10.1016/j.eap.2021.03.001" TargetMode="External"/><Relationship Id="rId34" Type="http://schemas.openxmlformats.org/officeDocument/2006/relationships/hyperlink" Target="https://doi.org/10.1016/j.jimonfin.2024.103025" TargetMode="External"/><Relationship Id="rId50" Type="http://schemas.openxmlformats.org/officeDocument/2006/relationships/hyperlink" Target="https://doi.org/10.1162/qjec.2009.124.3.1221" TargetMode="External"/><Relationship Id="rId55" Type="http://schemas.openxmlformats.org/officeDocument/2006/relationships/hyperlink" Target="https://doi.org/10.1016/j.jimonfin.2024.103077" TargetMode="External"/><Relationship Id="rId76" Type="http://schemas.openxmlformats.org/officeDocument/2006/relationships/hyperlink" Target="https://doi.org/10.1016/S0264-9993(00)00039-0" TargetMode="External"/><Relationship Id="rId7" Type="http://schemas.openxmlformats.org/officeDocument/2006/relationships/endnotes" Target="endnotes.xml"/><Relationship Id="rId71" Type="http://schemas.openxmlformats.org/officeDocument/2006/relationships/hyperlink" Target="https://doi.org/10.1016/j.jeconom.2006.05.024" TargetMode="External"/><Relationship Id="rId2" Type="http://schemas.openxmlformats.org/officeDocument/2006/relationships/numbering" Target="numbering.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hyperlink" Target="https://doi.org/10.1016/j.jimonfin.2017.12.004" TargetMode="External"/><Relationship Id="rId45" Type="http://schemas.openxmlformats.org/officeDocument/2006/relationships/hyperlink" Target="https://doi.org/10.2307/2234068" TargetMode="External"/><Relationship Id="rId66" Type="http://schemas.openxmlformats.org/officeDocument/2006/relationships/hyperlink" Target="https://doi.org/10.1016/j.jmacro.2019.10318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bspgovph-my.sharepoint.com/personal/valeraha_bsp_gov_ph/Documents/Research/HOLMES,%20Mark/CPI%20inflation/Documentation/Updated%20analysis/cpi%20inflation%20final%203-Jan-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'[cpi inflation final 3-Jan-2025.xlsx]Sheet1'!$B$1</c:f>
              <c:strCache>
                <c:ptCount val="1"/>
                <c:pt idx="0">
                  <c:v>Overall inflation</c:v>
                </c:pt>
              </c:strCache>
            </c:strRef>
          </c:tx>
          <c:spPr>
            <a:ln w="15875" cap="rnd">
              <a:solidFill>
                <a:schemeClr val="accent2"/>
              </a:solidFill>
              <a:round/>
            </a:ln>
            <a:effectLst/>
          </c:spPr>
          <c:marker>
            <c:symbol val="none"/>
          </c:marker>
          <c:cat>
            <c:numRef>
              <c:f>'[cpi inflation final 3-Jan-2025.xlsx]Sheet1'!$A$2:$A$334</c:f>
              <c:numCache>
                <c:formatCode>mmm\-yy</c:formatCode>
                <c:ptCount val="333"/>
                <c:pt idx="0">
                  <c:v>35278</c:v>
                </c:pt>
                <c:pt idx="1">
                  <c:v>35309</c:v>
                </c:pt>
                <c:pt idx="2">
                  <c:v>35339</c:v>
                </c:pt>
                <c:pt idx="3">
                  <c:v>35370</c:v>
                </c:pt>
                <c:pt idx="4">
                  <c:v>35400</c:v>
                </c:pt>
                <c:pt idx="5">
                  <c:v>35431</c:v>
                </c:pt>
                <c:pt idx="6">
                  <c:v>35462</c:v>
                </c:pt>
                <c:pt idx="7">
                  <c:v>35490</c:v>
                </c:pt>
                <c:pt idx="8">
                  <c:v>35521</c:v>
                </c:pt>
                <c:pt idx="9">
                  <c:v>35551</c:v>
                </c:pt>
                <c:pt idx="10">
                  <c:v>35582</c:v>
                </c:pt>
                <c:pt idx="11">
                  <c:v>35612</c:v>
                </c:pt>
                <c:pt idx="12">
                  <c:v>35643</c:v>
                </c:pt>
                <c:pt idx="13">
                  <c:v>35674</c:v>
                </c:pt>
                <c:pt idx="14">
                  <c:v>35704</c:v>
                </c:pt>
                <c:pt idx="15">
                  <c:v>35735</c:v>
                </c:pt>
                <c:pt idx="16">
                  <c:v>35765</c:v>
                </c:pt>
                <c:pt idx="17">
                  <c:v>35796</c:v>
                </c:pt>
                <c:pt idx="18">
                  <c:v>35827</c:v>
                </c:pt>
                <c:pt idx="19">
                  <c:v>35855</c:v>
                </c:pt>
                <c:pt idx="20">
                  <c:v>35886</c:v>
                </c:pt>
                <c:pt idx="21">
                  <c:v>35916</c:v>
                </c:pt>
                <c:pt idx="22">
                  <c:v>35947</c:v>
                </c:pt>
                <c:pt idx="23">
                  <c:v>35977</c:v>
                </c:pt>
                <c:pt idx="24">
                  <c:v>36008</c:v>
                </c:pt>
                <c:pt idx="25">
                  <c:v>36039</c:v>
                </c:pt>
                <c:pt idx="26">
                  <c:v>36069</c:v>
                </c:pt>
                <c:pt idx="27">
                  <c:v>36100</c:v>
                </c:pt>
                <c:pt idx="28">
                  <c:v>36130</c:v>
                </c:pt>
                <c:pt idx="29">
                  <c:v>36161</c:v>
                </c:pt>
                <c:pt idx="30">
                  <c:v>36192</c:v>
                </c:pt>
                <c:pt idx="31">
                  <c:v>36220</c:v>
                </c:pt>
                <c:pt idx="32">
                  <c:v>36251</c:v>
                </c:pt>
                <c:pt idx="33">
                  <c:v>36281</c:v>
                </c:pt>
                <c:pt idx="34">
                  <c:v>36312</c:v>
                </c:pt>
                <c:pt idx="35">
                  <c:v>36342</c:v>
                </c:pt>
                <c:pt idx="36">
                  <c:v>36373</c:v>
                </c:pt>
                <c:pt idx="37">
                  <c:v>36404</c:v>
                </c:pt>
                <c:pt idx="38">
                  <c:v>36434</c:v>
                </c:pt>
                <c:pt idx="39">
                  <c:v>36465</c:v>
                </c:pt>
                <c:pt idx="40">
                  <c:v>36495</c:v>
                </c:pt>
                <c:pt idx="41">
                  <c:v>36526</c:v>
                </c:pt>
                <c:pt idx="42">
                  <c:v>36557</c:v>
                </c:pt>
                <c:pt idx="43">
                  <c:v>36586</c:v>
                </c:pt>
                <c:pt idx="44">
                  <c:v>36617</c:v>
                </c:pt>
                <c:pt idx="45">
                  <c:v>36647</c:v>
                </c:pt>
                <c:pt idx="46">
                  <c:v>36678</c:v>
                </c:pt>
                <c:pt idx="47">
                  <c:v>36708</c:v>
                </c:pt>
                <c:pt idx="48">
                  <c:v>36739</c:v>
                </c:pt>
                <c:pt idx="49">
                  <c:v>36770</c:v>
                </c:pt>
                <c:pt idx="50">
                  <c:v>36800</c:v>
                </c:pt>
                <c:pt idx="51">
                  <c:v>36831</c:v>
                </c:pt>
                <c:pt idx="52">
                  <c:v>36861</c:v>
                </c:pt>
                <c:pt idx="53">
                  <c:v>36892</c:v>
                </c:pt>
                <c:pt idx="54">
                  <c:v>36923</c:v>
                </c:pt>
                <c:pt idx="55">
                  <c:v>36951</c:v>
                </c:pt>
                <c:pt idx="56">
                  <c:v>36982</c:v>
                </c:pt>
                <c:pt idx="57">
                  <c:v>37012</c:v>
                </c:pt>
                <c:pt idx="58">
                  <c:v>37043</c:v>
                </c:pt>
                <c:pt idx="59">
                  <c:v>37073</c:v>
                </c:pt>
                <c:pt idx="60">
                  <c:v>37104</c:v>
                </c:pt>
                <c:pt idx="61">
                  <c:v>37135</c:v>
                </c:pt>
                <c:pt idx="62">
                  <c:v>37165</c:v>
                </c:pt>
                <c:pt idx="63">
                  <c:v>37196</c:v>
                </c:pt>
                <c:pt idx="64">
                  <c:v>37226</c:v>
                </c:pt>
                <c:pt idx="65">
                  <c:v>37257</c:v>
                </c:pt>
                <c:pt idx="66">
                  <c:v>37288</c:v>
                </c:pt>
                <c:pt idx="67">
                  <c:v>37316</c:v>
                </c:pt>
                <c:pt idx="68">
                  <c:v>37347</c:v>
                </c:pt>
                <c:pt idx="69">
                  <c:v>37377</c:v>
                </c:pt>
                <c:pt idx="70">
                  <c:v>37408</c:v>
                </c:pt>
                <c:pt idx="71">
                  <c:v>37438</c:v>
                </c:pt>
                <c:pt idx="72">
                  <c:v>37469</c:v>
                </c:pt>
                <c:pt idx="73">
                  <c:v>37500</c:v>
                </c:pt>
                <c:pt idx="74">
                  <c:v>37530</c:v>
                </c:pt>
                <c:pt idx="75">
                  <c:v>37561</c:v>
                </c:pt>
                <c:pt idx="76">
                  <c:v>37591</c:v>
                </c:pt>
                <c:pt idx="77">
                  <c:v>37622</c:v>
                </c:pt>
                <c:pt idx="78">
                  <c:v>37653</c:v>
                </c:pt>
                <c:pt idx="79">
                  <c:v>37681</c:v>
                </c:pt>
                <c:pt idx="80">
                  <c:v>37712</c:v>
                </c:pt>
                <c:pt idx="81">
                  <c:v>37742</c:v>
                </c:pt>
                <c:pt idx="82">
                  <c:v>37773</c:v>
                </c:pt>
                <c:pt idx="83">
                  <c:v>37803</c:v>
                </c:pt>
                <c:pt idx="84">
                  <c:v>37834</c:v>
                </c:pt>
                <c:pt idx="85">
                  <c:v>37865</c:v>
                </c:pt>
                <c:pt idx="86">
                  <c:v>37895</c:v>
                </c:pt>
                <c:pt idx="87">
                  <c:v>37926</c:v>
                </c:pt>
                <c:pt idx="88">
                  <c:v>37956</c:v>
                </c:pt>
                <c:pt idx="89">
                  <c:v>37987</c:v>
                </c:pt>
                <c:pt idx="90">
                  <c:v>38018</c:v>
                </c:pt>
                <c:pt idx="91">
                  <c:v>38047</c:v>
                </c:pt>
                <c:pt idx="92">
                  <c:v>38078</c:v>
                </c:pt>
                <c:pt idx="93">
                  <c:v>38108</c:v>
                </c:pt>
                <c:pt idx="94">
                  <c:v>38139</c:v>
                </c:pt>
                <c:pt idx="95">
                  <c:v>38169</c:v>
                </c:pt>
                <c:pt idx="96">
                  <c:v>38200</c:v>
                </c:pt>
                <c:pt idx="97">
                  <c:v>38231</c:v>
                </c:pt>
                <c:pt idx="98">
                  <c:v>38261</c:v>
                </c:pt>
                <c:pt idx="99">
                  <c:v>38292</c:v>
                </c:pt>
                <c:pt idx="100">
                  <c:v>38322</c:v>
                </c:pt>
                <c:pt idx="101">
                  <c:v>38353</c:v>
                </c:pt>
                <c:pt idx="102">
                  <c:v>38384</c:v>
                </c:pt>
                <c:pt idx="103">
                  <c:v>38412</c:v>
                </c:pt>
                <c:pt idx="104">
                  <c:v>38443</c:v>
                </c:pt>
                <c:pt idx="105">
                  <c:v>38473</c:v>
                </c:pt>
                <c:pt idx="106">
                  <c:v>38504</c:v>
                </c:pt>
                <c:pt idx="107">
                  <c:v>38534</c:v>
                </c:pt>
                <c:pt idx="108">
                  <c:v>38565</c:v>
                </c:pt>
                <c:pt idx="109">
                  <c:v>38596</c:v>
                </c:pt>
                <c:pt idx="110">
                  <c:v>38626</c:v>
                </c:pt>
                <c:pt idx="111">
                  <c:v>38657</c:v>
                </c:pt>
                <c:pt idx="112">
                  <c:v>38687</c:v>
                </c:pt>
                <c:pt idx="113">
                  <c:v>38718</c:v>
                </c:pt>
                <c:pt idx="114">
                  <c:v>38749</c:v>
                </c:pt>
                <c:pt idx="115">
                  <c:v>38777</c:v>
                </c:pt>
                <c:pt idx="116">
                  <c:v>38808</c:v>
                </c:pt>
                <c:pt idx="117">
                  <c:v>38838</c:v>
                </c:pt>
                <c:pt idx="118">
                  <c:v>38869</c:v>
                </c:pt>
                <c:pt idx="119">
                  <c:v>38899</c:v>
                </c:pt>
                <c:pt idx="120">
                  <c:v>38930</c:v>
                </c:pt>
                <c:pt idx="121">
                  <c:v>38961</c:v>
                </c:pt>
                <c:pt idx="122">
                  <c:v>38991</c:v>
                </c:pt>
                <c:pt idx="123">
                  <c:v>39022</c:v>
                </c:pt>
                <c:pt idx="124">
                  <c:v>39052</c:v>
                </c:pt>
                <c:pt idx="125">
                  <c:v>39083</c:v>
                </c:pt>
                <c:pt idx="126">
                  <c:v>39114</c:v>
                </c:pt>
                <c:pt idx="127">
                  <c:v>39142</c:v>
                </c:pt>
                <c:pt idx="128">
                  <c:v>39173</c:v>
                </c:pt>
                <c:pt idx="129">
                  <c:v>39203</c:v>
                </c:pt>
                <c:pt idx="130">
                  <c:v>39234</c:v>
                </c:pt>
                <c:pt idx="131">
                  <c:v>39264</c:v>
                </c:pt>
                <c:pt idx="132">
                  <c:v>39295</c:v>
                </c:pt>
                <c:pt idx="133">
                  <c:v>39326</c:v>
                </c:pt>
                <c:pt idx="134">
                  <c:v>39356</c:v>
                </c:pt>
                <c:pt idx="135">
                  <c:v>39387</c:v>
                </c:pt>
                <c:pt idx="136">
                  <c:v>39417</c:v>
                </c:pt>
                <c:pt idx="137">
                  <c:v>39448</c:v>
                </c:pt>
                <c:pt idx="138">
                  <c:v>39479</c:v>
                </c:pt>
                <c:pt idx="139">
                  <c:v>39508</c:v>
                </c:pt>
                <c:pt idx="140">
                  <c:v>39539</c:v>
                </c:pt>
                <c:pt idx="141">
                  <c:v>39569</c:v>
                </c:pt>
                <c:pt idx="142">
                  <c:v>39600</c:v>
                </c:pt>
                <c:pt idx="143">
                  <c:v>39630</c:v>
                </c:pt>
                <c:pt idx="144">
                  <c:v>39661</c:v>
                </c:pt>
                <c:pt idx="145">
                  <c:v>39692</c:v>
                </c:pt>
                <c:pt idx="146">
                  <c:v>39722</c:v>
                </c:pt>
                <c:pt idx="147">
                  <c:v>39753</c:v>
                </c:pt>
                <c:pt idx="148">
                  <c:v>39783</c:v>
                </c:pt>
                <c:pt idx="149">
                  <c:v>39814</c:v>
                </c:pt>
                <c:pt idx="150">
                  <c:v>39845</c:v>
                </c:pt>
                <c:pt idx="151">
                  <c:v>39873</c:v>
                </c:pt>
                <c:pt idx="152">
                  <c:v>39904</c:v>
                </c:pt>
                <c:pt idx="153">
                  <c:v>39934</c:v>
                </c:pt>
                <c:pt idx="154">
                  <c:v>39965</c:v>
                </c:pt>
                <c:pt idx="155">
                  <c:v>39995</c:v>
                </c:pt>
                <c:pt idx="156">
                  <c:v>40026</c:v>
                </c:pt>
                <c:pt idx="157">
                  <c:v>40057</c:v>
                </c:pt>
                <c:pt idx="158">
                  <c:v>40087</c:v>
                </c:pt>
                <c:pt idx="159">
                  <c:v>40118</c:v>
                </c:pt>
                <c:pt idx="160">
                  <c:v>40148</c:v>
                </c:pt>
                <c:pt idx="161">
                  <c:v>40179</c:v>
                </c:pt>
                <c:pt idx="162">
                  <c:v>40210</c:v>
                </c:pt>
                <c:pt idx="163">
                  <c:v>40238</c:v>
                </c:pt>
                <c:pt idx="164">
                  <c:v>40269</c:v>
                </c:pt>
                <c:pt idx="165">
                  <c:v>40299</c:v>
                </c:pt>
                <c:pt idx="166">
                  <c:v>40330</c:v>
                </c:pt>
                <c:pt idx="167">
                  <c:v>40360</c:v>
                </c:pt>
                <c:pt idx="168">
                  <c:v>40391</c:v>
                </c:pt>
                <c:pt idx="169">
                  <c:v>40422</c:v>
                </c:pt>
                <c:pt idx="170">
                  <c:v>40452</c:v>
                </c:pt>
                <c:pt idx="171">
                  <c:v>40483</c:v>
                </c:pt>
                <c:pt idx="172">
                  <c:v>40513</c:v>
                </c:pt>
                <c:pt idx="173">
                  <c:v>40544</c:v>
                </c:pt>
                <c:pt idx="174">
                  <c:v>40575</c:v>
                </c:pt>
                <c:pt idx="175">
                  <c:v>40603</c:v>
                </c:pt>
                <c:pt idx="176">
                  <c:v>40634</c:v>
                </c:pt>
                <c:pt idx="177">
                  <c:v>40664</c:v>
                </c:pt>
                <c:pt idx="178">
                  <c:v>40695</c:v>
                </c:pt>
                <c:pt idx="179">
                  <c:v>40725</c:v>
                </c:pt>
                <c:pt idx="180">
                  <c:v>40756</c:v>
                </c:pt>
                <c:pt idx="181">
                  <c:v>40787</c:v>
                </c:pt>
                <c:pt idx="182">
                  <c:v>40817</c:v>
                </c:pt>
                <c:pt idx="183">
                  <c:v>40848</c:v>
                </c:pt>
                <c:pt idx="184">
                  <c:v>40878</c:v>
                </c:pt>
                <c:pt idx="185">
                  <c:v>40909</c:v>
                </c:pt>
                <c:pt idx="186">
                  <c:v>40940</c:v>
                </c:pt>
                <c:pt idx="187">
                  <c:v>40969</c:v>
                </c:pt>
                <c:pt idx="188">
                  <c:v>41000</c:v>
                </c:pt>
                <c:pt idx="189">
                  <c:v>41030</c:v>
                </c:pt>
                <c:pt idx="190">
                  <c:v>41061</c:v>
                </c:pt>
                <c:pt idx="191">
                  <c:v>41091</c:v>
                </c:pt>
                <c:pt idx="192">
                  <c:v>41122</c:v>
                </c:pt>
                <c:pt idx="193">
                  <c:v>41153</c:v>
                </c:pt>
                <c:pt idx="194">
                  <c:v>41183</c:v>
                </c:pt>
                <c:pt idx="195">
                  <c:v>41214</c:v>
                </c:pt>
                <c:pt idx="196">
                  <c:v>41244</c:v>
                </c:pt>
                <c:pt idx="197">
                  <c:v>41275</c:v>
                </c:pt>
                <c:pt idx="198">
                  <c:v>41306</c:v>
                </c:pt>
                <c:pt idx="199">
                  <c:v>41334</c:v>
                </c:pt>
                <c:pt idx="200">
                  <c:v>41365</c:v>
                </c:pt>
                <c:pt idx="201">
                  <c:v>41395</c:v>
                </c:pt>
                <c:pt idx="202">
                  <c:v>41426</c:v>
                </c:pt>
                <c:pt idx="203">
                  <c:v>41456</c:v>
                </c:pt>
                <c:pt idx="204">
                  <c:v>41487</c:v>
                </c:pt>
                <c:pt idx="205">
                  <c:v>41518</c:v>
                </c:pt>
                <c:pt idx="206">
                  <c:v>41548</c:v>
                </c:pt>
                <c:pt idx="207">
                  <c:v>41579</c:v>
                </c:pt>
                <c:pt idx="208">
                  <c:v>41609</c:v>
                </c:pt>
                <c:pt idx="209">
                  <c:v>41640</c:v>
                </c:pt>
                <c:pt idx="210">
                  <c:v>41671</c:v>
                </c:pt>
                <c:pt idx="211">
                  <c:v>41699</c:v>
                </c:pt>
                <c:pt idx="212">
                  <c:v>41730</c:v>
                </c:pt>
                <c:pt idx="213">
                  <c:v>41760</c:v>
                </c:pt>
                <c:pt idx="214">
                  <c:v>41791</c:v>
                </c:pt>
                <c:pt idx="215">
                  <c:v>41821</c:v>
                </c:pt>
                <c:pt idx="216">
                  <c:v>41852</c:v>
                </c:pt>
                <c:pt idx="217">
                  <c:v>41883</c:v>
                </c:pt>
                <c:pt idx="218">
                  <c:v>41913</c:v>
                </c:pt>
                <c:pt idx="219">
                  <c:v>41944</c:v>
                </c:pt>
                <c:pt idx="220">
                  <c:v>41974</c:v>
                </c:pt>
                <c:pt idx="221">
                  <c:v>42005</c:v>
                </c:pt>
                <c:pt idx="222">
                  <c:v>42036</c:v>
                </c:pt>
                <c:pt idx="223">
                  <c:v>42064</c:v>
                </c:pt>
                <c:pt idx="224">
                  <c:v>42095</c:v>
                </c:pt>
                <c:pt idx="225">
                  <c:v>42125</c:v>
                </c:pt>
                <c:pt idx="226">
                  <c:v>42156</c:v>
                </c:pt>
                <c:pt idx="227">
                  <c:v>42186</c:v>
                </c:pt>
                <c:pt idx="228">
                  <c:v>42217</c:v>
                </c:pt>
                <c:pt idx="229">
                  <c:v>42248</c:v>
                </c:pt>
                <c:pt idx="230">
                  <c:v>42278</c:v>
                </c:pt>
                <c:pt idx="231">
                  <c:v>42309</c:v>
                </c:pt>
                <c:pt idx="232">
                  <c:v>42339</c:v>
                </c:pt>
                <c:pt idx="233">
                  <c:v>42370</c:v>
                </c:pt>
                <c:pt idx="234">
                  <c:v>42401</c:v>
                </c:pt>
                <c:pt idx="235">
                  <c:v>42430</c:v>
                </c:pt>
                <c:pt idx="236">
                  <c:v>42461</c:v>
                </c:pt>
                <c:pt idx="237">
                  <c:v>42491</c:v>
                </c:pt>
                <c:pt idx="238">
                  <c:v>42522</c:v>
                </c:pt>
                <c:pt idx="239">
                  <c:v>42552</c:v>
                </c:pt>
                <c:pt idx="240">
                  <c:v>42583</c:v>
                </c:pt>
                <c:pt idx="241">
                  <c:v>42614</c:v>
                </c:pt>
                <c:pt idx="242">
                  <c:v>42644</c:v>
                </c:pt>
                <c:pt idx="243">
                  <c:v>42675</c:v>
                </c:pt>
                <c:pt idx="244">
                  <c:v>42705</c:v>
                </c:pt>
                <c:pt idx="245">
                  <c:v>42736</c:v>
                </c:pt>
                <c:pt idx="246">
                  <c:v>42767</c:v>
                </c:pt>
                <c:pt idx="247">
                  <c:v>42795</c:v>
                </c:pt>
                <c:pt idx="248">
                  <c:v>42826</c:v>
                </c:pt>
                <c:pt idx="249">
                  <c:v>42856</c:v>
                </c:pt>
                <c:pt idx="250">
                  <c:v>42887</c:v>
                </c:pt>
                <c:pt idx="251">
                  <c:v>42917</c:v>
                </c:pt>
                <c:pt idx="252">
                  <c:v>42948</c:v>
                </c:pt>
                <c:pt idx="253">
                  <c:v>42979</c:v>
                </c:pt>
                <c:pt idx="254">
                  <c:v>43009</c:v>
                </c:pt>
                <c:pt idx="255">
                  <c:v>43040</c:v>
                </c:pt>
                <c:pt idx="256">
                  <c:v>43070</c:v>
                </c:pt>
                <c:pt idx="257">
                  <c:v>43101</c:v>
                </c:pt>
                <c:pt idx="258">
                  <c:v>43132</c:v>
                </c:pt>
                <c:pt idx="259">
                  <c:v>43160</c:v>
                </c:pt>
                <c:pt idx="260">
                  <c:v>43191</c:v>
                </c:pt>
                <c:pt idx="261">
                  <c:v>43221</c:v>
                </c:pt>
                <c:pt idx="262">
                  <c:v>43252</c:v>
                </c:pt>
                <c:pt idx="263">
                  <c:v>43282</c:v>
                </c:pt>
                <c:pt idx="264">
                  <c:v>43313</c:v>
                </c:pt>
                <c:pt idx="265">
                  <c:v>43344</c:v>
                </c:pt>
                <c:pt idx="266">
                  <c:v>43374</c:v>
                </c:pt>
                <c:pt idx="267">
                  <c:v>43405</c:v>
                </c:pt>
                <c:pt idx="268">
                  <c:v>43435</c:v>
                </c:pt>
                <c:pt idx="269">
                  <c:v>43466</c:v>
                </c:pt>
                <c:pt idx="270">
                  <c:v>43497</c:v>
                </c:pt>
                <c:pt idx="271">
                  <c:v>43525</c:v>
                </c:pt>
                <c:pt idx="272">
                  <c:v>43556</c:v>
                </c:pt>
                <c:pt idx="273">
                  <c:v>43586</c:v>
                </c:pt>
                <c:pt idx="274">
                  <c:v>43617</c:v>
                </c:pt>
                <c:pt idx="275">
                  <c:v>43647</c:v>
                </c:pt>
                <c:pt idx="276">
                  <c:v>43678</c:v>
                </c:pt>
                <c:pt idx="277">
                  <c:v>43709</c:v>
                </c:pt>
                <c:pt idx="278">
                  <c:v>43739</c:v>
                </c:pt>
                <c:pt idx="279">
                  <c:v>43770</c:v>
                </c:pt>
                <c:pt idx="280">
                  <c:v>43800</c:v>
                </c:pt>
                <c:pt idx="281">
                  <c:v>43831</c:v>
                </c:pt>
                <c:pt idx="282">
                  <c:v>43862</c:v>
                </c:pt>
                <c:pt idx="283">
                  <c:v>43891</c:v>
                </c:pt>
                <c:pt idx="284">
                  <c:v>43922</c:v>
                </c:pt>
                <c:pt idx="285">
                  <c:v>43952</c:v>
                </c:pt>
                <c:pt idx="286">
                  <c:v>43983</c:v>
                </c:pt>
                <c:pt idx="287">
                  <c:v>44013</c:v>
                </c:pt>
                <c:pt idx="288">
                  <c:v>44044</c:v>
                </c:pt>
                <c:pt idx="289">
                  <c:v>44075</c:v>
                </c:pt>
                <c:pt idx="290">
                  <c:v>44105</c:v>
                </c:pt>
                <c:pt idx="291">
                  <c:v>44136</c:v>
                </c:pt>
                <c:pt idx="292">
                  <c:v>44166</c:v>
                </c:pt>
                <c:pt idx="293">
                  <c:v>44197</c:v>
                </c:pt>
                <c:pt idx="294">
                  <c:v>44228</c:v>
                </c:pt>
                <c:pt idx="295">
                  <c:v>44256</c:v>
                </c:pt>
                <c:pt idx="296">
                  <c:v>44287</c:v>
                </c:pt>
                <c:pt idx="297">
                  <c:v>44317</c:v>
                </c:pt>
                <c:pt idx="298">
                  <c:v>44348</c:v>
                </c:pt>
                <c:pt idx="299">
                  <c:v>44378</c:v>
                </c:pt>
                <c:pt idx="300">
                  <c:v>44409</c:v>
                </c:pt>
                <c:pt idx="301">
                  <c:v>44440</c:v>
                </c:pt>
                <c:pt idx="302">
                  <c:v>44470</c:v>
                </c:pt>
                <c:pt idx="303">
                  <c:v>44501</c:v>
                </c:pt>
                <c:pt idx="304">
                  <c:v>44531</c:v>
                </c:pt>
                <c:pt idx="305">
                  <c:v>44562</c:v>
                </c:pt>
                <c:pt idx="306">
                  <c:v>44593</c:v>
                </c:pt>
                <c:pt idx="307">
                  <c:v>44621</c:v>
                </c:pt>
                <c:pt idx="308">
                  <c:v>44652</c:v>
                </c:pt>
                <c:pt idx="309">
                  <c:v>44682</c:v>
                </c:pt>
                <c:pt idx="310">
                  <c:v>44713</c:v>
                </c:pt>
                <c:pt idx="311">
                  <c:v>44743</c:v>
                </c:pt>
                <c:pt idx="312">
                  <c:v>44774</c:v>
                </c:pt>
                <c:pt idx="313">
                  <c:v>44805</c:v>
                </c:pt>
                <c:pt idx="314">
                  <c:v>44835</c:v>
                </c:pt>
                <c:pt idx="315">
                  <c:v>44866</c:v>
                </c:pt>
                <c:pt idx="316">
                  <c:v>44896</c:v>
                </c:pt>
                <c:pt idx="317">
                  <c:v>44927</c:v>
                </c:pt>
                <c:pt idx="318">
                  <c:v>44958</c:v>
                </c:pt>
                <c:pt idx="319">
                  <c:v>44986</c:v>
                </c:pt>
                <c:pt idx="320">
                  <c:v>45017</c:v>
                </c:pt>
                <c:pt idx="321">
                  <c:v>45047</c:v>
                </c:pt>
                <c:pt idx="322">
                  <c:v>45078</c:v>
                </c:pt>
                <c:pt idx="323">
                  <c:v>45108</c:v>
                </c:pt>
                <c:pt idx="324">
                  <c:v>45139</c:v>
                </c:pt>
                <c:pt idx="325">
                  <c:v>45170</c:v>
                </c:pt>
                <c:pt idx="326">
                  <c:v>45200</c:v>
                </c:pt>
                <c:pt idx="327">
                  <c:v>45231</c:v>
                </c:pt>
                <c:pt idx="328">
                  <c:v>45261</c:v>
                </c:pt>
                <c:pt idx="329">
                  <c:v>45292</c:v>
                </c:pt>
                <c:pt idx="330">
                  <c:v>45323</c:v>
                </c:pt>
                <c:pt idx="331">
                  <c:v>45352</c:v>
                </c:pt>
                <c:pt idx="332">
                  <c:v>45383</c:v>
                </c:pt>
              </c:numCache>
            </c:numRef>
          </c:cat>
          <c:val>
            <c:numRef>
              <c:f>'[cpi inflation final 3-Jan-2025.xlsx]Sheet1'!$B$2:$B$334</c:f>
              <c:numCache>
                <c:formatCode>General</c:formatCode>
                <c:ptCount val="333"/>
                <c:pt idx="0">
                  <c:v>8.5054099999999995</c:v>
                </c:pt>
                <c:pt idx="1">
                  <c:v>6.6364900000000002</c:v>
                </c:pt>
                <c:pt idx="2">
                  <c:v>6.8432399999999998</c:v>
                </c:pt>
                <c:pt idx="3">
                  <c:v>6.6013500000000001</c:v>
                </c:pt>
                <c:pt idx="4">
                  <c:v>6.9689199999999998</c:v>
                </c:pt>
                <c:pt idx="5">
                  <c:v>4.9716199999999997</c:v>
                </c:pt>
                <c:pt idx="6">
                  <c:v>4.5</c:v>
                </c:pt>
                <c:pt idx="7">
                  <c:v>4.5716200000000002</c:v>
                </c:pt>
                <c:pt idx="8">
                  <c:v>4.56351</c:v>
                </c:pt>
                <c:pt idx="9">
                  <c:v>4.3459500000000002</c:v>
                </c:pt>
                <c:pt idx="10">
                  <c:v>4.6945899999999998</c:v>
                </c:pt>
                <c:pt idx="11">
                  <c:v>4.64459</c:v>
                </c:pt>
                <c:pt idx="12">
                  <c:v>4.9743199999999996</c:v>
                </c:pt>
                <c:pt idx="13">
                  <c:v>5.3526999999999996</c:v>
                </c:pt>
                <c:pt idx="14">
                  <c:v>5.7689199999999996</c:v>
                </c:pt>
                <c:pt idx="15">
                  <c:v>6.5364899999999997</c:v>
                </c:pt>
                <c:pt idx="16">
                  <c:v>6.2594599999999998</c:v>
                </c:pt>
                <c:pt idx="17">
                  <c:v>5.7716200000000004</c:v>
                </c:pt>
                <c:pt idx="18">
                  <c:v>6.9513499999999997</c:v>
                </c:pt>
                <c:pt idx="19">
                  <c:v>7.2959500000000004</c:v>
                </c:pt>
                <c:pt idx="20">
                  <c:v>7.6513499999999999</c:v>
                </c:pt>
                <c:pt idx="21">
                  <c:v>8.4473000000000003</c:v>
                </c:pt>
                <c:pt idx="22">
                  <c:v>9.1986500000000007</c:v>
                </c:pt>
                <c:pt idx="23">
                  <c:v>9.5878399999999999</c:v>
                </c:pt>
                <c:pt idx="24">
                  <c:v>9.2756799999999995</c:v>
                </c:pt>
                <c:pt idx="25">
                  <c:v>9.5567600000000006</c:v>
                </c:pt>
                <c:pt idx="26">
                  <c:v>9.0027000000000008</c:v>
                </c:pt>
                <c:pt idx="27">
                  <c:v>9.7810799999999904</c:v>
                </c:pt>
                <c:pt idx="28">
                  <c:v>9.4324300000000001</c:v>
                </c:pt>
                <c:pt idx="29">
                  <c:v>10.644600000000001</c:v>
                </c:pt>
                <c:pt idx="30">
                  <c:v>9.3486499999999904</c:v>
                </c:pt>
                <c:pt idx="31">
                  <c:v>8.4675700000000003</c:v>
                </c:pt>
                <c:pt idx="32">
                  <c:v>7.7810800000000002</c:v>
                </c:pt>
                <c:pt idx="33">
                  <c:v>6.9243199999999998</c:v>
                </c:pt>
                <c:pt idx="34">
                  <c:v>5.9418899999999999</c:v>
                </c:pt>
                <c:pt idx="35">
                  <c:v>5.5067599999999999</c:v>
                </c:pt>
                <c:pt idx="36">
                  <c:v>5.15</c:v>
                </c:pt>
                <c:pt idx="37">
                  <c:v>4.8689200000000001</c:v>
                </c:pt>
                <c:pt idx="38">
                  <c:v>5.35405</c:v>
                </c:pt>
                <c:pt idx="39">
                  <c:v>3.9310800000000001</c:v>
                </c:pt>
                <c:pt idx="40">
                  <c:v>4.0797299999999996</c:v>
                </c:pt>
                <c:pt idx="41">
                  <c:v>5.2797299999999998</c:v>
                </c:pt>
                <c:pt idx="42">
                  <c:v>5.45</c:v>
                </c:pt>
                <c:pt idx="43">
                  <c:v>5.6162200000000002</c:v>
                </c:pt>
                <c:pt idx="44">
                  <c:v>5.9540499999999996</c:v>
                </c:pt>
                <c:pt idx="45">
                  <c:v>6.1175699999999997</c:v>
                </c:pt>
                <c:pt idx="46">
                  <c:v>6.06351</c:v>
                </c:pt>
                <c:pt idx="47">
                  <c:v>6.3162200000000004</c:v>
                </c:pt>
                <c:pt idx="48">
                  <c:v>6.65</c:v>
                </c:pt>
                <c:pt idx="49">
                  <c:v>6.3986499999999999</c:v>
                </c:pt>
                <c:pt idx="50">
                  <c:v>6.7486499999999996</c:v>
                </c:pt>
                <c:pt idx="51">
                  <c:v>7.68513</c:v>
                </c:pt>
                <c:pt idx="52">
                  <c:v>8.4662199999999999</c:v>
                </c:pt>
                <c:pt idx="53">
                  <c:v>6.08378</c:v>
                </c:pt>
                <c:pt idx="54">
                  <c:v>5.8621600000000003</c:v>
                </c:pt>
                <c:pt idx="55">
                  <c:v>5.8770300000000004</c:v>
                </c:pt>
                <c:pt idx="56">
                  <c:v>5.68649</c:v>
                </c:pt>
                <c:pt idx="57">
                  <c:v>5.87568</c:v>
                </c:pt>
                <c:pt idx="58">
                  <c:v>5.9135099999999996</c:v>
                </c:pt>
                <c:pt idx="59">
                  <c:v>5.8324299999999996</c:v>
                </c:pt>
                <c:pt idx="60">
                  <c:v>5.5770299999999997</c:v>
                </c:pt>
                <c:pt idx="61">
                  <c:v>5.5918900000000002</c:v>
                </c:pt>
                <c:pt idx="62">
                  <c:v>5.0270299999999999</c:v>
                </c:pt>
                <c:pt idx="63">
                  <c:v>4.1175699999999997</c:v>
                </c:pt>
                <c:pt idx="64">
                  <c:v>3.4054099999999998</c:v>
                </c:pt>
                <c:pt idx="65">
                  <c:v>2.9202699999999999</c:v>
                </c:pt>
                <c:pt idx="66">
                  <c:v>2.6581100000000002</c:v>
                </c:pt>
                <c:pt idx="67">
                  <c:v>2.7337799999999999</c:v>
                </c:pt>
                <c:pt idx="68">
                  <c:v>2.8054100000000002</c:v>
                </c:pt>
                <c:pt idx="69">
                  <c:v>2.58243</c:v>
                </c:pt>
                <c:pt idx="70">
                  <c:v>2.3445900000000002</c:v>
                </c:pt>
                <c:pt idx="71">
                  <c:v>2.5270299999999999</c:v>
                </c:pt>
                <c:pt idx="72">
                  <c:v>2.8473000000000002</c:v>
                </c:pt>
                <c:pt idx="73">
                  <c:v>2.7891900000000001</c:v>
                </c:pt>
                <c:pt idx="74">
                  <c:v>2.6486499999999999</c:v>
                </c:pt>
                <c:pt idx="75">
                  <c:v>2.4608099999999999</c:v>
                </c:pt>
                <c:pt idx="76">
                  <c:v>2.3459500000000002</c:v>
                </c:pt>
                <c:pt idx="77">
                  <c:v>2.0662199999999999</c:v>
                </c:pt>
                <c:pt idx="78">
                  <c:v>2.3581099999999999</c:v>
                </c:pt>
                <c:pt idx="79">
                  <c:v>2.3067600000000001</c:v>
                </c:pt>
                <c:pt idx="80">
                  <c:v>2.6770299999999998</c:v>
                </c:pt>
                <c:pt idx="81">
                  <c:v>2.7432400000000001</c:v>
                </c:pt>
                <c:pt idx="82">
                  <c:v>2.7770299999999999</c:v>
                </c:pt>
                <c:pt idx="83">
                  <c:v>2.6513499999999999</c:v>
                </c:pt>
                <c:pt idx="84">
                  <c:v>2.2554099999999999</c:v>
                </c:pt>
                <c:pt idx="85">
                  <c:v>2.1905399999999999</c:v>
                </c:pt>
                <c:pt idx="86">
                  <c:v>2.1554099999999998</c:v>
                </c:pt>
                <c:pt idx="87">
                  <c:v>2.35405</c:v>
                </c:pt>
                <c:pt idx="88">
                  <c:v>2.60676</c:v>
                </c:pt>
                <c:pt idx="89">
                  <c:v>3.1081099999999999</c:v>
                </c:pt>
                <c:pt idx="90">
                  <c:v>3.1797300000000002</c:v>
                </c:pt>
                <c:pt idx="91">
                  <c:v>3.4445899999999998</c:v>
                </c:pt>
                <c:pt idx="92">
                  <c:v>3.3702700000000001</c:v>
                </c:pt>
                <c:pt idx="93">
                  <c:v>3.7743199999999999</c:v>
                </c:pt>
                <c:pt idx="94">
                  <c:v>4.6189200000000001</c:v>
                </c:pt>
                <c:pt idx="95">
                  <c:v>5.6756799999999998</c:v>
                </c:pt>
                <c:pt idx="96">
                  <c:v>6.1310799999999999</c:v>
                </c:pt>
                <c:pt idx="97">
                  <c:v>6.4756799999999997</c:v>
                </c:pt>
                <c:pt idx="98">
                  <c:v>6.7608100000000002</c:v>
                </c:pt>
                <c:pt idx="99">
                  <c:v>6.9945899999999996</c:v>
                </c:pt>
                <c:pt idx="100">
                  <c:v>7.3229699999999998</c:v>
                </c:pt>
                <c:pt idx="101">
                  <c:v>7.3459500000000002</c:v>
                </c:pt>
                <c:pt idx="102">
                  <c:v>7.4297300000000002</c:v>
                </c:pt>
                <c:pt idx="103">
                  <c:v>7.3513500000000001</c:v>
                </c:pt>
                <c:pt idx="104">
                  <c:v>7.3986499999999999</c:v>
                </c:pt>
                <c:pt idx="105">
                  <c:v>7.4135099999999996</c:v>
                </c:pt>
                <c:pt idx="106">
                  <c:v>6.68919</c:v>
                </c:pt>
                <c:pt idx="107">
                  <c:v>5.9067600000000002</c:v>
                </c:pt>
                <c:pt idx="108">
                  <c:v>5.8932399999999996</c:v>
                </c:pt>
                <c:pt idx="109">
                  <c:v>5.8716200000000001</c:v>
                </c:pt>
                <c:pt idx="110">
                  <c:v>5.9810800000000004</c:v>
                </c:pt>
                <c:pt idx="111">
                  <c:v>6.2473000000000001</c:v>
                </c:pt>
                <c:pt idx="112">
                  <c:v>5.9770300000000001</c:v>
                </c:pt>
                <c:pt idx="113">
                  <c:v>6.1716199999999999</c:v>
                </c:pt>
                <c:pt idx="114">
                  <c:v>6.4513499999999997</c:v>
                </c:pt>
                <c:pt idx="115">
                  <c:v>6.4675700000000003</c:v>
                </c:pt>
                <c:pt idx="116">
                  <c:v>6.1716199999999999</c:v>
                </c:pt>
                <c:pt idx="117">
                  <c:v>5.93919</c:v>
                </c:pt>
                <c:pt idx="118">
                  <c:v>5.7797299999999998</c:v>
                </c:pt>
                <c:pt idx="119">
                  <c:v>5.2972999999999999</c:v>
                </c:pt>
                <c:pt idx="120">
                  <c:v>5.1175699999999997</c:v>
                </c:pt>
                <c:pt idx="121">
                  <c:v>4.7662199999999997</c:v>
                </c:pt>
                <c:pt idx="122">
                  <c:v>4.5581100000000001</c:v>
                </c:pt>
                <c:pt idx="123">
                  <c:v>4.0972999999999997</c:v>
                </c:pt>
                <c:pt idx="124">
                  <c:v>3.8635100000000002</c:v>
                </c:pt>
                <c:pt idx="125">
                  <c:v>3.8270300000000002</c:v>
                </c:pt>
                <c:pt idx="126">
                  <c:v>3.29054</c:v>
                </c:pt>
                <c:pt idx="127">
                  <c:v>2.9635099999999999</c:v>
                </c:pt>
                <c:pt idx="128">
                  <c:v>2.9567600000000001</c:v>
                </c:pt>
                <c:pt idx="129">
                  <c:v>2.8229700000000002</c:v>
                </c:pt>
                <c:pt idx="130">
                  <c:v>2.9202699999999999</c:v>
                </c:pt>
                <c:pt idx="131">
                  <c:v>3.08649</c:v>
                </c:pt>
                <c:pt idx="132">
                  <c:v>2.7770299999999999</c:v>
                </c:pt>
                <c:pt idx="133">
                  <c:v>3.0486499999999999</c:v>
                </c:pt>
                <c:pt idx="134">
                  <c:v>3.2824300000000002</c:v>
                </c:pt>
                <c:pt idx="135">
                  <c:v>3.5486499999999999</c:v>
                </c:pt>
                <c:pt idx="136">
                  <c:v>4.1932400000000003</c:v>
                </c:pt>
                <c:pt idx="137">
                  <c:v>5.1594600000000002</c:v>
                </c:pt>
                <c:pt idx="138">
                  <c:v>5.7554100000000004</c:v>
                </c:pt>
                <c:pt idx="139">
                  <c:v>6.3256800000000002</c:v>
                </c:pt>
                <c:pt idx="140">
                  <c:v>7.6175699999999997</c:v>
                </c:pt>
                <c:pt idx="141">
                  <c:v>8.8918900000000001</c:v>
                </c:pt>
                <c:pt idx="142">
                  <c:v>10.491899999999999</c:v>
                </c:pt>
                <c:pt idx="143">
                  <c:v>11.575699999999999</c:v>
                </c:pt>
                <c:pt idx="144">
                  <c:v>12.1838</c:v>
                </c:pt>
                <c:pt idx="145">
                  <c:v>11.382400000000001</c:v>
                </c:pt>
                <c:pt idx="146">
                  <c:v>10.7324</c:v>
                </c:pt>
                <c:pt idx="147">
                  <c:v>9.9337800000000005</c:v>
                </c:pt>
                <c:pt idx="148">
                  <c:v>8.9567599999999903</c:v>
                </c:pt>
                <c:pt idx="149">
                  <c:v>7.8432399999999998</c:v>
                </c:pt>
                <c:pt idx="150">
                  <c:v>7.9135099999999996</c:v>
                </c:pt>
                <c:pt idx="151">
                  <c:v>7.4621599999999999</c:v>
                </c:pt>
                <c:pt idx="152">
                  <c:v>6.4513499999999997</c:v>
                </c:pt>
                <c:pt idx="153">
                  <c:v>5.1797300000000002</c:v>
                </c:pt>
                <c:pt idx="154">
                  <c:v>3.5905399999999998</c:v>
                </c:pt>
                <c:pt idx="155">
                  <c:v>2.4445899999999998</c:v>
                </c:pt>
                <c:pt idx="156">
                  <c:v>1.9405399999999999</c:v>
                </c:pt>
                <c:pt idx="157">
                  <c:v>2.4472999999999998</c:v>
                </c:pt>
                <c:pt idx="158">
                  <c:v>2.95946</c:v>
                </c:pt>
                <c:pt idx="159">
                  <c:v>3.8202699999999998</c:v>
                </c:pt>
                <c:pt idx="160">
                  <c:v>4.4662199999999999</c:v>
                </c:pt>
                <c:pt idx="161">
                  <c:v>4.5891900000000003</c:v>
                </c:pt>
                <c:pt idx="162">
                  <c:v>4.0702699999999998</c:v>
                </c:pt>
                <c:pt idx="163">
                  <c:v>4.0621600000000004</c:v>
                </c:pt>
                <c:pt idx="164">
                  <c:v>4.0175700000000001</c:v>
                </c:pt>
                <c:pt idx="165">
                  <c:v>4.0175700000000001</c:v>
                </c:pt>
                <c:pt idx="166">
                  <c:v>3.8973</c:v>
                </c:pt>
                <c:pt idx="167">
                  <c:v>3.9026999999999998</c:v>
                </c:pt>
                <c:pt idx="168">
                  <c:v>4.0337800000000001</c:v>
                </c:pt>
                <c:pt idx="169">
                  <c:v>4.1283799999999999</c:v>
                </c:pt>
                <c:pt idx="170">
                  <c:v>3.89459</c:v>
                </c:pt>
                <c:pt idx="171">
                  <c:v>3.9081100000000002</c:v>
                </c:pt>
                <c:pt idx="172">
                  <c:v>4.0162199999999997</c:v>
                </c:pt>
                <c:pt idx="173">
                  <c:v>3.9959500000000001</c:v>
                </c:pt>
                <c:pt idx="174">
                  <c:v>4.7216199999999997</c:v>
                </c:pt>
                <c:pt idx="175">
                  <c:v>5.0864900000000004</c:v>
                </c:pt>
                <c:pt idx="176">
                  <c:v>5.1270300000000004</c:v>
                </c:pt>
                <c:pt idx="177">
                  <c:v>5.1594600000000002</c:v>
                </c:pt>
                <c:pt idx="178">
                  <c:v>5.1513499999999999</c:v>
                </c:pt>
                <c:pt idx="179">
                  <c:v>5.0554100000000002</c:v>
                </c:pt>
                <c:pt idx="180">
                  <c:v>4.8662200000000002</c:v>
                </c:pt>
                <c:pt idx="181">
                  <c:v>4.7432400000000001</c:v>
                </c:pt>
                <c:pt idx="182">
                  <c:v>4.9824299999999999</c:v>
                </c:pt>
                <c:pt idx="183">
                  <c:v>4.8081100000000001</c:v>
                </c:pt>
                <c:pt idx="184">
                  <c:v>4.3202699999999998</c:v>
                </c:pt>
                <c:pt idx="185">
                  <c:v>3.9459499999999998</c:v>
                </c:pt>
                <c:pt idx="186">
                  <c:v>3.1148600000000002</c:v>
                </c:pt>
                <c:pt idx="187">
                  <c:v>2.8797299999999999</c:v>
                </c:pt>
                <c:pt idx="188">
                  <c:v>3.2270300000000001</c:v>
                </c:pt>
                <c:pt idx="189">
                  <c:v>3.0581100000000001</c:v>
                </c:pt>
                <c:pt idx="190">
                  <c:v>2.9310800000000001</c:v>
                </c:pt>
                <c:pt idx="191">
                  <c:v>3.0986500000000001</c:v>
                </c:pt>
                <c:pt idx="192">
                  <c:v>3.6567599999999998</c:v>
                </c:pt>
                <c:pt idx="193">
                  <c:v>3.85</c:v>
                </c:pt>
                <c:pt idx="194">
                  <c:v>3.4554100000000001</c:v>
                </c:pt>
                <c:pt idx="195">
                  <c:v>3.0743200000000002</c:v>
                </c:pt>
                <c:pt idx="196">
                  <c:v>3.02027</c:v>
                </c:pt>
                <c:pt idx="197">
                  <c:v>3.04054</c:v>
                </c:pt>
                <c:pt idx="198">
                  <c:v>3.2608100000000002</c:v>
                </c:pt>
                <c:pt idx="199">
                  <c:v>3.0364900000000001</c:v>
                </c:pt>
                <c:pt idx="200">
                  <c:v>2.3432400000000002</c:v>
                </c:pt>
                <c:pt idx="201">
                  <c:v>2.4675699999999998</c:v>
                </c:pt>
                <c:pt idx="202">
                  <c:v>2.83649</c:v>
                </c:pt>
                <c:pt idx="203">
                  <c:v>2.8418899999999998</c:v>
                </c:pt>
                <c:pt idx="204">
                  <c:v>2.3716200000000001</c:v>
                </c:pt>
                <c:pt idx="205">
                  <c:v>2.7229700000000001</c:v>
                </c:pt>
                <c:pt idx="206">
                  <c:v>3.0364900000000001</c:v>
                </c:pt>
                <c:pt idx="207">
                  <c:v>3.41892</c:v>
                </c:pt>
                <c:pt idx="208">
                  <c:v>4.2540500000000003</c:v>
                </c:pt>
                <c:pt idx="209">
                  <c:v>4.4729700000000001</c:v>
                </c:pt>
                <c:pt idx="210">
                  <c:v>4.3581099999999999</c:v>
                </c:pt>
                <c:pt idx="211">
                  <c:v>4.1378399999999997</c:v>
                </c:pt>
                <c:pt idx="212">
                  <c:v>4.2581100000000003</c:v>
                </c:pt>
                <c:pt idx="213">
                  <c:v>4.5026999999999999</c:v>
                </c:pt>
                <c:pt idx="214">
                  <c:v>4.35541</c:v>
                </c:pt>
                <c:pt idx="215">
                  <c:v>4.5067599999999999</c:v>
                </c:pt>
                <c:pt idx="216">
                  <c:v>4.5554100000000002</c:v>
                </c:pt>
                <c:pt idx="217">
                  <c:v>4.1297300000000003</c:v>
                </c:pt>
                <c:pt idx="218">
                  <c:v>3.8527</c:v>
                </c:pt>
                <c:pt idx="219">
                  <c:v>3.35</c:v>
                </c:pt>
                <c:pt idx="220">
                  <c:v>2.2864900000000001</c:v>
                </c:pt>
                <c:pt idx="221">
                  <c:v>1.7986500000000001</c:v>
                </c:pt>
                <c:pt idx="222">
                  <c:v>1.4716199999999999</c:v>
                </c:pt>
                <c:pt idx="223">
                  <c:v>1.70946</c:v>
                </c:pt>
                <c:pt idx="224">
                  <c:v>1.6959500000000001</c:v>
                </c:pt>
                <c:pt idx="225">
                  <c:v>1.38378</c:v>
                </c:pt>
                <c:pt idx="226">
                  <c:v>0.93648600000000004</c:v>
                </c:pt>
                <c:pt idx="227">
                  <c:v>0.636486</c:v>
                </c:pt>
                <c:pt idx="228">
                  <c:v>0.4</c:v>
                </c:pt>
                <c:pt idx="229">
                  <c:v>0.154054</c:v>
                </c:pt>
                <c:pt idx="230">
                  <c:v>0.28513500000000003</c:v>
                </c:pt>
                <c:pt idx="231">
                  <c:v>0.67567600000000005</c:v>
                </c:pt>
                <c:pt idx="232">
                  <c:v>1.0662199999999999</c:v>
                </c:pt>
                <c:pt idx="233">
                  <c:v>1.1702699999999999</c:v>
                </c:pt>
                <c:pt idx="234">
                  <c:v>1.0648599999999999</c:v>
                </c:pt>
                <c:pt idx="235">
                  <c:v>1.01081</c:v>
                </c:pt>
                <c:pt idx="236">
                  <c:v>1.0581100000000001</c:v>
                </c:pt>
                <c:pt idx="237">
                  <c:v>1.26081</c:v>
                </c:pt>
                <c:pt idx="238">
                  <c:v>1.5905400000000001</c:v>
                </c:pt>
                <c:pt idx="239">
                  <c:v>1.5594600000000001</c:v>
                </c:pt>
                <c:pt idx="240">
                  <c:v>1.6</c:v>
                </c:pt>
                <c:pt idx="241">
                  <c:v>1.7162200000000001</c:v>
                </c:pt>
                <c:pt idx="242">
                  <c:v>1.87432</c:v>
                </c:pt>
                <c:pt idx="243">
                  <c:v>2.1162200000000002</c:v>
                </c:pt>
                <c:pt idx="244">
                  <c:v>2.3175699999999999</c:v>
                </c:pt>
                <c:pt idx="245">
                  <c:v>2.4648599999999998</c:v>
                </c:pt>
                <c:pt idx="246">
                  <c:v>2.81216</c:v>
                </c:pt>
                <c:pt idx="247">
                  <c:v>2.68784</c:v>
                </c:pt>
                <c:pt idx="248">
                  <c:v>2.7608100000000002</c:v>
                </c:pt>
                <c:pt idx="249">
                  <c:v>2.4270299999999998</c:v>
                </c:pt>
                <c:pt idx="250">
                  <c:v>2.2054100000000001</c:v>
                </c:pt>
                <c:pt idx="251">
                  <c:v>2.0891899999999999</c:v>
                </c:pt>
                <c:pt idx="252">
                  <c:v>2.33378</c:v>
                </c:pt>
                <c:pt idx="253">
                  <c:v>2.62568</c:v>
                </c:pt>
                <c:pt idx="254">
                  <c:v>2.6743199999999998</c:v>
                </c:pt>
                <c:pt idx="255">
                  <c:v>2.5026999999999999</c:v>
                </c:pt>
                <c:pt idx="256">
                  <c:v>2.54054</c:v>
                </c:pt>
                <c:pt idx="257">
                  <c:v>3.1216200000000001</c:v>
                </c:pt>
                <c:pt idx="258">
                  <c:v>3.5540500000000002</c:v>
                </c:pt>
                <c:pt idx="259">
                  <c:v>3.93919</c:v>
                </c:pt>
                <c:pt idx="260">
                  <c:v>4.1824300000000001</c:v>
                </c:pt>
                <c:pt idx="261">
                  <c:v>4.5526999999999997</c:v>
                </c:pt>
                <c:pt idx="262">
                  <c:v>5.0445900000000004</c:v>
                </c:pt>
                <c:pt idx="263">
                  <c:v>5.7445899999999996</c:v>
                </c:pt>
                <c:pt idx="264">
                  <c:v>6.4256799999999998</c:v>
                </c:pt>
                <c:pt idx="265">
                  <c:v>7.3891900000000001</c:v>
                </c:pt>
                <c:pt idx="266">
                  <c:v>7.4675700000000003</c:v>
                </c:pt>
                <c:pt idx="267">
                  <c:v>6.5675699999999999</c:v>
                </c:pt>
                <c:pt idx="268">
                  <c:v>5.5256800000000004</c:v>
                </c:pt>
                <c:pt idx="269">
                  <c:v>4.6094600000000003</c:v>
                </c:pt>
                <c:pt idx="270">
                  <c:v>4.0905399999999998</c:v>
                </c:pt>
                <c:pt idx="271">
                  <c:v>3.8013499999999998</c:v>
                </c:pt>
                <c:pt idx="272">
                  <c:v>3.41351</c:v>
                </c:pt>
                <c:pt idx="273">
                  <c:v>3.33108</c:v>
                </c:pt>
                <c:pt idx="274">
                  <c:v>2.8067600000000001</c:v>
                </c:pt>
                <c:pt idx="275">
                  <c:v>2.3027000000000002</c:v>
                </c:pt>
                <c:pt idx="276">
                  <c:v>1.49865</c:v>
                </c:pt>
                <c:pt idx="277">
                  <c:v>0.36081099999999999</c:v>
                </c:pt>
                <c:pt idx="278">
                  <c:v>0.214865</c:v>
                </c:pt>
                <c:pt idx="279">
                  <c:v>0.97297299999999998</c:v>
                </c:pt>
                <c:pt idx="280">
                  <c:v>2.2418900000000002</c:v>
                </c:pt>
                <c:pt idx="281">
                  <c:v>3.0162200000000001</c:v>
                </c:pt>
                <c:pt idx="282">
                  <c:v>2.8040500000000002</c:v>
                </c:pt>
                <c:pt idx="283">
                  <c:v>2.5040499999999999</c:v>
                </c:pt>
                <c:pt idx="284">
                  <c:v>2.3891900000000001</c:v>
                </c:pt>
                <c:pt idx="285">
                  <c:v>2.2135099999999999</c:v>
                </c:pt>
                <c:pt idx="286">
                  <c:v>2.6810800000000001</c:v>
                </c:pt>
                <c:pt idx="287">
                  <c:v>2.79054</c:v>
                </c:pt>
                <c:pt idx="288">
                  <c:v>2.6216200000000001</c:v>
                </c:pt>
                <c:pt idx="289">
                  <c:v>2.74865</c:v>
                </c:pt>
                <c:pt idx="290">
                  <c:v>2.7135099999999999</c:v>
                </c:pt>
                <c:pt idx="291">
                  <c:v>3.3378399999999999</c:v>
                </c:pt>
                <c:pt idx="292">
                  <c:v>3.6770299999999998</c:v>
                </c:pt>
                <c:pt idx="293">
                  <c:v>3.9891899999999998</c:v>
                </c:pt>
                <c:pt idx="294">
                  <c:v>4.5621600000000004</c:v>
                </c:pt>
                <c:pt idx="295">
                  <c:v>4.8513500000000001</c:v>
                </c:pt>
                <c:pt idx="296">
                  <c:v>4.8229699999999998</c:v>
                </c:pt>
                <c:pt idx="297">
                  <c:v>4.7783800000000003</c:v>
                </c:pt>
                <c:pt idx="298">
                  <c:v>4.3094599999999996</c:v>
                </c:pt>
                <c:pt idx="299">
                  <c:v>4.4013499999999999</c:v>
                </c:pt>
                <c:pt idx="300">
                  <c:v>4.9770300000000001</c:v>
                </c:pt>
                <c:pt idx="301">
                  <c:v>4.7121599999999999</c:v>
                </c:pt>
                <c:pt idx="302">
                  <c:v>4.7067600000000001</c:v>
                </c:pt>
                <c:pt idx="303">
                  <c:v>4.33378</c:v>
                </c:pt>
                <c:pt idx="304">
                  <c:v>3.6851400000000001</c:v>
                </c:pt>
                <c:pt idx="305">
                  <c:v>3.8648600000000002</c:v>
                </c:pt>
                <c:pt idx="306">
                  <c:v>3.5121600000000002</c:v>
                </c:pt>
                <c:pt idx="307">
                  <c:v>4.2256799999999997</c:v>
                </c:pt>
                <c:pt idx="308">
                  <c:v>5.0351400000000002</c:v>
                </c:pt>
                <c:pt idx="309">
                  <c:v>5.56351</c:v>
                </c:pt>
                <c:pt idx="310">
                  <c:v>6.3202699999999998</c:v>
                </c:pt>
                <c:pt idx="311">
                  <c:v>6.9635100000000003</c:v>
                </c:pt>
                <c:pt idx="312">
                  <c:v>6.9081099999999998</c:v>
                </c:pt>
                <c:pt idx="313">
                  <c:v>7.4067600000000002</c:v>
                </c:pt>
                <c:pt idx="314">
                  <c:v>7.8662200000000002</c:v>
                </c:pt>
                <c:pt idx="315">
                  <c:v>8.1986500000000007</c:v>
                </c:pt>
                <c:pt idx="316">
                  <c:v>8.3405400000000007</c:v>
                </c:pt>
                <c:pt idx="317">
                  <c:v>8.6729699999999994</c:v>
                </c:pt>
                <c:pt idx="318">
                  <c:v>8.5391899999999996</c:v>
                </c:pt>
                <c:pt idx="319">
                  <c:v>7.5554100000000002</c:v>
                </c:pt>
                <c:pt idx="320">
                  <c:v>6.3581099999999999</c:v>
                </c:pt>
                <c:pt idx="321">
                  <c:v>5.7229700000000001</c:v>
                </c:pt>
                <c:pt idx="322">
                  <c:v>5.02027</c:v>
                </c:pt>
                <c:pt idx="323">
                  <c:v>4.1189200000000001</c:v>
                </c:pt>
                <c:pt idx="324">
                  <c:v>4.8594600000000003</c:v>
                </c:pt>
                <c:pt idx="325">
                  <c:v>5.9040499999999998</c:v>
                </c:pt>
                <c:pt idx="326">
                  <c:v>4.7675700000000001</c:v>
                </c:pt>
                <c:pt idx="327">
                  <c:v>4.1540499999999998</c:v>
                </c:pt>
                <c:pt idx="328">
                  <c:v>4.0216200000000004</c:v>
                </c:pt>
                <c:pt idx="329">
                  <c:v>2.85541</c:v>
                </c:pt>
                <c:pt idx="330">
                  <c:v>3.48108</c:v>
                </c:pt>
                <c:pt idx="331">
                  <c:v>3.8473000000000002</c:v>
                </c:pt>
                <c:pt idx="332">
                  <c:v>4.2675700000000001</c:v>
                </c:pt>
              </c:numCache>
            </c:numRef>
          </c:val>
          <c:smooth val="0"/>
          <c:extLst>
            <c:ext xmlns:c16="http://schemas.microsoft.com/office/drawing/2014/chart" uri="{C3380CC4-5D6E-409C-BE32-E72D297353CC}">
              <c16:uniqueId val="{00000000-A6EB-4142-BDCF-80EBCBEFB0EC}"/>
            </c:ext>
          </c:extLst>
        </c:ser>
        <c:ser>
          <c:idx val="1"/>
          <c:order val="1"/>
          <c:tx>
            <c:strRef>
              <c:f>'[cpi inflation final 3-Jan-2025.xlsx]Sheet1'!$C$1</c:f>
              <c:strCache>
                <c:ptCount val="1"/>
                <c:pt idx="0">
                  <c:v>Rice inflation</c:v>
                </c:pt>
              </c:strCache>
            </c:strRef>
          </c:tx>
          <c:spPr>
            <a:ln w="15875" cap="rnd">
              <a:solidFill>
                <a:srgbClr val="00B050"/>
              </a:solidFill>
              <a:prstDash val="solid"/>
              <a:round/>
            </a:ln>
            <a:effectLst/>
          </c:spPr>
          <c:marker>
            <c:symbol val="none"/>
          </c:marker>
          <c:cat>
            <c:numRef>
              <c:f>'[cpi inflation final 3-Jan-2025.xlsx]Sheet1'!$A$2:$A$334</c:f>
              <c:numCache>
                <c:formatCode>mmm\-yy</c:formatCode>
                <c:ptCount val="333"/>
                <c:pt idx="0">
                  <c:v>35278</c:v>
                </c:pt>
                <c:pt idx="1">
                  <c:v>35309</c:v>
                </c:pt>
                <c:pt idx="2">
                  <c:v>35339</c:v>
                </c:pt>
                <c:pt idx="3">
                  <c:v>35370</c:v>
                </c:pt>
                <c:pt idx="4">
                  <c:v>35400</c:v>
                </c:pt>
                <c:pt idx="5">
                  <c:v>35431</c:v>
                </c:pt>
                <c:pt idx="6">
                  <c:v>35462</c:v>
                </c:pt>
                <c:pt idx="7">
                  <c:v>35490</c:v>
                </c:pt>
                <c:pt idx="8">
                  <c:v>35521</c:v>
                </c:pt>
                <c:pt idx="9">
                  <c:v>35551</c:v>
                </c:pt>
                <c:pt idx="10">
                  <c:v>35582</c:v>
                </c:pt>
                <c:pt idx="11">
                  <c:v>35612</c:v>
                </c:pt>
                <c:pt idx="12">
                  <c:v>35643</c:v>
                </c:pt>
                <c:pt idx="13">
                  <c:v>35674</c:v>
                </c:pt>
                <c:pt idx="14">
                  <c:v>35704</c:v>
                </c:pt>
                <c:pt idx="15">
                  <c:v>35735</c:v>
                </c:pt>
                <c:pt idx="16">
                  <c:v>35765</c:v>
                </c:pt>
                <c:pt idx="17">
                  <c:v>35796</c:v>
                </c:pt>
                <c:pt idx="18">
                  <c:v>35827</c:v>
                </c:pt>
                <c:pt idx="19">
                  <c:v>35855</c:v>
                </c:pt>
                <c:pt idx="20">
                  <c:v>35886</c:v>
                </c:pt>
                <c:pt idx="21">
                  <c:v>35916</c:v>
                </c:pt>
                <c:pt idx="22">
                  <c:v>35947</c:v>
                </c:pt>
                <c:pt idx="23">
                  <c:v>35977</c:v>
                </c:pt>
                <c:pt idx="24">
                  <c:v>36008</c:v>
                </c:pt>
                <c:pt idx="25">
                  <c:v>36039</c:v>
                </c:pt>
                <c:pt idx="26">
                  <c:v>36069</c:v>
                </c:pt>
                <c:pt idx="27">
                  <c:v>36100</c:v>
                </c:pt>
                <c:pt idx="28">
                  <c:v>36130</c:v>
                </c:pt>
                <c:pt idx="29">
                  <c:v>36161</c:v>
                </c:pt>
                <c:pt idx="30">
                  <c:v>36192</c:v>
                </c:pt>
                <c:pt idx="31">
                  <c:v>36220</c:v>
                </c:pt>
                <c:pt idx="32">
                  <c:v>36251</c:v>
                </c:pt>
                <c:pt idx="33">
                  <c:v>36281</c:v>
                </c:pt>
                <c:pt idx="34">
                  <c:v>36312</c:v>
                </c:pt>
                <c:pt idx="35">
                  <c:v>36342</c:v>
                </c:pt>
                <c:pt idx="36">
                  <c:v>36373</c:v>
                </c:pt>
                <c:pt idx="37">
                  <c:v>36404</c:v>
                </c:pt>
                <c:pt idx="38">
                  <c:v>36434</c:v>
                </c:pt>
                <c:pt idx="39">
                  <c:v>36465</c:v>
                </c:pt>
                <c:pt idx="40">
                  <c:v>36495</c:v>
                </c:pt>
                <c:pt idx="41">
                  <c:v>36526</c:v>
                </c:pt>
                <c:pt idx="42">
                  <c:v>36557</c:v>
                </c:pt>
                <c:pt idx="43">
                  <c:v>36586</c:v>
                </c:pt>
                <c:pt idx="44">
                  <c:v>36617</c:v>
                </c:pt>
                <c:pt idx="45">
                  <c:v>36647</c:v>
                </c:pt>
                <c:pt idx="46">
                  <c:v>36678</c:v>
                </c:pt>
                <c:pt idx="47">
                  <c:v>36708</c:v>
                </c:pt>
                <c:pt idx="48">
                  <c:v>36739</c:v>
                </c:pt>
                <c:pt idx="49">
                  <c:v>36770</c:v>
                </c:pt>
                <c:pt idx="50">
                  <c:v>36800</c:v>
                </c:pt>
                <c:pt idx="51">
                  <c:v>36831</c:v>
                </c:pt>
                <c:pt idx="52">
                  <c:v>36861</c:v>
                </c:pt>
                <c:pt idx="53">
                  <c:v>36892</c:v>
                </c:pt>
                <c:pt idx="54">
                  <c:v>36923</c:v>
                </c:pt>
                <c:pt idx="55">
                  <c:v>36951</c:v>
                </c:pt>
                <c:pt idx="56">
                  <c:v>36982</c:v>
                </c:pt>
                <c:pt idx="57">
                  <c:v>37012</c:v>
                </c:pt>
                <c:pt idx="58">
                  <c:v>37043</c:v>
                </c:pt>
                <c:pt idx="59">
                  <c:v>37073</c:v>
                </c:pt>
                <c:pt idx="60">
                  <c:v>37104</c:v>
                </c:pt>
                <c:pt idx="61">
                  <c:v>37135</c:v>
                </c:pt>
                <c:pt idx="62">
                  <c:v>37165</c:v>
                </c:pt>
                <c:pt idx="63">
                  <c:v>37196</c:v>
                </c:pt>
                <c:pt idx="64">
                  <c:v>37226</c:v>
                </c:pt>
                <c:pt idx="65">
                  <c:v>37257</c:v>
                </c:pt>
                <c:pt idx="66">
                  <c:v>37288</c:v>
                </c:pt>
                <c:pt idx="67">
                  <c:v>37316</c:v>
                </c:pt>
                <c:pt idx="68">
                  <c:v>37347</c:v>
                </c:pt>
                <c:pt idx="69">
                  <c:v>37377</c:v>
                </c:pt>
                <c:pt idx="70">
                  <c:v>37408</c:v>
                </c:pt>
                <c:pt idx="71">
                  <c:v>37438</c:v>
                </c:pt>
                <c:pt idx="72">
                  <c:v>37469</c:v>
                </c:pt>
                <c:pt idx="73">
                  <c:v>37500</c:v>
                </c:pt>
                <c:pt idx="74">
                  <c:v>37530</c:v>
                </c:pt>
                <c:pt idx="75">
                  <c:v>37561</c:v>
                </c:pt>
                <c:pt idx="76">
                  <c:v>37591</c:v>
                </c:pt>
                <c:pt idx="77">
                  <c:v>37622</c:v>
                </c:pt>
                <c:pt idx="78">
                  <c:v>37653</c:v>
                </c:pt>
                <c:pt idx="79">
                  <c:v>37681</c:v>
                </c:pt>
                <c:pt idx="80">
                  <c:v>37712</c:v>
                </c:pt>
                <c:pt idx="81">
                  <c:v>37742</c:v>
                </c:pt>
                <c:pt idx="82">
                  <c:v>37773</c:v>
                </c:pt>
                <c:pt idx="83">
                  <c:v>37803</c:v>
                </c:pt>
                <c:pt idx="84">
                  <c:v>37834</c:v>
                </c:pt>
                <c:pt idx="85">
                  <c:v>37865</c:v>
                </c:pt>
                <c:pt idx="86">
                  <c:v>37895</c:v>
                </c:pt>
                <c:pt idx="87">
                  <c:v>37926</c:v>
                </c:pt>
                <c:pt idx="88">
                  <c:v>37956</c:v>
                </c:pt>
                <c:pt idx="89">
                  <c:v>37987</c:v>
                </c:pt>
                <c:pt idx="90">
                  <c:v>38018</c:v>
                </c:pt>
                <c:pt idx="91">
                  <c:v>38047</c:v>
                </c:pt>
                <c:pt idx="92">
                  <c:v>38078</c:v>
                </c:pt>
                <c:pt idx="93">
                  <c:v>38108</c:v>
                </c:pt>
                <c:pt idx="94">
                  <c:v>38139</c:v>
                </c:pt>
                <c:pt idx="95">
                  <c:v>38169</c:v>
                </c:pt>
                <c:pt idx="96">
                  <c:v>38200</c:v>
                </c:pt>
                <c:pt idx="97">
                  <c:v>38231</c:v>
                </c:pt>
                <c:pt idx="98">
                  <c:v>38261</c:v>
                </c:pt>
                <c:pt idx="99">
                  <c:v>38292</c:v>
                </c:pt>
                <c:pt idx="100">
                  <c:v>38322</c:v>
                </c:pt>
                <c:pt idx="101">
                  <c:v>38353</c:v>
                </c:pt>
                <c:pt idx="102">
                  <c:v>38384</c:v>
                </c:pt>
                <c:pt idx="103">
                  <c:v>38412</c:v>
                </c:pt>
                <c:pt idx="104">
                  <c:v>38443</c:v>
                </c:pt>
                <c:pt idx="105">
                  <c:v>38473</c:v>
                </c:pt>
                <c:pt idx="106">
                  <c:v>38504</c:v>
                </c:pt>
                <c:pt idx="107">
                  <c:v>38534</c:v>
                </c:pt>
                <c:pt idx="108">
                  <c:v>38565</c:v>
                </c:pt>
                <c:pt idx="109">
                  <c:v>38596</c:v>
                </c:pt>
                <c:pt idx="110">
                  <c:v>38626</c:v>
                </c:pt>
                <c:pt idx="111">
                  <c:v>38657</c:v>
                </c:pt>
                <c:pt idx="112">
                  <c:v>38687</c:v>
                </c:pt>
                <c:pt idx="113">
                  <c:v>38718</c:v>
                </c:pt>
                <c:pt idx="114">
                  <c:v>38749</c:v>
                </c:pt>
                <c:pt idx="115">
                  <c:v>38777</c:v>
                </c:pt>
                <c:pt idx="116">
                  <c:v>38808</c:v>
                </c:pt>
                <c:pt idx="117">
                  <c:v>38838</c:v>
                </c:pt>
                <c:pt idx="118">
                  <c:v>38869</c:v>
                </c:pt>
                <c:pt idx="119">
                  <c:v>38899</c:v>
                </c:pt>
                <c:pt idx="120">
                  <c:v>38930</c:v>
                </c:pt>
                <c:pt idx="121">
                  <c:v>38961</c:v>
                </c:pt>
                <c:pt idx="122">
                  <c:v>38991</c:v>
                </c:pt>
                <c:pt idx="123">
                  <c:v>39022</c:v>
                </c:pt>
                <c:pt idx="124">
                  <c:v>39052</c:v>
                </c:pt>
                <c:pt idx="125">
                  <c:v>39083</c:v>
                </c:pt>
                <c:pt idx="126">
                  <c:v>39114</c:v>
                </c:pt>
                <c:pt idx="127">
                  <c:v>39142</c:v>
                </c:pt>
                <c:pt idx="128">
                  <c:v>39173</c:v>
                </c:pt>
                <c:pt idx="129">
                  <c:v>39203</c:v>
                </c:pt>
                <c:pt idx="130">
                  <c:v>39234</c:v>
                </c:pt>
                <c:pt idx="131">
                  <c:v>39264</c:v>
                </c:pt>
                <c:pt idx="132">
                  <c:v>39295</c:v>
                </c:pt>
                <c:pt idx="133">
                  <c:v>39326</c:v>
                </c:pt>
                <c:pt idx="134">
                  <c:v>39356</c:v>
                </c:pt>
                <c:pt idx="135">
                  <c:v>39387</c:v>
                </c:pt>
                <c:pt idx="136">
                  <c:v>39417</c:v>
                </c:pt>
                <c:pt idx="137">
                  <c:v>39448</c:v>
                </c:pt>
                <c:pt idx="138">
                  <c:v>39479</c:v>
                </c:pt>
                <c:pt idx="139">
                  <c:v>39508</c:v>
                </c:pt>
                <c:pt idx="140">
                  <c:v>39539</c:v>
                </c:pt>
                <c:pt idx="141">
                  <c:v>39569</c:v>
                </c:pt>
                <c:pt idx="142">
                  <c:v>39600</c:v>
                </c:pt>
                <c:pt idx="143">
                  <c:v>39630</c:v>
                </c:pt>
                <c:pt idx="144">
                  <c:v>39661</c:v>
                </c:pt>
                <c:pt idx="145">
                  <c:v>39692</c:v>
                </c:pt>
                <c:pt idx="146">
                  <c:v>39722</c:v>
                </c:pt>
                <c:pt idx="147">
                  <c:v>39753</c:v>
                </c:pt>
                <c:pt idx="148">
                  <c:v>39783</c:v>
                </c:pt>
                <c:pt idx="149">
                  <c:v>39814</c:v>
                </c:pt>
                <c:pt idx="150">
                  <c:v>39845</c:v>
                </c:pt>
                <c:pt idx="151">
                  <c:v>39873</c:v>
                </c:pt>
                <c:pt idx="152">
                  <c:v>39904</c:v>
                </c:pt>
                <c:pt idx="153">
                  <c:v>39934</c:v>
                </c:pt>
                <c:pt idx="154">
                  <c:v>39965</c:v>
                </c:pt>
                <c:pt idx="155">
                  <c:v>39995</c:v>
                </c:pt>
                <c:pt idx="156">
                  <c:v>40026</c:v>
                </c:pt>
                <c:pt idx="157">
                  <c:v>40057</c:v>
                </c:pt>
                <c:pt idx="158">
                  <c:v>40087</c:v>
                </c:pt>
                <c:pt idx="159">
                  <c:v>40118</c:v>
                </c:pt>
                <c:pt idx="160">
                  <c:v>40148</c:v>
                </c:pt>
                <c:pt idx="161">
                  <c:v>40179</c:v>
                </c:pt>
                <c:pt idx="162">
                  <c:v>40210</c:v>
                </c:pt>
                <c:pt idx="163">
                  <c:v>40238</c:v>
                </c:pt>
                <c:pt idx="164">
                  <c:v>40269</c:v>
                </c:pt>
                <c:pt idx="165">
                  <c:v>40299</c:v>
                </c:pt>
                <c:pt idx="166">
                  <c:v>40330</c:v>
                </c:pt>
                <c:pt idx="167">
                  <c:v>40360</c:v>
                </c:pt>
                <c:pt idx="168">
                  <c:v>40391</c:v>
                </c:pt>
                <c:pt idx="169">
                  <c:v>40422</c:v>
                </c:pt>
                <c:pt idx="170">
                  <c:v>40452</c:v>
                </c:pt>
                <c:pt idx="171">
                  <c:v>40483</c:v>
                </c:pt>
                <c:pt idx="172">
                  <c:v>40513</c:v>
                </c:pt>
                <c:pt idx="173">
                  <c:v>40544</c:v>
                </c:pt>
                <c:pt idx="174">
                  <c:v>40575</c:v>
                </c:pt>
                <c:pt idx="175">
                  <c:v>40603</c:v>
                </c:pt>
                <c:pt idx="176">
                  <c:v>40634</c:v>
                </c:pt>
                <c:pt idx="177">
                  <c:v>40664</c:v>
                </c:pt>
                <c:pt idx="178">
                  <c:v>40695</c:v>
                </c:pt>
                <c:pt idx="179">
                  <c:v>40725</c:v>
                </c:pt>
                <c:pt idx="180">
                  <c:v>40756</c:v>
                </c:pt>
                <c:pt idx="181">
                  <c:v>40787</c:v>
                </c:pt>
                <c:pt idx="182">
                  <c:v>40817</c:v>
                </c:pt>
                <c:pt idx="183">
                  <c:v>40848</c:v>
                </c:pt>
                <c:pt idx="184">
                  <c:v>40878</c:v>
                </c:pt>
                <c:pt idx="185">
                  <c:v>40909</c:v>
                </c:pt>
                <c:pt idx="186">
                  <c:v>40940</c:v>
                </c:pt>
                <c:pt idx="187">
                  <c:v>40969</c:v>
                </c:pt>
                <c:pt idx="188">
                  <c:v>41000</c:v>
                </c:pt>
                <c:pt idx="189">
                  <c:v>41030</c:v>
                </c:pt>
                <c:pt idx="190">
                  <c:v>41061</c:v>
                </c:pt>
                <c:pt idx="191">
                  <c:v>41091</c:v>
                </c:pt>
                <c:pt idx="192">
                  <c:v>41122</c:v>
                </c:pt>
                <c:pt idx="193">
                  <c:v>41153</c:v>
                </c:pt>
                <c:pt idx="194">
                  <c:v>41183</c:v>
                </c:pt>
                <c:pt idx="195">
                  <c:v>41214</c:v>
                </c:pt>
                <c:pt idx="196">
                  <c:v>41244</c:v>
                </c:pt>
                <c:pt idx="197">
                  <c:v>41275</c:v>
                </c:pt>
                <c:pt idx="198">
                  <c:v>41306</c:v>
                </c:pt>
                <c:pt idx="199">
                  <c:v>41334</c:v>
                </c:pt>
                <c:pt idx="200">
                  <c:v>41365</c:v>
                </c:pt>
                <c:pt idx="201">
                  <c:v>41395</c:v>
                </c:pt>
                <c:pt idx="202">
                  <c:v>41426</c:v>
                </c:pt>
                <c:pt idx="203">
                  <c:v>41456</c:v>
                </c:pt>
                <c:pt idx="204">
                  <c:v>41487</c:v>
                </c:pt>
                <c:pt idx="205">
                  <c:v>41518</c:v>
                </c:pt>
                <c:pt idx="206">
                  <c:v>41548</c:v>
                </c:pt>
                <c:pt idx="207">
                  <c:v>41579</c:v>
                </c:pt>
                <c:pt idx="208">
                  <c:v>41609</c:v>
                </c:pt>
                <c:pt idx="209">
                  <c:v>41640</c:v>
                </c:pt>
                <c:pt idx="210">
                  <c:v>41671</c:v>
                </c:pt>
                <c:pt idx="211">
                  <c:v>41699</c:v>
                </c:pt>
                <c:pt idx="212">
                  <c:v>41730</c:v>
                </c:pt>
                <c:pt idx="213">
                  <c:v>41760</c:v>
                </c:pt>
                <c:pt idx="214">
                  <c:v>41791</c:v>
                </c:pt>
                <c:pt idx="215">
                  <c:v>41821</c:v>
                </c:pt>
                <c:pt idx="216">
                  <c:v>41852</c:v>
                </c:pt>
                <c:pt idx="217">
                  <c:v>41883</c:v>
                </c:pt>
                <c:pt idx="218">
                  <c:v>41913</c:v>
                </c:pt>
                <c:pt idx="219">
                  <c:v>41944</c:v>
                </c:pt>
                <c:pt idx="220">
                  <c:v>41974</c:v>
                </c:pt>
                <c:pt idx="221">
                  <c:v>42005</c:v>
                </c:pt>
                <c:pt idx="222">
                  <c:v>42036</c:v>
                </c:pt>
                <c:pt idx="223">
                  <c:v>42064</c:v>
                </c:pt>
                <c:pt idx="224">
                  <c:v>42095</c:v>
                </c:pt>
                <c:pt idx="225">
                  <c:v>42125</c:v>
                </c:pt>
                <c:pt idx="226">
                  <c:v>42156</c:v>
                </c:pt>
                <c:pt idx="227">
                  <c:v>42186</c:v>
                </c:pt>
                <c:pt idx="228">
                  <c:v>42217</c:v>
                </c:pt>
                <c:pt idx="229">
                  <c:v>42248</c:v>
                </c:pt>
                <c:pt idx="230">
                  <c:v>42278</c:v>
                </c:pt>
                <c:pt idx="231">
                  <c:v>42309</c:v>
                </c:pt>
                <c:pt idx="232">
                  <c:v>42339</c:v>
                </c:pt>
                <c:pt idx="233">
                  <c:v>42370</c:v>
                </c:pt>
                <c:pt idx="234">
                  <c:v>42401</c:v>
                </c:pt>
                <c:pt idx="235">
                  <c:v>42430</c:v>
                </c:pt>
                <c:pt idx="236">
                  <c:v>42461</c:v>
                </c:pt>
                <c:pt idx="237">
                  <c:v>42491</c:v>
                </c:pt>
                <c:pt idx="238">
                  <c:v>42522</c:v>
                </c:pt>
                <c:pt idx="239">
                  <c:v>42552</c:v>
                </c:pt>
                <c:pt idx="240">
                  <c:v>42583</c:v>
                </c:pt>
                <c:pt idx="241">
                  <c:v>42614</c:v>
                </c:pt>
                <c:pt idx="242">
                  <c:v>42644</c:v>
                </c:pt>
                <c:pt idx="243">
                  <c:v>42675</c:v>
                </c:pt>
                <c:pt idx="244">
                  <c:v>42705</c:v>
                </c:pt>
                <c:pt idx="245">
                  <c:v>42736</c:v>
                </c:pt>
                <c:pt idx="246">
                  <c:v>42767</c:v>
                </c:pt>
                <c:pt idx="247">
                  <c:v>42795</c:v>
                </c:pt>
                <c:pt idx="248">
                  <c:v>42826</c:v>
                </c:pt>
                <c:pt idx="249">
                  <c:v>42856</c:v>
                </c:pt>
                <c:pt idx="250">
                  <c:v>42887</c:v>
                </c:pt>
                <c:pt idx="251">
                  <c:v>42917</c:v>
                </c:pt>
                <c:pt idx="252">
                  <c:v>42948</c:v>
                </c:pt>
                <c:pt idx="253">
                  <c:v>42979</c:v>
                </c:pt>
                <c:pt idx="254">
                  <c:v>43009</c:v>
                </c:pt>
                <c:pt idx="255">
                  <c:v>43040</c:v>
                </c:pt>
                <c:pt idx="256">
                  <c:v>43070</c:v>
                </c:pt>
                <c:pt idx="257">
                  <c:v>43101</c:v>
                </c:pt>
                <c:pt idx="258">
                  <c:v>43132</c:v>
                </c:pt>
                <c:pt idx="259">
                  <c:v>43160</c:v>
                </c:pt>
                <c:pt idx="260">
                  <c:v>43191</c:v>
                </c:pt>
                <c:pt idx="261">
                  <c:v>43221</c:v>
                </c:pt>
                <c:pt idx="262">
                  <c:v>43252</c:v>
                </c:pt>
                <c:pt idx="263">
                  <c:v>43282</c:v>
                </c:pt>
                <c:pt idx="264">
                  <c:v>43313</c:v>
                </c:pt>
                <c:pt idx="265">
                  <c:v>43344</c:v>
                </c:pt>
                <c:pt idx="266">
                  <c:v>43374</c:v>
                </c:pt>
                <c:pt idx="267">
                  <c:v>43405</c:v>
                </c:pt>
                <c:pt idx="268">
                  <c:v>43435</c:v>
                </c:pt>
                <c:pt idx="269">
                  <c:v>43466</c:v>
                </c:pt>
                <c:pt idx="270">
                  <c:v>43497</c:v>
                </c:pt>
                <c:pt idx="271">
                  <c:v>43525</c:v>
                </c:pt>
                <c:pt idx="272">
                  <c:v>43556</c:v>
                </c:pt>
                <c:pt idx="273">
                  <c:v>43586</c:v>
                </c:pt>
                <c:pt idx="274">
                  <c:v>43617</c:v>
                </c:pt>
                <c:pt idx="275">
                  <c:v>43647</c:v>
                </c:pt>
                <c:pt idx="276">
                  <c:v>43678</c:v>
                </c:pt>
                <c:pt idx="277">
                  <c:v>43709</c:v>
                </c:pt>
                <c:pt idx="278">
                  <c:v>43739</c:v>
                </c:pt>
                <c:pt idx="279">
                  <c:v>43770</c:v>
                </c:pt>
                <c:pt idx="280">
                  <c:v>43800</c:v>
                </c:pt>
                <c:pt idx="281">
                  <c:v>43831</c:v>
                </c:pt>
                <c:pt idx="282">
                  <c:v>43862</c:v>
                </c:pt>
                <c:pt idx="283">
                  <c:v>43891</c:v>
                </c:pt>
                <c:pt idx="284">
                  <c:v>43922</c:v>
                </c:pt>
                <c:pt idx="285">
                  <c:v>43952</c:v>
                </c:pt>
                <c:pt idx="286">
                  <c:v>43983</c:v>
                </c:pt>
                <c:pt idx="287">
                  <c:v>44013</c:v>
                </c:pt>
                <c:pt idx="288">
                  <c:v>44044</c:v>
                </c:pt>
                <c:pt idx="289">
                  <c:v>44075</c:v>
                </c:pt>
                <c:pt idx="290">
                  <c:v>44105</c:v>
                </c:pt>
                <c:pt idx="291">
                  <c:v>44136</c:v>
                </c:pt>
                <c:pt idx="292">
                  <c:v>44166</c:v>
                </c:pt>
                <c:pt idx="293">
                  <c:v>44197</c:v>
                </c:pt>
                <c:pt idx="294">
                  <c:v>44228</c:v>
                </c:pt>
                <c:pt idx="295">
                  <c:v>44256</c:v>
                </c:pt>
                <c:pt idx="296">
                  <c:v>44287</c:v>
                </c:pt>
                <c:pt idx="297">
                  <c:v>44317</c:v>
                </c:pt>
                <c:pt idx="298">
                  <c:v>44348</c:v>
                </c:pt>
                <c:pt idx="299">
                  <c:v>44378</c:v>
                </c:pt>
                <c:pt idx="300">
                  <c:v>44409</c:v>
                </c:pt>
                <c:pt idx="301">
                  <c:v>44440</c:v>
                </c:pt>
                <c:pt idx="302">
                  <c:v>44470</c:v>
                </c:pt>
                <c:pt idx="303">
                  <c:v>44501</c:v>
                </c:pt>
                <c:pt idx="304">
                  <c:v>44531</c:v>
                </c:pt>
                <c:pt idx="305">
                  <c:v>44562</c:v>
                </c:pt>
                <c:pt idx="306">
                  <c:v>44593</c:v>
                </c:pt>
                <c:pt idx="307">
                  <c:v>44621</c:v>
                </c:pt>
                <c:pt idx="308">
                  <c:v>44652</c:v>
                </c:pt>
                <c:pt idx="309">
                  <c:v>44682</c:v>
                </c:pt>
                <c:pt idx="310">
                  <c:v>44713</c:v>
                </c:pt>
                <c:pt idx="311">
                  <c:v>44743</c:v>
                </c:pt>
                <c:pt idx="312">
                  <c:v>44774</c:v>
                </c:pt>
                <c:pt idx="313">
                  <c:v>44805</c:v>
                </c:pt>
                <c:pt idx="314">
                  <c:v>44835</c:v>
                </c:pt>
                <c:pt idx="315">
                  <c:v>44866</c:v>
                </c:pt>
                <c:pt idx="316">
                  <c:v>44896</c:v>
                </c:pt>
                <c:pt idx="317">
                  <c:v>44927</c:v>
                </c:pt>
                <c:pt idx="318">
                  <c:v>44958</c:v>
                </c:pt>
                <c:pt idx="319">
                  <c:v>44986</c:v>
                </c:pt>
                <c:pt idx="320">
                  <c:v>45017</c:v>
                </c:pt>
                <c:pt idx="321">
                  <c:v>45047</c:v>
                </c:pt>
                <c:pt idx="322">
                  <c:v>45078</c:v>
                </c:pt>
                <c:pt idx="323">
                  <c:v>45108</c:v>
                </c:pt>
                <c:pt idx="324">
                  <c:v>45139</c:v>
                </c:pt>
                <c:pt idx="325">
                  <c:v>45170</c:v>
                </c:pt>
                <c:pt idx="326">
                  <c:v>45200</c:v>
                </c:pt>
                <c:pt idx="327">
                  <c:v>45231</c:v>
                </c:pt>
                <c:pt idx="328">
                  <c:v>45261</c:v>
                </c:pt>
                <c:pt idx="329">
                  <c:v>45292</c:v>
                </c:pt>
                <c:pt idx="330">
                  <c:v>45323</c:v>
                </c:pt>
                <c:pt idx="331">
                  <c:v>45352</c:v>
                </c:pt>
                <c:pt idx="332">
                  <c:v>45383</c:v>
                </c:pt>
              </c:numCache>
            </c:numRef>
          </c:cat>
          <c:val>
            <c:numRef>
              <c:f>'[cpi inflation final 3-Jan-2025.xlsx]Sheet1'!$C$2:$C$334</c:f>
              <c:numCache>
                <c:formatCode>General</c:formatCode>
                <c:ptCount val="333"/>
                <c:pt idx="0">
                  <c:v>8.1999999999999904</c:v>
                </c:pt>
                <c:pt idx="1">
                  <c:v>6.7</c:v>
                </c:pt>
                <c:pt idx="2">
                  <c:v>6.7</c:v>
                </c:pt>
                <c:pt idx="3">
                  <c:v>6.6</c:v>
                </c:pt>
                <c:pt idx="4">
                  <c:v>7.4</c:v>
                </c:pt>
                <c:pt idx="5">
                  <c:v>5.4</c:v>
                </c:pt>
                <c:pt idx="6">
                  <c:v>5.2</c:v>
                </c:pt>
                <c:pt idx="7">
                  <c:v>5.5</c:v>
                </c:pt>
                <c:pt idx="8">
                  <c:v>5.2</c:v>
                </c:pt>
                <c:pt idx="9">
                  <c:v>5</c:v>
                </c:pt>
                <c:pt idx="10">
                  <c:v>5.6</c:v>
                </c:pt>
                <c:pt idx="11">
                  <c:v>5.6</c:v>
                </c:pt>
                <c:pt idx="12">
                  <c:v>5.4</c:v>
                </c:pt>
                <c:pt idx="13">
                  <c:v>5.7</c:v>
                </c:pt>
                <c:pt idx="14">
                  <c:v>5.9</c:v>
                </c:pt>
                <c:pt idx="15">
                  <c:v>6.7</c:v>
                </c:pt>
                <c:pt idx="16">
                  <c:v>6.5</c:v>
                </c:pt>
                <c:pt idx="17">
                  <c:v>6.6</c:v>
                </c:pt>
                <c:pt idx="18">
                  <c:v>7.7</c:v>
                </c:pt>
                <c:pt idx="19">
                  <c:v>8.1999999999999904</c:v>
                </c:pt>
                <c:pt idx="20">
                  <c:v>8.6999999999999904</c:v>
                </c:pt>
                <c:pt idx="21">
                  <c:v>9.8000000000000007</c:v>
                </c:pt>
                <c:pt idx="22">
                  <c:v>10.199999999999999</c:v>
                </c:pt>
                <c:pt idx="23">
                  <c:v>10.1</c:v>
                </c:pt>
                <c:pt idx="24">
                  <c:v>10.1</c:v>
                </c:pt>
                <c:pt idx="25">
                  <c:v>10.199999999999999</c:v>
                </c:pt>
                <c:pt idx="26">
                  <c:v>10</c:v>
                </c:pt>
                <c:pt idx="27">
                  <c:v>10.6</c:v>
                </c:pt>
                <c:pt idx="28">
                  <c:v>10</c:v>
                </c:pt>
                <c:pt idx="29">
                  <c:v>10.7</c:v>
                </c:pt>
                <c:pt idx="30">
                  <c:v>9.3000000000000007</c:v>
                </c:pt>
                <c:pt idx="31">
                  <c:v>7.9</c:v>
                </c:pt>
                <c:pt idx="32">
                  <c:v>7.4</c:v>
                </c:pt>
                <c:pt idx="33">
                  <c:v>6.1</c:v>
                </c:pt>
                <c:pt idx="34">
                  <c:v>5.3</c:v>
                </c:pt>
                <c:pt idx="35">
                  <c:v>5.0999999999999996</c:v>
                </c:pt>
                <c:pt idx="36">
                  <c:v>4.8</c:v>
                </c:pt>
                <c:pt idx="37">
                  <c:v>4.9000000000000004</c:v>
                </c:pt>
                <c:pt idx="38">
                  <c:v>5.0999999999999996</c:v>
                </c:pt>
                <c:pt idx="39">
                  <c:v>3.9</c:v>
                </c:pt>
                <c:pt idx="40">
                  <c:v>3.9</c:v>
                </c:pt>
                <c:pt idx="41">
                  <c:v>5.5</c:v>
                </c:pt>
                <c:pt idx="42">
                  <c:v>5.6</c:v>
                </c:pt>
                <c:pt idx="43">
                  <c:v>5.9</c:v>
                </c:pt>
                <c:pt idx="44">
                  <c:v>6.2</c:v>
                </c:pt>
                <c:pt idx="45">
                  <c:v>6.5</c:v>
                </c:pt>
                <c:pt idx="46">
                  <c:v>6.1</c:v>
                </c:pt>
                <c:pt idx="47">
                  <c:v>6.5</c:v>
                </c:pt>
                <c:pt idx="48">
                  <c:v>6.8</c:v>
                </c:pt>
                <c:pt idx="49">
                  <c:v>6.5</c:v>
                </c:pt>
                <c:pt idx="50">
                  <c:v>6.9</c:v>
                </c:pt>
                <c:pt idx="51">
                  <c:v>7.8</c:v>
                </c:pt>
                <c:pt idx="52">
                  <c:v>8.6999999999999904</c:v>
                </c:pt>
                <c:pt idx="53">
                  <c:v>5.8</c:v>
                </c:pt>
                <c:pt idx="54">
                  <c:v>5.8</c:v>
                </c:pt>
                <c:pt idx="55">
                  <c:v>5.8</c:v>
                </c:pt>
                <c:pt idx="56">
                  <c:v>5.5</c:v>
                </c:pt>
                <c:pt idx="57">
                  <c:v>5.5</c:v>
                </c:pt>
                <c:pt idx="58">
                  <c:v>5.9</c:v>
                </c:pt>
                <c:pt idx="59">
                  <c:v>6</c:v>
                </c:pt>
                <c:pt idx="60">
                  <c:v>5.7</c:v>
                </c:pt>
                <c:pt idx="61">
                  <c:v>5.7</c:v>
                </c:pt>
                <c:pt idx="62">
                  <c:v>5.2</c:v>
                </c:pt>
                <c:pt idx="63">
                  <c:v>4.2</c:v>
                </c:pt>
                <c:pt idx="64">
                  <c:v>3.7</c:v>
                </c:pt>
                <c:pt idx="65">
                  <c:v>3.3</c:v>
                </c:pt>
                <c:pt idx="66">
                  <c:v>2.9</c:v>
                </c:pt>
                <c:pt idx="67">
                  <c:v>3.3</c:v>
                </c:pt>
                <c:pt idx="68">
                  <c:v>3.4</c:v>
                </c:pt>
                <c:pt idx="69">
                  <c:v>3.2</c:v>
                </c:pt>
                <c:pt idx="70">
                  <c:v>2.6</c:v>
                </c:pt>
                <c:pt idx="71">
                  <c:v>2.5</c:v>
                </c:pt>
                <c:pt idx="72">
                  <c:v>2.7</c:v>
                </c:pt>
                <c:pt idx="73">
                  <c:v>2.5</c:v>
                </c:pt>
                <c:pt idx="74">
                  <c:v>2.2999999999999998</c:v>
                </c:pt>
                <c:pt idx="75">
                  <c:v>2.1</c:v>
                </c:pt>
                <c:pt idx="76">
                  <c:v>2.1</c:v>
                </c:pt>
                <c:pt idx="77">
                  <c:v>1.7</c:v>
                </c:pt>
                <c:pt idx="78">
                  <c:v>2.2999999999999998</c:v>
                </c:pt>
                <c:pt idx="79">
                  <c:v>2.1</c:v>
                </c:pt>
                <c:pt idx="80">
                  <c:v>2.2000000000000002</c:v>
                </c:pt>
                <c:pt idx="81">
                  <c:v>2.2000000000000002</c:v>
                </c:pt>
                <c:pt idx="82">
                  <c:v>2.8</c:v>
                </c:pt>
                <c:pt idx="83">
                  <c:v>2.2999999999999998</c:v>
                </c:pt>
                <c:pt idx="84">
                  <c:v>2.2000000000000002</c:v>
                </c:pt>
                <c:pt idx="85">
                  <c:v>2.2000000000000002</c:v>
                </c:pt>
                <c:pt idx="86">
                  <c:v>2.2999999999999998</c:v>
                </c:pt>
                <c:pt idx="87">
                  <c:v>2.4</c:v>
                </c:pt>
                <c:pt idx="88">
                  <c:v>2.5</c:v>
                </c:pt>
                <c:pt idx="89">
                  <c:v>3.1</c:v>
                </c:pt>
                <c:pt idx="90">
                  <c:v>2.9</c:v>
                </c:pt>
                <c:pt idx="91">
                  <c:v>3.1</c:v>
                </c:pt>
                <c:pt idx="92">
                  <c:v>3.2</c:v>
                </c:pt>
                <c:pt idx="93">
                  <c:v>3.6</c:v>
                </c:pt>
                <c:pt idx="94">
                  <c:v>4.0999999999999996</c:v>
                </c:pt>
                <c:pt idx="95">
                  <c:v>5.5</c:v>
                </c:pt>
                <c:pt idx="96">
                  <c:v>5.7</c:v>
                </c:pt>
                <c:pt idx="97">
                  <c:v>6.2</c:v>
                </c:pt>
                <c:pt idx="98">
                  <c:v>6.3</c:v>
                </c:pt>
                <c:pt idx="99">
                  <c:v>6.8</c:v>
                </c:pt>
                <c:pt idx="100">
                  <c:v>7.1</c:v>
                </c:pt>
                <c:pt idx="101">
                  <c:v>7.3</c:v>
                </c:pt>
                <c:pt idx="102">
                  <c:v>7.3</c:v>
                </c:pt>
                <c:pt idx="103">
                  <c:v>7.1</c:v>
                </c:pt>
                <c:pt idx="104">
                  <c:v>7.2</c:v>
                </c:pt>
                <c:pt idx="105">
                  <c:v>7.3</c:v>
                </c:pt>
                <c:pt idx="106">
                  <c:v>6.7</c:v>
                </c:pt>
                <c:pt idx="107">
                  <c:v>6</c:v>
                </c:pt>
                <c:pt idx="108">
                  <c:v>6.1</c:v>
                </c:pt>
                <c:pt idx="109">
                  <c:v>6</c:v>
                </c:pt>
                <c:pt idx="110">
                  <c:v>6.2</c:v>
                </c:pt>
                <c:pt idx="111">
                  <c:v>6.2</c:v>
                </c:pt>
                <c:pt idx="112">
                  <c:v>5.9</c:v>
                </c:pt>
                <c:pt idx="113">
                  <c:v>5.9</c:v>
                </c:pt>
                <c:pt idx="114">
                  <c:v>6.5</c:v>
                </c:pt>
                <c:pt idx="115">
                  <c:v>6.6</c:v>
                </c:pt>
                <c:pt idx="116">
                  <c:v>6.3</c:v>
                </c:pt>
                <c:pt idx="117">
                  <c:v>6</c:v>
                </c:pt>
                <c:pt idx="118">
                  <c:v>5.9</c:v>
                </c:pt>
                <c:pt idx="119">
                  <c:v>5.5</c:v>
                </c:pt>
                <c:pt idx="120">
                  <c:v>5.2</c:v>
                </c:pt>
                <c:pt idx="121">
                  <c:v>4.9000000000000004</c:v>
                </c:pt>
                <c:pt idx="122">
                  <c:v>4.7</c:v>
                </c:pt>
                <c:pt idx="123">
                  <c:v>4.2</c:v>
                </c:pt>
                <c:pt idx="124">
                  <c:v>4.0999999999999996</c:v>
                </c:pt>
                <c:pt idx="125">
                  <c:v>3.8</c:v>
                </c:pt>
                <c:pt idx="126">
                  <c:v>2.9</c:v>
                </c:pt>
                <c:pt idx="127">
                  <c:v>2.6</c:v>
                </c:pt>
                <c:pt idx="128">
                  <c:v>2.6</c:v>
                </c:pt>
                <c:pt idx="129">
                  <c:v>2.7</c:v>
                </c:pt>
                <c:pt idx="130">
                  <c:v>2.6</c:v>
                </c:pt>
                <c:pt idx="131">
                  <c:v>2.9</c:v>
                </c:pt>
                <c:pt idx="132">
                  <c:v>2.7</c:v>
                </c:pt>
                <c:pt idx="133">
                  <c:v>2.9</c:v>
                </c:pt>
                <c:pt idx="134">
                  <c:v>2.9</c:v>
                </c:pt>
                <c:pt idx="135">
                  <c:v>3.1</c:v>
                </c:pt>
                <c:pt idx="136">
                  <c:v>3.7</c:v>
                </c:pt>
                <c:pt idx="137">
                  <c:v>4.5999999999999996</c:v>
                </c:pt>
                <c:pt idx="138">
                  <c:v>5.0999999999999996</c:v>
                </c:pt>
                <c:pt idx="139">
                  <c:v>5.9</c:v>
                </c:pt>
                <c:pt idx="140">
                  <c:v>7.3</c:v>
                </c:pt>
                <c:pt idx="141">
                  <c:v>8.1999999999999904</c:v>
                </c:pt>
                <c:pt idx="142">
                  <c:v>9.4</c:v>
                </c:pt>
                <c:pt idx="143">
                  <c:v>10.199999999999999</c:v>
                </c:pt>
                <c:pt idx="144">
                  <c:v>10.5</c:v>
                </c:pt>
                <c:pt idx="145">
                  <c:v>10.1</c:v>
                </c:pt>
                <c:pt idx="146">
                  <c:v>9.6999999999999904</c:v>
                </c:pt>
                <c:pt idx="147">
                  <c:v>9.1</c:v>
                </c:pt>
                <c:pt idx="148">
                  <c:v>7.8</c:v>
                </c:pt>
                <c:pt idx="149">
                  <c:v>7.1</c:v>
                </c:pt>
                <c:pt idx="150">
                  <c:v>7.2</c:v>
                </c:pt>
                <c:pt idx="151">
                  <c:v>6.6</c:v>
                </c:pt>
                <c:pt idx="152">
                  <c:v>5.6</c:v>
                </c:pt>
                <c:pt idx="153">
                  <c:v>4.3</c:v>
                </c:pt>
                <c:pt idx="154">
                  <c:v>3.2</c:v>
                </c:pt>
                <c:pt idx="155">
                  <c:v>2.2000000000000002</c:v>
                </c:pt>
                <c:pt idx="156">
                  <c:v>1.7</c:v>
                </c:pt>
                <c:pt idx="157">
                  <c:v>2.2999999999999998</c:v>
                </c:pt>
                <c:pt idx="158">
                  <c:v>2.9</c:v>
                </c:pt>
                <c:pt idx="159">
                  <c:v>3.5</c:v>
                </c:pt>
                <c:pt idx="160">
                  <c:v>4.4000000000000004</c:v>
                </c:pt>
                <c:pt idx="161">
                  <c:v>3.9</c:v>
                </c:pt>
                <c:pt idx="162">
                  <c:v>3.9</c:v>
                </c:pt>
                <c:pt idx="163">
                  <c:v>3.9</c:v>
                </c:pt>
                <c:pt idx="164">
                  <c:v>4</c:v>
                </c:pt>
                <c:pt idx="165">
                  <c:v>3.9</c:v>
                </c:pt>
                <c:pt idx="166">
                  <c:v>3.6</c:v>
                </c:pt>
                <c:pt idx="167">
                  <c:v>3.7</c:v>
                </c:pt>
                <c:pt idx="168">
                  <c:v>4.0999999999999996</c:v>
                </c:pt>
                <c:pt idx="169">
                  <c:v>3.8</c:v>
                </c:pt>
                <c:pt idx="170">
                  <c:v>3.2</c:v>
                </c:pt>
                <c:pt idx="171">
                  <c:v>3.7</c:v>
                </c:pt>
                <c:pt idx="172">
                  <c:v>3.6</c:v>
                </c:pt>
                <c:pt idx="173">
                  <c:v>4</c:v>
                </c:pt>
                <c:pt idx="174">
                  <c:v>4.7</c:v>
                </c:pt>
                <c:pt idx="175">
                  <c:v>4.9000000000000004</c:v>
                </c:pt>
                <c:pt idx="176">
                  <c:v>4.7</c:v>
                </c:pt>
                <c:pt idx="177">
                  <c:v>4.9000000000000004</c:v>
                </c:pt>
                <c:pt idx="178">
                  <c:v>5.2</c:v>
                </c:pt>
                <c:pt idx="179">
                  <c:v>4.9000000000000004</c:v>
                </c:pt>
                <c:pt idx="180">
                  <c:v>4.5999999999999996</c:v>
                </c:pt>
                <c:pt idx="181">
                  <c:v>4.7</c:v>
                </c:pt>
                <c:pt idx="182">
                  <c:v>5.2</c:v>
                </c:pt>
                <c:pt idx="183">
                  <c:v>4.7</c:v>
                </c:pt>
                <c:pt idx="184">
                  <c:v>4.2</c:v>
                </c:pt>
                <c:pt idx="185">
                  <c:v>4.0999999999999996</c:v>
                </c:pt>
                <c:pt idx="186">
                  <c:v>3</c:v>
                </c:pt>
                <c:pt idx="187">
                  <c:v>2.9</c:v>
                </c:pt>
                <c:pt idx="188">
                  <c:v>3.2</c:v>
                </c:pt>
                <c:pt idx="189">
                  <c:v>2.9</c:v>
                </c:pt>
                <c:pt idx="190">
                  <c:v>2.7</c:v>
                </c:pt>
                <c:pt idx="191">
                  <c:v>3.1</c:v>
                </c:pt>
                <c:pt idx="192">
                  <c:v>3.7</c:v>
                </c:pt>
                <c:pt idx="193">
                  <c:v>3.6</c:v>
                </c:pt>
                <c:pt idx="194">
                  <c:v>3.2</c:v>
                </c:pt>
                <c:pt idx="195">
                  <c:v>2.8</c:v>
                </c:pt>
                <c:pt idx="196">
                  <c:v>2.9</c:v>
                </c:pt>
                <c:pt idx="197">
                  <c:v>2.8</c:v>
                </c:pt>
                <c:pt idx="198">
                  <c:v>2.9</c:v>
                </c:pt>
                <c:pt idx="199">
                  <c:v>2.7</c:v>
                </c:pt>
                <c:pt idx="200">
                  <c:v>2.2000000000000002</c:v>
                </c:pt>
                <c:pt idx="201">
                  <c:v>2.2999999999999998</c:v>
                </c:pt>
                <c:pt idx="202">
                  <c:v>2.5</c:v>
                </c:pt>
                <c:pt idx="203">
                  <c:v>2.4</c:v>
                </c:pt>
                <c:pt idx="204">
                  <c:v>1.8</c:v>
                </c:pt>
                <c:pt idx="205">
                  <c:v>2.2999999999999998</c:v>
                </c:pt>
                <c:pt idx="206">
                  <c:v>2.4</c:v>
                </c:pt>
                <c:pt idx="207">
                  <c:v>2.9</c:v>
                </c:pt>
                <c:pt idx="208">
                  <c:v>3.8</c:v>
                </c:pt>
                <c:pt idx="209">
                  <c:v>3.7</c:v>
                </c:pt>
                <c:pt idx="210">
                  <c:v>3.6</c:v>
                </c:pt>
                <c:pt idx="211">
                  <c:v>3.5</c:v>
                </c:pt>
                <c:pt idx="212">
                  <c:v>3.6</c:v>
                </c:pt>
                <c:pt idx="213">
                  <c:v>4</c:v>
                </c:pt>
                <c:pt idx="214">
                  <c:v>3.8</c:v>
                </c:pt>
                <c:pt idx="215">
                  <c:v>4.2</c:v>
                </c:pt>
                <c:pt idx="216">
                  <c:v>4.2</c:v>
                </c:pt>
                <c:pt idx="217">
                  <c:v>3.9</c:v>
                </c:pt>
                <c:pt idx="218">
                  <c:v>3.7</c:v>
                </c:pt>
                <c:pt idx="219">
                  <c:v>3</c:v>
                </c:pt>
                <c:pt idx="220">
                  <c:v>1.9</c:v>
                </c:pt>
                <c:pt idx="221">
                  <c:v>1.5</c:v>
                </c:pt>
                <c:pt idx="222">
                  <c:v>1.5</c:v>
                </c:pt>
                <c:pt idx="223">
                  <c:v>1.5</c:v>
                </c:pt>
                <c:pt idx="224">
                  <c:v>1.4</c:v>
                </c:pt>
                <c:pt idx="225">
                  <c:v>0.9</c:v>
                </c:pt>
                <c:pt idx="226">
                  <c:v>0.6</c:v>
                </c:pt>
                <c:pt idx="227">
                  <c:v>0.2</c:v>
                </c:pt>
                <c:pt idx="228">
                  <c:v>0</c:v>
                </c:pt>
                <c:pt idx="229">
                  <c:v>-0.4</c:v>
                </c:pt>
                <c:pt idx="230">
                  <c:v>-0.2</c:v>
                </c:pt>
                <c:pt idx="231">
                  <c:v>0.3</c:v>
                </c:pt>
                <c:pt idx="232">
                  <c:v>0.7</c:v>
                </c:pt>
                <c:pt idx="233">
                  <c:v>0.7</c:v>
                </c:pt>
                <c:pt idx="234">
                  <c:v>0.5</c:v>
                </c:pt>
                <c:pt idx="235">
                  <c:v>0.6</c:v>
                </c:pt>
                <c:pt idx="236">
                  <c:v>0.7</c:v>
                </c:pt>
                <c:pt idx="237">
                  <c:v>0.9</c:v>
                </c:pt>
                <c:pt idx="238">
                  <c:v>1.3</c:v>
                </c:pt>
                <c:pt idx="239">
                  <c:v>1.3</c:v>
                </c:pt>
                <c:pt idx="240">
                  <c:v>1.3</c:v>
                </c:pt>
                <c:pt idx="241">
                  <c:v>1.7</c:v>
                </c:pt>
                <c:pt idx="242">
                  <c:v>1.8</c:v>
                </c:pt>
                <c:pt idx="243">
                  <c:v>2.1</c:v>
                </c:pt>
                <c:pt idx="244">
                  <c:v>2.2000000000000002</c:v>
                </c:pt>
                <c:pt idx="245">
                  <c:v>2.5</c:v>
                </c:pt>
                <c:pt idx="246">
                  <c:v>3.1</c:v>
                </c:pt>
                <c:pt idx="247">
                  <c:v>3.1</c:v>
                </c:pt>
                <c:pt idx="248">
                  <c:v>3.2</c:v>
                </c:pt>
                <c:pt idx="249">
                  <c:v>2.9</c:v>
                </c:pt>
                <c:pt idx="250">
                  <c:v>2.5</c:v>
                </c:pt>
                <c:pt idx="251">
                  <c:v>2.4</c:v>
                </c:pt>
                <c:pt idx="252">
                  <c:v>2.6</c:v>
                </c:pt>
                <c:pt idx="253">
                  <c:v>3</c:v>
                </c:pt>
                <c:pt idx="254">
                  <c:v>3.1</c:v>
                </c:pt>
                <c:pt idx="255">
                  <c:v>3</c:v>
                </c:pt>
                <c:pt idx="256">
                  <c:v>2.9</c:v>
                </c:pt>
                <c:pt idx="257">
                  <c:v>3.5</c:v>
                </c:pt>
                <c:pt idx="258">
                  <c:v>3.7</c:v>
                </c:pt>
                <c:pt idx="259">
                  <c:v>4.3</c:v>
                </c:pt>
                <c:pt idx="260">
                  <c:v>4.3</c:v>
                </c:pt>
                <c:pt idx="261">
                  <c:v>4.5999999999999996</c:v>
                </c:pt>
                <c:pt idx="262">
                  <c:v>5</c:v>
                </c:pt>
                <c:pt idx="263">
                  <c:v>5.8</c:v>
                </c:pt>
                <c:pt idx="264">
                  <c:v>6.6</c:v>
                </c:pt>
                <c:pt idx="265">
                  <c:v>6.9</c:v>
                </c:pt>
                <c:pt idx="266">
                  <c:v>6.9</c:v>
                </c:pt>
                <c:pt idx="267">
                  <c:v>6.1</c:v>
                </c:pt>
                <c:pt idx="268">
                  <c:v>5.2</c:v>
                </c:pt>
                <c:pt idx="269">
                  <c:v>4.4000000000000004</c:v>
                </c:pt>
                <c:pt idx="270">
                  <c:v>3.8</c:v>
                </c:pt>
                <c:pt idx="271">
                  <c:v>3.4</c:v>
                </c:pt>
                <c:pt idx="272">
                  <c:v>3.2</c:v>
                </c:pt>
                <c:pt idx="273">
                  <c:v>3.2</c:v>
                </c:pt>
                <c:pt idx="274">
                  <c:v>2.7</c:v>
                </c:pt>
                <c:pt idx="275">
                  <c:v>2.2000000000000002</c:v>
                </c:pt>
                <c:pt idx="276">
                  <c:v>1.4</c:v>
                </c:pt>
                <c:pt idx="277">
                  <c:v>0.5</c:v>
                </c:pt>
                <c:pt idx="278">
                  <c:v>0.6</c:v>
                </c:pt>
                <c:pt idx="279">
                  <c:v>1.2</c:v>
                </c:pt>
                <c:pt idx="280">
                  <c:v>2.4</c:v>
                </c:pt>
                <c:pt idx="281">
                  <c:v>3</c:v>
                </c:pt>
                <c:pt idx="282">
                  <c:v>2.5</c:v>
                </c:pt>
                <c:pt idx="283">
                  <c:v>2.2000000000000002</c:v>
                </c:pt>
                <c:pt idx="284">
                  <c:v>1.8</c:v>
                </c:pt>
                <c:pt idx="285">
                  <c:v>1.6</c:v>
                </c:pt>
                <c:pt idx="286">
                  <c:v>2.2999999999999998</c:v>
                </c:pt>
                <c:pt idx="287">
                  <c:v>2.4</c:v>
                </c:pt>
                <c:pt idx="288">
                  <c:v>2.2000000000000002</c:v>
                </c:pt>
                <c:pt idx="289">
                  <c:v>2.2000000000000002</c:v>
                </c:pt>
                <c:pt idx="290">
                  <c:v>2.2999999999999998</c:v>
                </c:pt>
                <c:pt idx="291">
                  <c:v>3</c:v>
                </c:pt>
                <c:pt idx="292">
                  <c:v>3.3</c:v>
                </c:pt>
                <c:pt idx="293">
                  <c:v>3.7</c:v>
                </c:pt>
                <c:pt idx="294">
                  <c:v>4.2</c:v>
                </c:pt>
                <c:pt idx="295">
                  <c:v>4.0999999999999996</c:v>
                </c:pt>
                <c:pt idx="296">
                  <c:v>4.0999999999999996</c:v>
                </c:pt>
                <c:pt idx="297">
                  <c:v>4.0999999999999996</c:v>
                </c:pt>
                <c:pt idx="298">
                  <c:v>3.7</c:v>
                </c:pt>
                <c:pt idx="299">
                  <c:v>3.7</c:v>
                </c:pt>
                <c:pt idx="300">
                  <c:v>4.4000000000000004</c:v>
                </c:pt>
                <c:pt idx="301">
                  <c:v>4.2</c:v>
                </c:pt>
                <c:pt idx="302">
                  <c:v>4</c:v>
                </c:pt>
                <c:pt idx="303">
                  <c:v>3.7</c:v>
                </c:pt>
                <c:pt idx="304">
                  <c:v>3.1</c:v>
                </c:pt>
                <c:pt idx="305">
                  <c:v>3</c:v>
                </c:pt>
                <c:pt idx="306">
                  <c:v>3</c:v>
                </c:pt>
                <c:pt idx="307">
                  <c:v>4</c:v>
                </c:pt>
                <c:pt idx="308">
                  <c:v>4.9000000000000004</c:v>
                </c:pt>
                <c:pt idx="309">
                  <c:v>5.4</c:v>
                </c:pt>
                <c:pt idx="310">
                  <c:v>6.1</c:v>
                </c:pt>
                <c:pt idx="311">
                  <c:v>6.4</c:v>
                </c:pt>
                <c:pt idx="312">
                  <c:v>6.3</c:v>
                </c:pt>
                <c:pt idx="313">
                  <c:v>6.9</c:v>
                </c:pt>
                <c:pt idx="314">
                  <c:v>7.7</c:v>
                </c:pt>
                <c:pt idx="315">
                  <c:v>8</c:v>
                </c:pt>
                <c:pt idx="316">
                  <c:v>8.1</c:v>
                </c:pt>
                <c:pt idx="317">
                  <c:v>8.6999999999999904</c:v>
                </c:pt>
                <c:pt idx="318">
                  <c:v>8.6</c:v>
                </c:pt>
                <c:pt idx="319">
                  <c:v>7.6</c:v>
                </c:pt>
                <c:pt idx="320">
                  <c:v>6.6</c:v>
                </c:pt>
                <c:pt idx="321">
                  <c:v>6.1</c:v>
                </c:pt>
                <c:pt idx="322">
                  <c:v>5.4</c:v>
                </c:pt>
                <c:pt idx="323">
                  <c:v>4.7</c:v>
                </c:pt>
                <c:pt idx="324">
                  <c:v>5.3</c:v>
                </c:pt>
                <c:pt idx="325">
                  <c:v>6.1</c:v>
                </c:pt>
                <c:pt idx="326">
                  <c:v>4.9000000000000004</c:v>
                </c:pt>
                <c:pt idx="327">
                  <c:v>4.0999999999999996</c:v>
                </c:pt>
                <c:pt idx="328">
                  <c:v>3.9</c:v>
                </c:pt>
                <c:pt idx="329">
                  <c:v>2.8</c:v>
                </c:pt>
                <c:pt idx="330">
                  <c:v>3.4</c:v>
                </c:pt>
                <c:pt idx="331">
                  <c:v>3.7</c:v>
                </c:pt>
                <c:pt idx="332">
                  <c:v>3.8</c:v>
                </c:pt>
              </c:numCache>
            </c:numRef>
          </c:val>
          <c:smooth val="0"/>
          <c:extLst>
            <c:ext xmlns:c16="http://schemas.microsoft.com/office/drawing/2014/chart" uri="{C3380CC4-5D6E-409C-BE32-E72D297353CC}">
              <c16:uniqueId val="{00000001-A6EB-4142-BDCF-80EBCBEFB0EC}"/>
            </c:ext>
          </c:extLst>
        </c:ser>
        <c:dLbls>
          <c:showLegendKey val="0"/>
          <c:showVal val="0"/>
          <c:showCatName val="0"/>
          <c:showSerName val="0"/>
          <c:showPercent val="0"/>
          <c:showBubbleSize val="0"/>
        </c:dLbls>
        <c:marker val="1"/>
        <c:smooth val="0"/>
        <c:axId val="1719610944"/>
        <c:axId val="1719608544"/>
      </c:lineChart>
      <c:lineChart>
        <c:grouping val="standard"/>
        <c:varyColors val="0"/>
        <c:ser>
          <c:idx val="2"/>
          <c:order val="2"/>
          <c:tx>
            <c:strRef>
              <c:f>'[cpi inflation final 3-Jan-2025.xlsx]Sheet1'!$D$1</c:f>
              <c:strCache>
                <c:ptCount val="1"/>
                <c:pt idx="0">
                  <c:v>Diesel inflation</c:v>
                </c:pt>
              </c:strCache>
            </c:strRef>
          </c:tx>
          <c:spPr>
            <a:ln w="15875" cap="rnd">
              <a:solidFill>
                <a:schemeClr val="accent1">
                  <a:lumMod val="75000"/>
                </a:schemeClr>
              </a:solidFill>
              <a:prstDash val="solid"/>
              <a:round/>
            </a:ln>
            <a:effectLst/>
          </c:spPr>
          <c:marker>
            <c:symbol val="none"/>
          </c:marker>
          <c:cat>
            <c:numRef>
              <c:f>'[cpi inflation final 3-Jan-2025.xlsx]Sheet1'!$A$2:$A$334</c:f>
              <c:numCache>
                <c:formatCode>mmm\-yy</c:formatCode>
                <c:ptCount val="333"/>
                <c:pt idx="0">
                  <c:v>35278</c:v>
                </c:pt>
                <c:pt idx="1">
                  <c:v>35309</c:v>
                </c:pt>
                <c:pt idx="2">
                  <c:v>35339</c:v>
                </c:pt>
                <c:pt idx="3">
                  <c:v>35370</c:v>
                </c:pt>
                <c:pt idx="4">
                  <c:v>35400</c:v>
                </c:pt>
                <c:pt idx="5">
                  <c:v>35431</c:v>
                </c:pt>
                <c:pt idx="6">
                  <c:v>35462</c:v>
                </c:pt>
                <c:pt idx="7">
                  <c:v>35490</c:v>
                </c:pt>
                <c:pt idx="8">
                  <c:v>35521</c:v>
                </c:pt>
                <c:pt idx="9">
                  <c:v>35551</c:v>
                </c:pt>
                <c:pt idx="10">
                  <c:v>35582</c:v>
                </c:pt>
                <c:pt idx="11">
                  <c:v>35612</c:v>
                </c:pt>
                <c:pt idx="12">
                  <c:v>35643</c:v>
                </c:pt>
                <c:pt idx="13">
                  <c:v>35674</c:v>
                </c:pt>
                <c:pt idx="14">
                  <c:v>35704</c:v>
                </c:pt>
                <c:pt idx="15">
                  <c:v>35735</c:v>
                </c:pt>
                <c:pt idx="16">
                  <c:v>35765</c:v>
                </c:pt>
                <c:pt idx="17">
                  <c:v>35796</c:v>
                </c:pt>
                <c:pt idx="18">
                  <c:v>35827</c:v>
                </c:pt>
                <c:pt idx="19">
                  <c:v>35855</c:v>
                </c:pt>
                <c:pt idx="20">
                  <c:v>35886</c:v>
                </c:pt>
                <c:pt idx="21">
                  <c:v>35916</c:v>
                </c:pt>
                <c:pt idx="22">
                  <c:v>35947</c:v>
                </c:pt>
                <c:pt idx="23">
                  <c:v>35977</c:v>
                </c:pt>
                <c:pt idx="24">
                  <c:v>36008</c:v>
                </c:pt>
                <c:pt idx="25">
                  <c:v>36039</c:v>
                </c:pt>
                <c:pt idx="26">
                  <c:v>36069</c:v>
                </c:pt>
                <c:pt idx="27">
                  <c:v>36100</c:v>
                </c:pt>
                <c:pt idx="28">
                  <c:v>36130</c:v>
                </c:pt>
                <c:pt idx="29">
                  <c:v>36161</c:v>
                </c:pt>
                <c:pt idx="30">
                  <c:v>36192</c:v>
                </c:pt>
                <c:pt idx="31">
                  <c:v>36220</c:v>
                </c:pt>
                <c:pt idx="32">
                  <c:v>36251</c:v>
                </c:pt>
                <c:pt idx="33">
                  <c:v>36281</c:v>
                </c:pt>
                <c:pt idx="34">
                  <c:v>36312</c:v>
                </c:pt>
                <c:pt idx="35">
                  <c:v>36342</c:v>
                </c:pt>
                <c:pt idx="36">
                  <c:v>36373</c:v>
                </c:pt>
                <c:pt idx="37">
                  <c:v>36404</c:v>
                </c:pt>
                <c:pt idx="38">
                  <c:v>36434</c:v>
                </c:pt>
                <c:pt idx="39">
                  <c:v>36465</c:v>
                </c:pt>
                <c:pt idx="40">
                  <c:v>36495</c:v>
                </c:pt>
                <c:pt idx="41">
                  <c:v>36526</c:v>
                </c:pt>
                <c:pt idx="42">
                  <c:v>36557</c:v>
                </c:pt>
                <c:pt idx="43">
                  <c:v>36586</c:v>
                </c:pt>
                <c:pt idx="44">
                  <c:v>36617</c:v>
                </c:pt>
                <c:pt idx="45">
                  <c:v>36647</c:v>
                </c:pt>
                <c:pt idx="46">
                  <c:v>36678</c:v>
                </c:pt>
                <c:pt idx="47">
                  <c:v>36708</c:v>
                </c:pt>
                <c:pt idx="48">
                  <c:v>36739</c:v>
                </c:pt>
                <c:pt idx="49">
                  <c:v>36770</c:v>
                </c:pt>
                <c:pt idx="50">
                  <c:v>36800</c:v>
                </c:pt>
                <c:pt idx="51">
                  <c:v>36831</c:v>
                </c:pt>
                <c:pt idx="52">
                  <c:v>36861</c:v>
                </c:pt>
                <c:pt idx="53">
                  <c:v>36892</c:v>
                </c:pt>
                <c:pt idx="54">
                  <c:v>36923</c:v>
                </c:pt>
                <c:pt idx="55">
                  <c:v>36951</c:v>
                </c:pt>
                <c:pt idx="56">
                  <c:v>36982</c:v>
                </c:pt>
                <c:pt idx="57">
                  <c:v>37012</c:v>
                </c:pt>
                <c:pt idx="58">
                  <c:v>37043</c:v>
                </c:pt>
                <c:pt idx="59">
                  <c:v>37073</c:v>
                </c:pt>
                <c:pt idx="60">
                  <c:v>37104</c:v>
                </c:pt>
                <c:pt idx="61">
                  <c:v>37135</c:v>
                </c:pt>
                <c:pt idx="62">
                  <c:v>37165</c:v>
                </c:pt>
                <c:pt idx="63">
                  <c:v>37196</c:v>
                </c:pt>
                <c:pt idx="64">
                  <c:v>37226</c:v>
                </c:pt>
                <c:pt idx="65">
                  <c:v>37257</c:v>
                </c:pt>
                <c:pt idx="66">
                  <c:v>37288</c:v>
                </c:pt>
                <c:pt idx="67">
                  <c:v>37316</c:v>
                </c:pt>
                <c:pt idx="68">
                  <c:v>37347</c:v>
                </c:pt>
                <c:pt idx="69">
                  <c:v>37377</c:v>
                </c:pt>
                <c:pt idx="70">
                  <c:v>37408</c:v>
                </c:pt>
                <c:pt idx="71">
                  <c:v>37438</c:v>
                </c:pt>
                <c:pt idx="72">
                  <c:v>37469</c:v>
                </c:pt>
                <c:pt idx="73">
                  <c:v>37500</c:v>
                </c:pt>
                <c:pt idx="74">
                  <c:v>37530</c:v>
                </c:pt>
                <c:pt idx="75">
                  <c:v>37561</c:v>
                </c:pt>
                <c:pt idx="76">
                  <c:v>37591</c:v>
                </c:pt>
                <c:pt idx="77">
                  <c:v>37622</c:v>
                </c:pt>
                <c:pt idx="78">
                  <c:v>37653</c:v>
                </c:pt>
                <c:pt idx="79">
                  <c:v>37681</c:v>
                </c:pt>
                <c:pt idx="80">
                  <c:v>37712</c:v>
                </c:pt>
                <c:pt idx="81">
                  <c:v>37742</c:v>
                </c:pt>
                <c:pt idx="82">
                  <c:v>37773</c:v>
                </c:pt>
                <c:pt idx="83">
                  <c:v>37803</c:v>
                </c:pt>
                <c:pt idx="84">
                  <c:v>37834</c:v>
                </c:pt>
                <c:pt idx="85">
                  <c:v>37865</c:v>
                </c:pt>
                <c:pt idx="86">
                  <c:v>37895</c:v>
                </c:pt>
                <c:pt idx="87">
                  <c:v>37926</c:v>
                </c:pt>
                <c:pt idx="88">
                  <c:v>37956</c:v>
                </c:pt>
                <c:pt idx="89">
                  <c:v>37987</c:v>
                </c:pt>
                <c:pt idx="90">
                  <c:v>38018</c:v>
                </c:pt>
                <c:pt idx="91">
                  <c:v>38047</c:v>
                </c:pt>
                <c:pt idx="92">
                  <c:v>38078</c:v>
                </c:pt>
                <c:pt idx="93">
                  <c:v>38108</c:v>
                </c:pt>
                <c:pt idx="94">
                  <c:v>38139</c:v>
                </c:pt>
                <c:pt idx="95">
                  <c:v>38169</c:v>
                </c:pt>
                <c:pt idx="96">
                  <c:v>38200</c:v>
                </c:pt>
                <c:pt idx="97">
                  <c:v>38231</c:v>
                </c:pt>
                <c:pt idx="98">
                  <c:v>38261</c:v>
                </c:pt>
                <c:pt idx="99">
                  <c:v>38292</c:v>
                </c:pt>
                <c:pt idx="100">
                  <c:v>38322</c:v>
                </c:pt>
                <c:pt idx="101">
                  <c:v>38353</c:v>
                </c:pt>
                <c:pt idx="102">
                  <c:v>38384</c:v>
                </c:pt>
                <c:pt idx="103">
                  <c:v>38412</c:v>
                </c:pt>
                <c:pt idx="104">
                  <c:v>38443</c:v>
                </c:pt>
                <c:pt idx="105">
                  <c:v>38473</c:v>
                </c:pt>
                <c:pt idx="106">
                  <c:v>38504</c:v>
                </c:pt>
                <c:pt idx="107">
                  <c:v>38534</c:v>
                </c:pt>
                <c:pt idx="108">
                  <c:v>38565</c:v>
                </c:pt>
                <c:pt idx="109">
                  <c:v>38596</c:v>
                </c:pt>
                <c:pt idx="110">
                  <c:v>38626</c:v>
                </c:pt>
                <c:pt idx="111">
                  <c:v>38657</c:v>
                </c:pt>
                <c:pt idx="112">
                  <c:v>38687</c:v>
                </c:pt>
                <c:pt idx="113">
                  <c:v>38718</c:v>
                </c:pt>
                <c:pt idx="114">
                  <c:v>38749</c:v>
                </c:pt>
                <c:pt idx="115">
                  <c:v>38777</c:v>
                </c:pt>
                <c:pt idx="116">
                  <c:v>38808</c:v>
                </c:pt>
                <c:pt idx="117">
                  <c:v>38838</c:v>
                </c:pt>
                <c:pt idx="118">
                  <c:v>38869</c:v>
                </c:pt>
                <c:pt idx="119">
                  <c:v>38899</c:v>
                </c:pt>
                <c:pt idx="120">
                  <c:v>38930</c:v>
                </c:pt>
                <c:pt idx="121">
                  <c:v>38961</c:v>
                </c:pt>
                <c:pt idx="122">
                  <c:v>38991</c:v>
                </c:pt>
                <c:pt idx="123">
                  <c:v>39022</c:v>
                </c:pt>
                <c:pt idx="124">
                  <c:v>39052</c:v>
                </c:pt>
                <c:pt idx="125">
                  <c:v>39083</c:v>
                </c:pt>
                <c:pt idx="126">
                  <c:v>39114</c:v>
                </c:pt>
                <c:pt idx="127">
                  <c:v>39142</c:v>
                </c:pt>
                <c:pt idx="128">
                  <c:v>39173</c:v>
                </c:pt>
                <c:pt idx="129">
                  <c:v>39203</c:v>
                </c:pt>
                <c:pt idx="130">
                  <c:v>39234</c:v>
                </c:pt>
                <c:pt idx="131">
                  <c:v>39264</c:v>
                </c:pt>
                <c:pt idx="132">
                  <c:v>39295</c:v>
                </c:pt>
                <c:pt idx="133">
                  <c:v>39326</c:v>
                </c:pt>
                <c:pt idx="134">
                  <c:v>39356</c:v>
                </c:pt>
                <c:pt idx="135">
                  <c:v>39387</c:v>
                </c:pt>
                <c:pt idx="136">
                  <c:v>39417</c:v>
                </c:pt>
                <c:pt idx="137">
                  <c:v>39448</c:v>
                </c:pt>
                <c:pt idx="138">
                  <c:v>39479</c:v>
                </c:pt>
                <c:pt idx="139">
                  <c:v>39508</c:v>
                </c:pt>
                <c:pt idx="140">
                  <c:v>39539</c:v>
                </c:pt>
                <c:pt idx="141">
                  <c:v>39569</c:v>
                </c:pt>
                <c:pt idx="142">
                  <c:v>39600</c:v>
                </c:pt>
                <c:pt idx="143">
                  <c:v>39630</c:v>
                </c:pt>
                <c:pt idx="144">
                  <c:v>39661</c:v>
                </c:pt>
                <c:pt idx="145">
                  <c:v>39692</c:v>
                </c:pt>
                <c:pt idx="146">
                  <c:v>39722</c:v>
                </c:pt>
                <c:pt idx="147">
                  <c:v>39753</c:v>
                </c:pt>
                <c:pt idx="148">
                  <c:v>39783</c:v>
                </c:pt>
                <c:pt idx="149">
                  <c:v>39814</c:v>
                </c:pt>
                <c:pt idx="150">
                  <c:v>39845</c:v>
                </c:pt>
                <c:pt idx="151">
                  <c:v>39873</c:v>
                </c:pt>
                <c:pt idx="152">
                  <c:v>39904</c:v>
                </c:pt>
                <c:pt idx="153">
                  <c:v>39934</c:v>
                </c:pt>
                <c:pt idx="154">
                  <c:v>39965</c:v>
                </c:pt>
                <c:pt idx="155">
                  <c:v>39995</c:v>
                </c:pt>
                <c:pt idx="156">
                  <c:v>40026</c:v>
                </c:pt>
                <c:pt idx="157">
                  <c:v>40057</c:v>
                </c:pt>
                <c:pt idx="158">
                  <c:v>40087</c:v>
                </c:pt>
                <c:pt idx="159">
                  <c:v>40118</c:v>
                </c:pt>
                <c:pt idx="160">
                  <c:v>40148</c:v>
                </c:pt>
                <c:pt idx="161">
                  <c:v>40179</c:v>
                </c:pt>
                <c:pt idx="162">
                  <c:v>40210</c:v>
                </c:pt>
                <c:pt idx="163">
                  <c:v>40238</c:v>
                </c:pt>
                <c:pt idx="164">
                  <c:v>40269</c:v>
                </c:pt>
                <c:pt idx="165">
                  <c:v>40299</c:v>
                </c:pt>
                <c:pt idx="166">
                  <c:v>40330</c:v>
                </c:pt>
                <c:pt idx="167">
                  <c:v>40360</c:v>
                </c:pt>
                <c:pt idx="168">
                  <c:v>40391</c:v>
                </c:pt>
                <c:pt idx="169">
                  <c:v>40422</c:v>
                </c:pt>
                <c:pt idx="170">
                  <c:v>40452</c:v>
                </c:pt>
                <c:pt idx="171">
                  <c:v>40483</c:v>
                </c:pt>
                <c:pt idx="172">
                  <c:v>40513</c:v>
                </c:pt>
                <c:pt idx="173">
                  <c:v>40544</c:v>
                </c:pt>
                <c:pt idx="174">
                  <c:v>40575</c:v>
                </c:pt>
                <c:pt idx="175">
                  <c:v>40603</c:v>
                </c:pt>
                <c:pt idx="176">
                  <c:v>40634</c:v>
                </c:pt>
                <c:pt idx="177">
                  <c:v>40664</c:v>
                </c:pt>
                <c:pt idx="178">
                  <c:v>40695</c:v>
                </c:pt>
                <c:pt idx="179">
                  <c:v>40725</c:v>
                </c:pt>
                <c:pt idx="180">
                  <c:v>40756</c:v>
                </c:pt>
                <c:pt idx="181">
                  <c:v>40787</c:v>
                </c:pt>
                <c:pt idx="182">
                  <c:v>40817</c:v>
                </c:pt>
                <c:pt idx="183">
                  <c:v>40848</c:v>
                </c:pt>
                <c:pt idx="184">
                  <c:v>40878</c:v>
                </c:pt>
                <c:pt idx="185">
                  <c:v>40909</c:v>
                </c:pt>
                <c:pt idx="186">
                  <c:v>40940</c:v>
                </c:pt>
                <c:pt idx="187">
                  <c:v>40969</c:v>
                </c:pt>
                <c:pt idx="188">
                  <c:v>41000</c:v>
                </c:pt>
                <c:pt idx="189">
                  <c:v>41030</c:v>
                </c:pt>
                <c:pt idx="190">
                  <c:v>41061</c:v>
                </c:pt>
                <c:pt idx="191">
                  <c:v>41091</c:v>
                </c:pt>
                <c:pt idx="192">
                  <c:v>41122</c:v>
                </c:pt>
                <c:pt idx="193">
                  <c:v>41153</c:v>
                </c:pt>
                <c:pt idx="194">
                  <c:v>41183</c:v>
                </c:pt>
                <c:pt idx="195">
                  <c:v>41214</c:v>
                </c:pt>
                <c:pt idx="196">
                  <c:v>41244</c:v>
                </c:pt>
                <c:pt idx="197">
                  <c:v>41275</c:v>
                </c:pt>
                <c:pt idx="198">
                  <c:v>41306</c:v>
                </c:pt>
                <c:pt idx="199">
                  <c:v>41334</c:v>
                </c:pt>
                <c:pt idx="200">
                  <c:v>41365</c:v>
                </c:pt>
                <c:pt idx="201">
                  <c:v>41395</c:v>
                </c:pt>
                <c:pt idx="202">
                  <c:v>41426</c:v>
                </c:pt>
                <c:pt idx="203">
                  <c:v>41456</c:v>
                </c:pt>
                <c:pt idx="204">
                  <c:v>41487</c:v>
                </c:pt>
                <c:pt idx="205">
                  <c:v>41518</c:v>
                </c:pt>
                <c:pt idx="206">
                  <c:v>41548</c:v>
                </c:pt>
                <c:pt idx="207">
                  <c:v>41579</c:v>
                </c:pt>
                <c:pt idx="208">
                  <c:v>41609</c:v>
                </c:pt>
                <c:pt idx="209">
                  <c:v>41640</c:v>
                </c:pt>
                <c:pt idx="210">
                  <c:v>41671</c:v>
                </c:pt>
                <c:pt idx="211">
                  <c:v>41699</c:v>
                </c:pt>
                <c:pt idx="212">
                  <c:v>41730</c:v>
                </c:pt>
                <c:pt idx="213">
                  <c:v>41760</c:v>
                </c:pt>
                <c:pt idx="214">
                  <c:v>41791</c:v>
                </c:pt>
                <c:pt idx="215">
                  <c:v>41821</c:v>
                </c:pt>
                <c:pt idx="216">
                  <c:v>41852</c:v>
                </c:pt>
                <c:pt idx="217">
                  <c:v>41883</c:v>
                </c:pt>
                <c:pt idx="218">
                  <c:v>41913</c:v>
                </c:pt>
                <c:pt idx="219">
                  <c:v>41944</c:v>
                </c:pt>
                <c:pt idx="220">
                  <c:v>41974</c:v>
                </c:pt>
                <c:pt idx="221">
                  <c:v>42005</c:v>
                </c:pt>
                <c:pt idx="222">
                  <c:v>42036</c:v>
                </c:pt>
                <c:pt idx="223">
                  <c:v>42064</c:v>
                </c:pt>
                <c:pt idx="224">
                  <c:v>42095</c:v>
                </c:pt>
                <c:pt idx="225">
                  <c:v>42125</c:v>
                </c:pt>
                <c:pt idx="226">
                  <c:v>42156</c:v>
                </c:pt>
                <c:pt idx="227">
                  <c:v>42186</c:v>
                </c:pt>
                <c:pt idx="228">
                  <c:v>42217</c:v>
                </c:pt>
                <c:pt idx="229">
                  <c:v>42248</c:v>
                </c:pt>
                <c:pt idx="230">
                  <c:v>42278</c:v>
                </c:pt>
                <c:pt idx="231">
                  <c:v>42309</c:v>
                </c:pt>
                <c:pt idx="232">
                  <c:v>42339</c:v>
                </c:pt>
                <c:pt idx="233">
                  <c:v>42370</c:v>
                </c:pt>
                <c:pt idx="234">
                  <c:v>42401</c:v>
                </c:pt>
                <c:pt idx="235">
                  <c:v>42430</c:v>
                </c:pt>
                <c:pt idx="236">
                  <c:v>42461</c:v>
                </c:pt>
                <c:pt idx="237">
                  <c:v>42491</c:v>
                </c:pt>
                <c:pt idx="238">
                  <c:v>42522</c:v>
                </c:pt>
                <c:pt idx="239">
                  <c:v>42552</c:v>
                </c:pt>
                <c:pt idx="240">
                  <c:v>42583</c:v>
                </c:pt>
                <c:pt idx="241">
                  <c:v>42614</c:v>
                </c:pt>
                <c:pt idx="242">
                  <c:v>42644</c:v>
                </c:pt>
                <c:pt idx="243">
                  <c:v>42675</c:v>
                </c:pt>
                <c:pt idx="244">
                  <c:v>42705</c:v>
                </c:pt>
                <c:pt idx="245">
                  <c:v>42736</c:v>
                </c:pt>
                <c:pt idx="246">
                  <c:v>42767</c:v>
                </c:pt>
                <c:pt idx="247">
                  <c:v>42795</c:v>
                </c:pt>
                <c:pt idx="248">
                  <c:v>42826</c:v>
                </c:pt>
                <c:pt idx="249">
                  <c:v>42856</c:v>
                </c:pt>
                <c:pt idx="250">
                  <c:v>42887</c:v>
                </c:pt>
                <c:pt idx="251">
                  <c:v>42917</c:v>
                </c:pt>
                <c:pt idx="252">
                  <c:v>42948</c:v>
                </c:pt>
                <c:pt idx="253">
                  <c:v>42979</c:v>
                </c:pt>
                <c:pt idx="254">
                  <c:v>43009</c:v>
                </c:pt>
                <c:pt idx="255">
                  <c:v>43040</c:v>
                </c:pt>
                <c:pt idx="256">
                  <c:v>43070</c:v>
                </c:pt>
                <c:pt idx="257">
                  <c:v>43101</c:v>
                </c:pt>
                <c:pt idx="258">
                  <c:v>43132</c:v>
                </c:pt>
                <c:pt idx="259">
                  <c:v>43160</c:v>
                </c:pt>
                <c:pt idx="260">
                  <c:v>43191</c:v>
                </c:pt>
                <c:pt idx="261">
                  <c:v>43221</c:v>
                </c:pt>
                <c:pt idx="262">
                  <c:v>43252</c:v>
                </c:pt>
                <c:pt idx="263">
                  <c:v>43282</c:v>
                </c:pt>
                <c:pt idx="264">
                  <c:v>43313</c:v>
                </c:pt>
                <c:pt idx="265">
                  <c:v>43344</c:v>
                </c:pt>
                <c:pt idx="266">
                  <c:v>43374</c:v>
                </c:pt>
                <c:pt idx="267">
                  <c:v>43405</c:v>
                </c:pt>
                <c:pt idx="268">
                  <c:v>43435</c:v>
                </c:pt>
                <c:pt idx="269">
                  <c:v>43466</c:v>
                </c:pt>
                <c:pt idx="270">
                  <c:v>43497</c:v>
                </c:pt>
                <c:pt idx="271">
                  <c:v>43525</c:v>
                </c:pt>
                <c:pt idx="272">
                  <c:v>43556</c:v>
                </c:pt>
                <c:pt idx="273">
                  <c:v>43586</c:v>
                </c:pt>
                <c:pt idx="274">
                  <c:v>43617</c:v>
                </c:pt>
                <c:pt idx="275">
                  <c:v>43647</c:v>
                </c:pt>
                <c:pt idx="276">
                  <c:v>43678</c:v>
                </c:pt>
                <c:pt idx="277">
                  <c:v>43709</c:v>
                </c:pt>
                <c:pt idx="278">
                  <c:v>43739</c:v>
                </c:pt>
                <c:pt idx="279">
                  <c:v>43770</c:v>
                </c:pt>
                <c:pt idx="280">
                  <c:v>43800</c:v>
                </c:pt>
                <c:pt idx="281">
                  <c:v>43831</c:v>
                </c:pt>
                <c:pt idx="282">
                  <c:v>43862</c:v>
                </c:pt>
                <c:pt idx="283">
                  <c:v>43891</c:v>
                </c:pt>
                <c:pt idx="284">
                  <c:v>43922</c:v>
                </c:pt>
                <c:pt idx="285">
                  <c:v>43952</c:v>
                </c:pt>
                <c:pt idx="286">
                  <c:v>43983</c:v>
                </c:pt>
                <c:pt idx="287">
                  <c:v>44013</c:v>
                </c:pt>
                <c:pt idx="288">
                  <c:v>44044</c:v>
                </c:pt>
                <c:pt idx="289">
                  <c:v>44075</c:v>
                </c:pt>
                <c:pt idx="290">
                  <c:v>44105</c:v>
                </c:pt>
                <c:pt idx="291">
                  <c:v>44136</c:v>
                </c:pt>
                <c:pt idx="292">
                  <c:v>44166</c:v>
                </c:pt>
                <c:pt idx="293">
                  <c:v>44197</c:v>
                </c:pt>
                <c:pt idx="294">
                  <c:v>44228</c:v>
                </c:pt>
                <c:pt idx="295">
                  <c:v>44256</c:v>
                </c:pt>
                <c:pt idx="296">
                  <c:v>44287</c:v>
                </c:pt>
                <c:pt idx="297">
                  <c:v>44317</c:v>
                </c:pt>
                <c:pt idx="298">
                  <c:v>44348</c:v>
                </c:pt>
                <c:pt idx="299">
                  <c:v>44378</c:v>
                </c:pt>
                <c:pt idx="300">
                  <c:v>44409</c:v>
                </c:pt>
                <c:pt idx="301">
                  <c:v>44440</c:v>
                </c:pt>
                <c:pt idx="302">
                  <c:v>44470</c:v>
                </c:pt>
                <c:pt idx="303">
                  <c:v>44501</c:v>
                </c:pt>
                <c:pt idx="304">
                  <c:v>44531</c:v>
                </c:pt>
                <c:pt idx="305">
                  <c:v>44562</c:v>
                </c:pt>
                <c:pt idx="306">
                  <c:v>44593</c:v>
                </c:pt>
                <c:pt idx="307">
                  <c:v>44621</c:v>
                </c:pt>
                <c:pt idx="308">
                  <c:v>44652</c:v>
                </c:pt>
                <c:pt idx="309">
                  <c:v>44682</c:v>
                </c:pt>
                <c:pt idx="310">
                  <c:v>44713</c:v>
                </c:pt>
                <c:pt idx="311">
                  <c:v>44743</c:v>
                </c:pt>
                <c:pt idx="312">
                  <c:v>44774</c:v>
                </c:pt>
                <c:pt idx="313">
                  <c:v>44805</c:v>
                </c:pt>
                <c:pt idx="314">
                  <c:v>44835</c:v>
                </c:pt>
                <c:pt idx="315">
                  <c:v>44866</c:v>
                </c:pt>
                <c:pt idx="316">
                  <c:v>44896</c:v>
                </c:pt>
                <c:pt idx="317">
                  <c:v>44927</c:v>
                </c:pt>
                <c:pt idx="318">
                  <c:v>44958</c:v>
                </c:pt>
                <c:pt idx="319">
                  <c:v>44986</c:v>
                </c:pt>
                <c:pt idx="320">
                  <c:v>45017</c:v>
                </c:pt>
                <c:pt idx="321">
                  <c:v>45047</c:v>
                </c:pt>
                <c:pt idx="322">
                  <c:v>45078</c:v>
                </c:pt>
                <c:pt idx="323">
                  <c:v>45108</c:v>
                </c:pt>
                <c:pt idx="324">
                  <c:v>45139</c:v>
                </c:pt>
                <c:pt idx="325">
                  <c:v>45170</c:v>
                </c:pt>
                <c:pt idx="326">
                  <c:v>45200</c:v>
                </c:pt>
                <c:pt idx="327">
                  <c:v>45231</c:v>
                </c:pt>
                <c:pt idx="328">
                  <c:v>45261</c:v>
                </c:pt>
                <c:pt idx="329">
                  <c:v>45292</c:v>
                </c:pt>
                <c:pt idx="330">
                  <c:v>45323</c:v>
                </c:pt>
                <c:pt idx="331">
                  <c:v>45352</c:v>
                </c:pt>
                <c:pt idx="332">
                  <c:v>45383</c:v>
                </c:pt>
              </c:numCache>
            </c:numRef>
          </c:cat>
          <c:val>
            <c:numRef>
              <c:f>'[cpi inflation final 3-Jan-2025.xlsx]Sheet1'!$D$2:$D$334</c:f>
              <c:numCache>
                <c:formatCode>General</c:formatCode>
                <c:ptCount val="333"/>
                <c:pt idx="0">
                  <c:v>4.6332046332044641</c:v>
                </c:pt>
                <c:pt idx="1">
                  <c:v>6.5384615384615525</c:v>
                </c:pt>
                <c:pt idx="2">
                  <c:v>6.9230769230771791</c:v>
                </c:pt>
                <c:pt idx="3">
                  <c:v>8.0769230769235296</c:v>
                </c:pt>
                <c:pt idx="4">
                  <c:v>11.494252873563291</c:v>
                </c:pt>
                <c:pt idx="5">
                  <c:v>13.026819923371665</c:v>
                </c:pt>
                <c:pt idx="6">
                  <c:v>11.985018726591813</c:v>
                </c:pt>
                <c:pt idx="7">
                  <c:v>11.194029850746341</c:v>
                </c:pt>
                <c:pt idx="8">
                  <c:v>10.037174721189485</c:v>
                </c:pt>
                <c:pt idx="9">
                  <c:v>10.780669144981774</c:v>
                </c:pt>
                <c:pt idx="10">
                  <c:v>10.408921933085612</c:v>
                </c:pt>
                <c:pt idx="11">
                  <c:v>10.408921933085612</c:v>
                </c:pt>
                <c:pt idx="12">
                  <c:v>11.43911439114421</c:v>
                </c:pt>
                <c:pt idx="13">
                  <c:v>10.108303249097588</c:v>
                </c:pt>
                <c:pt idx="14">
                  <c:v>10.79136690647487</c:v>
                </c:pt>
                <c:pt idx="15">
                  <c:v>9.9644128113875201</c:v>
                </c:pt>
                <c:pt idx="16">
                  <c:v>6.1855670103090503</c:v>
                </c:pt>
                <c:pt idx="17">
                  <c:v>5.7627118644067785</c:v>
                </c:pt>
                <c:pt idx="18">
                  <c:v>8.6956521739131425</c:v>
                </c:pt>
                <c:pt idx="19">
                  <c:v>8.053691275167461</c:v>
                </c:pt>
                <c:pt idx="20">
                  <c:v>6.0810810810813054</c:v>
                </c:pt>
                <c:pt idx="21">
                  <c:v>4.3624161073821304</c:v>
                </c:pt>
                <c:pt idx="22">
                  <c:v>6.0606060606062568</c:v>
                </c:pt>
                <c:pt idx="23">
                  <c:v>6.7340067340069059</c:v>
                </c:pt>
                <c:pt idx="24">
                  <c:v>4.9668874172185449</c:v>
                </c:pt>
                <c:pt idx="25">
                  <c:v>4.5901639344264566</c:v>
                </c:pt>
                <c:pt idx="26">
                  <c:v>3.5714285714286245</c:v>
                </c:pt>
                <c:pt idx="27">
                  <c:v>3.8834951456313167</c:v>
                </c:pt>
                <c:pt idx="28">
                  <c:v>2.9126213592233845</c:v>
                </c:pt>
                <c:pt idx="29">
                  <c:v>-0.9615384615386533</c:v>
                </c:pt>
                <c:pt idx="30">
                  <c:v>-5.2307692307692557</c:v>
                </c:pt>
                <c:pt idx="31">
                  <c:v>-4.3478260869563972</c:v>
                </c:pt>
                <c:pt idx="32">
                  <c:v>-1.2738853503184542</c:v>
                </c:pt>
                <c:pt idx="33">
                  <c:v>2.8938906752412712</c:v>
                </c:pt>
                <c:pt idx="34">
                  <c:v>5.3968253968254025</c:v>
                </c:pt>
                <c:pt idx="35">
                  <c:v>5.3627760252361965</c:v>
                </c:pt>
                <c:pt idx="36">
                  <c:v>6.6246056782333973</c:v>
                </c:pt>
                <c:pt idx="37">
                  <c:v>9.0909090909089585</c:v>
                </c:pt>
                <c:pt idx="38">
                  <c:v>12.539184952977989</c:v>
                </c:pt>
                <c:pt idx="39">
                  <c:v>14.953271028037227</c:v>
                </c:pt>
                <c:pt idx="40">
                  <c:v>16.352201257861857</c:v>
                </c:pt>
                <c:pt idx="41">
                  <c:v>39.158576051780024</c:v>
                </c:pt>
                <c:pt idx="42">
                  <c:v>42.857142857142932</c:v>
                </c:pt>
                <c:pt idx="43">
                  <c:v>44.805194805194795</c:v>
                </c:pt>
                <c:pt idx="44">
                  <c:v>47.741935483870854</c:v>
                </c:pt>
                <c:pt idx="45">
                  <c:v>42.500000000000036</c:v>
                </c:pt>
                <c:pt idx="46">
                  <c:v>37.951807228915335</c:v>
                </c:pt>
                <c:pt idx="47">
                  <c:v>42.514970059880689</c:v>
                </c:pt>
                <c:pt idx="48">
                  <c:v>44.674556213017766</c:v>
                </c:pt>
                <c:pt idx="49">
                  <c:v>41.954022988505656</c:v>
                </c:pt>
                <c:pt idx="50">
                  <c:v>46.796657381615631</c:v>
                </c:pt>
                <c:pt idx="51">
                  <c:v>43.631436314363128</c:v>
                </c:pt>
                <c:pt idx="52">
                  <c:v>43.783783783783527</c:v>
                </c:pt>
                <c:pt idx="53">
                  <c:v>22.790697674418663</c:v>
                </c:pt>
                <c:pt idx="54">
                  <c:v>19.090909090908983</c:v>
                </c:pt>
                <c:pt idx="55">
                  <c:v>17.488789237668126</c:v>
                </c:pt>
                <c:pt idx="56">
                  <c:v>14.847161572052473</c:v>
                </c:pt>
                <c:pt idx="57">
                  <c:v>15.570175438596692</c:v>
                </c:pt>
                <c:pt idx="58">
                  <c:v>17.46724890829692</c:v>
                </c:pt>
                <c:pt idx="59">
                  <c:v>14.075630252100774</c:v>
                </c:pt>
                <c:pt idx="60">
                  <c:v>10.83844580777099</c:v>
                </c:pt>
                <c:pt idx="61">
                  <c:v>9.5141700404859311</c:v>
                </c:pt>
                <c:pt idx="62">
                  <c:v>2.4667931688805242</c:v>
                </c:pt>
                <c:pt idx="63">
                  <c:v>0.18867924528315419</c:v>
                </c:pt>
                <c:pt idx="64">
                  <c:v>-2.2556390977442633</c:v>
                </c:pt>
                <c:pt idx="65">
                  <c:v>-3.4090909090907271</c:v>
                </c:pt>
                <c:pt idx="66">
                  <c:v>-3.2442748091602795</c:v>
                </c:pt>
                <c:pt idx="67">
                  <c:v>-3.0534351145036887</c:v>
                </c:pt>
                <c:pt idx="68">
                  <c:v>-1.7110266159696284</c:v>
                </c:pt>
                <c:pt idx="69">
                  <c:v>0.37950664136621842</c:v>
                </c:pt>
                <c:pt idx="70">
                  <c:v>-0.37174721189588916</c:v>
                </c:pt>
                <c:pt idx="71">
                  <c:v>-1.6574585635359729</c:v>
                </c:pt>
                <c:pt idx="72">
                  <c:v>-1.2915129151292164</c:v>
                </c:pt>
                <c:pt idx="73">
                  <c:v>0.73937153419592339</c:v>
                </c:pt>
                <c:pt idx="74">
                  <c:v>2.4074074074072191</c:v>
                </c:pt>
                <c:pt idx="75">
                  <c:v>5.4613935969867393</c:v>
                </c:pt>
                <c:pt idx="76">
                  <c:v>7.1153846153844817</c:v>
                </c:pt>
                <c:pt idx="77">
                  <c:v>9.8039215686273238</c:v>
                </c:pt>
                <c:pt idx="78">
                  <c:v>14.20118343195265</c:v>
                </c:pt>
                <c:pt idx="79">
                  <c:v>17.716535433070732</c:v>
                </c:pt>
                <c:pt idx="80">
                  <c:v>16.827852998065794</c:v>
                </c:pt>
                <c:pt idx="81">
                  <c:v>13.043478260869461</c:v>
                </c:pt>
                <c:pt idx="82">
                  <c:v>8.2089552238807979</c:v>
                </c:pt>
                <c:pt idx="83">
                  <c:v>8.8014981273408637</c:v>
                </c:pt>
                <c:pt idx="84">
                  <c:v>9.1588785046729377</c:v>
                </c:pt>
                <c:pt idx="85">
                  <c:v>9.1743119266056485</c:v>
                </c:pt>
                <c:pt idx="86">
                  <c:v>7.5949367088609581</c:v>
                </c:pt>
                <c:pt idx="87">
                  <c:v>7.3214285714286671</c:v>
                </c:pt>
                <c:pt idx="88">
                  <c:v>9.3357271095154051</c:v>
                </c:pt>
                <c:pt idx="89">
                  <c:v>10.000000000000094</c:v>
                </c:pt>
                <c:pt idx="90">
                  <c:v>9.8445595854921901</c:v>
                </c:pt>
                <c:pt idx="91">
                  <c:v>7.023411371237394</c:v>
                </c:pt>
                <c:pt idx="92">
                  <c:v>7.1192052980132718</c:v>
                </c:pt>
                <c:pt idx="93">
                  <c:v>9.3645484949833335</c:v>
                </c:pt>
                <c:pt idx="94">
                  <c:v>16.551724137930822</c:v>
                </c:pt>
                <c:pt idx="95">
                  <c:v>18.416523235800426</c:v>
                </c:pt>
                <c:pt idx="96">
                  <c:v>19.349315068492931</c:v>
                </c:pt>
                <c:pt idx="97">
                  <c:v>20.504201680672118</c:v>
                </c:pt>
                <c:pt idx="98">
                  <c:v>22.352941176470456</c:v>
                </c:pt>
                <c:pt idx="99">
                  <c:v>24.126455906821754</c:v>
                </c:pt>
                <c:pt idx="100">
                  <c:v>24.958949096880009</c:v>
                </c:pt>
                <c:pt idx="101">
                  <c:v>22.564935064934932</c:v>
                </c:pt>
                <c:pt idx="102">
                  <c:v>18.396226415094354</c:v>
                </c:pt>
                <c:pt idx="103">
                  <c:v>20.781250000000128</c:v>
                </c:pt>
                <c:pt idx="104">
                  <c:v>24.420401854714175</c:v>
                </c:pt>
                <c:pt idx="105">
                  <c:v>26.14678899082557</c:v>
                </c:pt>
                <c:pt idx="106">
                  <c:v>20.41420118343196</c:v>
                </c:pt>
                <c:pt idx="107">
                  <c:v>22.819767441860421</c:v>
                </c:pt>
                <c:pt idx="108">
                  <c:v>24.246771879483624</c:v>
                </c:pt>
                <c:pt idx="109">
                  <c:v>23.98884239888422</c:v>
                </c:pt>
                <c:pt idx="110">
                  <c:v>25.686813186813172</c:v>
                </c:pt>
                <c:pt idx="111">
                  <c:v>28.284182305630118</c:v>
                </c:pt>
                <c:pt idx="112">
                  <c:v>22.601839684625499</c:v>
                </c:pt>
                <c:pt idx="113">
                  <c:v>23.443708609271599</c:v>
                </c:pt>
                <c:pt idx="114">
                  <c:v>27.357237715803489</c:v>
                </c:pt>
                <c:pt idx="115">
                  <c:v>24.062095730918447</c:v>
                </c:pt>
                <c:pt idx="116">
                  <c:v>19.751552795031024</c:v>
                </c:pt>
                <c:pt idx="117">
                  <c:v>21.454545454545539</c:v>
                </c:pt>
                <c:pt idx="118">
                  <c:v>27.395577395577448</c:v>
                </c:pt>
                <c:pt idx="119">
                  <c:v>24.97041420118336</c:v>
                </c:pt>
                <c:pt idx="120">
                  <c:v>24.133949191685844</c:v>
                </c:pt>
                <c:pt idx="121">
                  <c:v>18.222722159730075</c:v>
                </c:pt>
                <c:pt idx="122">
                  <c:v>10.273224043715746</c:v>
                </c:pt>
                <c:pt idx="123">
                  <c:v>2.9258098223615452</c:v>
                </c:pt>
                <c:pt idx="124">
                  <c:v>4.5016077170417619</c:v>
                </c:pt>
                <c:pt idx="125">
                  <c:v>4.2918454935621915</c:v>
                </c:pt>
                <c:pt idx="126">
                  <c:v>-0.8342022940563163</c:v>
                </c:pt>
                <c:pt idx="127">
                  <c:v>-0.8342022940563163</c:v>
                </c:pt>
                <c:pt idx="128">
                  <c:v>0.51867219916999419</c:v>
                </c:pt>
                <c:pt idx="129">
                  <c:v>-1.4970059880239952</c:v>
                </c:pt>
                <c:pt idx="130">
                  <c:v>-1.9286403085823887</c:v>
                </c:pt>
                <c:pt idx="131">
                  <c:v>-3.2196969696969795</c:v>
                </c:pt>
                <c:pt idx="132">
                  <c:v>-4.2790697674418379</c:v>
                </c:pt>
                <c:pt idx="133">
                  <c:v>-1.9029495718363896</c:v>
                </c:pt>
                <c:pt idx="134">
                  <c:v>4.2616451932607173</c:v>
                </c:pt>
                <c:pt idx="135">
                  <c:v>9.2385786802030783</c:v>
                </c:pt>
                <c:pt idx="136">
                  <c:v>12.820512820512967</c:v>
                </c:pt>
                <c:pt idx="137">
                  <c:v>14.609053497942377</c:v>
                </c:pt>
                <c:pt idx="138">
                  <c:v>15.983175604626704</c:v>
                </c:pt>
                <c:pt idx="139">
                  <c:v>17.245005257623475</c:v>
                </c:pt>
                <c:pt idx="140">
                  <c:v>18.988648090815278</c:v>
                </c:pt>
                <c:pt idx="141">
                  <c:v>22.695035460992862</c:v>
                </c:pt>
                <c:pt idx="142">
                  <c:v>29.30186823992188</c:v>
                </c:pt>
                <c:pt idx="143">
                  <c:v>40.313111545988804</c:v>
                </c:pt>
                <c:pt idx="144">
                  <c:v>39.844509232264471</c:v>
                </c:pt>
                <c:pt idx="145">
                  <c:v>31.522793404461822</c:v>
                </c:pt>
                <c:pt idx="146">
                  <c:v>21.007604562737647</c:v>
                </c:pt>
                <c:pt idx="147">
                  <c:v>6.8773234200743234</c:v>
                </c:pt>
                <c:pt idx="148">
                  <c:v>-7.7272727272727106</c:v>
                </c:pt>
                <c:pt idx="149">
                  <c:v>-13.285457809694744</c:v>
                </c:pt>
                <c:pt idx="150">
                  <c:v>-12.96464188576614</c:v>
                </c:pt>
                <c:pt idx="151">
                  <c:v>-16.771300448430367</c:v>
                </c:pt>
                <c:pt idx="152">
                  <c:v>-15.958369470945316</c:v>
                </c:pt>
                <c:pt idx="153">
                  <c:v>-20.148637489677931</c:v>
                </c:pt>
                <c:pt idx="154">
                  <c:v>-22.129277566540292</c:v>
                </c:pt>
                <c:pt idx="155">
                  <c:v>-27.754532775453484</c:v>
                </c:pt>
                <c:pt idx="156">
                  <c:v>-25.781792911744283</c:v>
                </c:pt>
                <c:pt idx="157">
                  <c:v>-20.870206489675599</c:v>
                </c:pt>
                <c:pt idx="158">
                  <c:v>-17.203456402199521</c:v>
                </c:pt>
                <c:pt idx="159">
                  <c:v>-7.6521739130435016</c:v>
                </c:pt>
                <c:pt idx="160">
                  <c:v>9.6551724137930037</c:v>
                </c:pt>
                <c:pt idx="161">
                  <c:v>16.563146997929547</c:v>
                </c:pt>
                <c:pt idx="162">
                  <c:v>17.291666666666728</c:v>
                </c:pt>
                <c:pt idx="163">
                  <c:v>23.491379310344783</c:v>
                </c:pt>
                <c:pt idx="164">
                  <c:v>19.814241486068187</c:v>
                </c:pt>
                <c:pt idx="165">
                  <c:v>20.165460186142713</c:v>
                </c:pt>
                <c:pt idx="166">
                  <c:v>11.132812500000083</c:v>
                </c:pt>
                <c:pt idx="167">
                  <c:v>10.424710424710419</c:v>
                </c:pt>
                <c:pt idx="168">
                  <c:v>6.6479400749062982</c:v>
                </c:pt>
                <c:pt idx="169">
                  <c:v>5.2190121155639231</c:v>
                </c:pt>
                <c:pt idx="170">
                  <c:v>8.0645161290322793</c:v>
                </c:pt>
                <c:pt idx="171">
                  <c:v>8.8512241054614478</c:v>
                </c:pt>
                <c:pt idx="172">
                  <c:v>6.5588499550764237</c:v>
                </c:pt>
                <c:pt idx="173">
                  <c:v>8.3481349911190392</c:v>
                </c:pt>
                <c:pt idx="174">
                  <c:v>9.8579040852575872</c:v>
                </c:pt>
                <c:pt idx="175">
                  <c:v>11.605584642233797</c:v>
                </c:pt>
                <c:pt idx="176">
                  <c:v>12.833763996554381</c:v>
                </c:pt>
                <c:pt idx="177">
                  <c:v>13.339070567986234</c:v>
                </c:pt>
                <c:pt idx="178">
                  <c:v>13.62038664323372</c:v>
                </c:pt>
                <c:pt idx="179">
                  <c:v>12.674825174825068</c:v>
                </c:pt>
                <c:pt idx="180">
                  <c:v>13.608428446005252</c:v>
                </c:pt>
                <c:pt idx="181">
                  <c:v>14.348981399468419</c:v>
                </c:pt>
                <c:pt idx="182">
                  <c:v>12.993854258121077</c:v>
                </c:pt>
                <c:pt idx="183">
                  <c:v>11.591695501730054</c:v>
                </c:pt>
                <c:pt idx="184">
                  <c:v>7.925801011804384</c:v>
                </c:pt>
                <c:pt idx="185">
                  <c:v>7.6169672131147088</c:v>
                </c:pt>
                <c:pt idx="186">
                  <c:v>9.1009700889247611</c:v>
                </c:pt>
                <c:pt idx="187">
                  <c:v>9.3050820953869824</c:v>
                </c:pt>
                <c:pt idx="188">
                  <c:v>7.0182442748093887</c:v>
                </c:pt>
                <c:pt idx="189">
                  <c:v>2.0761579347000794</c:v>
                </c:pt>
                <c:pt idx="190">
                  <c:v>-2.9133023975251771</c:v>
                </c:pt>
                <c:pt idx="191">
                  <c:v>-8.0958107059735784</c:v>
                </c:pt>
                <c:pt idx="192">
                  <c:v>-2.0778979907264001</c:v>
                </c:pt>
                <c:pt idx="193">
                  <c:v>3.0165762974439048</c:v>
                </c:pt>
                <c:pt idx="194">
                  <c:v>2.5230769230770123</c:v>
                </c:pt>
                <c:pt idx="195">
                  <c:v>-1.0639534883720381</c:v>
                </c:pt>
                <c:pt idx="196">
                  <c:v>-0.80234374999997804</c:v>
                </c:pt>
                <c:pt idx="197">
                  <c:v>-3.0907278165502881</c:v>
                </c:pt>
                <c:pt idx="198">
                  <c:v>-3.8797284190106045</c:v>
                </c:pt>
                <c:pt idx="199">
                  <c:v>-7.7715355805242607</c:v>
                </c:pt>
                <c:pt idx="200">
                  <c:v>-11.204481792717015</c:v>
                </c:pt>
                <c:pt idx="201">
                  <c:v>-9.2502434274585514</c:v>
                </c:pt>
                <c:pt idx="202">
                  <c:v>0.41710114702821122</c:v>
                </c:pt>
                <c:pt idx="203">
                  <c:v>9.834254143646481</c:v>
                </c:pt>
                <c:pt idx="204">
                  <c:v>3.3057851239669742</c:v>
                </c:pt>
                <c:pt idx="205">
                  <c:v>9.8425196850444846E-2</c:v>
                </c:pt>
                <c:pt idx="206">
                  <c:v>-1.7857142857142727</c:v>
                </c:pt>
                <c:pt idx="207">
                  <c:v>1.2307692307692408</c:v>
                </c:pt>
                <c:pt idx="208">
                  <c:v>5.154639175257735</c:v>
                </c:pt>
                <c:pt idx="209">
                  <c:v>5.5555555555555429</c:v>
                </c:pt>
                <c:pt idx="210">
                  <c:v>3.3299697275479163</c:v>
                </c:pt>
                <c:pt idx="211">
                  <c:v>3.756345177664929</c:v>
                </c:pt>
                <c:pt idx="212">
                  <c:v>6.9400630914826023</c:v>
                </c:pt>
                <c:pt idx="213">
                  <c:v>9.3347639484977929</c:v>
                </c:pt>
                <c:pt idx="214">
                  <c:v>5.5036344755970399</c:v>
                </c:pt>
                <c:pt idx="215">
                  <c:v>2.9175050301810157</c:v>
                </c:pt>
                <c:pt idx="216">
                  <c:v>-2.0000000000000204</c:v>
                </c:pt>
                <c:pt idx="217">
                  <c:v>-4.8180924287119042</c:v>
                </c:pt>
                <c:pt idx="218">
                  <c:v>-5.1515151515151647</c:v>
                </c:pt>
                <c:pt idx="219">
                  <c:v>-9.9290780141844124</c:v>
                </c:pt>
                <c:pt idx="220">
                  <c:v>-20.490196078431392</c:v>
                </c:pt>
                <c:pt idx="221">
                  <c:v>-29.337231968810933</c:v>
                </c:pt>
                <c:pt idx="222">
                  <c:v>-30.468750000000007</c:v>
                </c:pt>
                <c:pt idx="223">
                  <c:v>-26.223091976516631</c:v>
                </c:pt>
                <c:pt idx="224">
                  <c:v>-25.860373647984268</c:v>
                </c:pt>
                <c:pt idx="225">
                  <c:v>-22.669283611383708</c:v>
                </c:pt>
                <c:pt idx="226">
                  <c:v>-21.35826771653543</c:v>
                </c:pt>
                <c:pt idx="227">
                  <c:v>-24.340175953079179</c:v>
                </c:pt>
                <c:pt idx="228">
                  <c:v>-25.816326530612265</c:v>
                </c:pt>
                <c:pt idx="229">
                  <c:v>-27.066115702479376</c:v>
                </c:pt>
                <c:pt idx="230">
                  <c:v>-23.748668796592145</c:v>
                </c:pt>
                <c:pt idx="231">
                  <c:v>-20.472440944881907</c:v>
                </c:pt>
                <c:pt idx="232">
                  <c:v>-14.796547472256494</c:v>
                </c:pt>
                <c:pt idx="233">
                  <c:v>-11.034482758620712</c:v>
                </c:pt>
                <c:pt idx="234">
                  <c:v>-12.780898876404546</c:v>
                </c:pt>
                <c:pt idx="235">
                  <c:v>-14.854111405835567</c:v>
                </c:pt>
                <c:pt idx="236">
                  <c:v>-11.538461538461561</c:v>
                </c:pt>
                <c:pt idx="237">
                  <c:v>-11.548223350253828</c:v>
                </c:pt>
                <c:pt idx="238">
                  <c:v>-10.513141426783498</c:v>
                </c:pt>
                <c:pt idx="239">
                  <c:v>-9.3023255813953742</c:v>
                </c:pt>
                <c:pt idx="240">
                  <c:v>-7.7028885832187406</c:v>
                </c:pt>
                <c:pt idx="241">
                  <c:v>-2.9745042492918103</c:v>
                </c:pt>
                <c:pt idx="242">
                  <c:v>-1.6759776536312991</c:v>
                </c:pt>
                <c:pt idx="243">
                  <c:v>0.56577086280054423</c:v>
                </c:pt>
                <c:pt idx="244">
                  <c:v>6.0781476121563065</c:v>
                </c:pt>
                <c:pt idx="245">
                  <c:v>18.759689922480646</c:v>
                </c:pt>
                <c:pt idx="246">
                  <c:v>24.637681159420364</c:v>
                </c:pt>
                <c:pt idx="247">
                  <c:v>19.158878504672934</c:v>
                </c:pt>
                <c:pt idx="248">
                  <c:v>13.793103448275904</c:v>
                </c:pt>
                <c:pt idx="249">
                  <c:v>7.1736011477762318</c:v>
                </c:pt>
                <c:pt idx="250">
                  <c:v>3.7762237762238282</c:v>
                </c:pt>
                <c:pt idx="251">
                  <c:v>5.1282051282051926</c:v>
                </c:pt>
                <c:pt idx="252">
                  <c:v>14.605067064083531</c:v>
                </c:pt>
                <c:pt idx="253">
                  <c:v>15.766423357664291</c:v>
                </c:pt>
                <c:pt idx="254">
                  <c:v>15.340909090909143</c:v>
                </c:pt>
                <c:pt idx="255">
                  <c:v>15.893108298171654</c:v>
                </c:pt>
                <c:pt idx="256">
                  <c:v>14.051841746248311</c:v>
                </c:pt>
                <c:pt idx="257">
                  <c:v>12.678524804177568</c:v>
                </c:pt>
                <c:pt idx="258">
                  <c:v>19.495365573502426</c:v>
                </c:pt>
                <c:pt idx="259">
                  <c:v>18.809115501013665</c:v>
                </c:pt>
                <c:pt idx="260">
                  <c:v>25.025184846260757</c:v>
                </c:pt>
                <c:pt idx="261">
                  <c:v>33.080095504453141</c:v>
                </c:pt>
                <c:pt idx="262">
                  <c:v>36.690274446365514</c:v>
                </c:pt>
                <c:pt idx="263">
                  <c:v>36.108083620673845</c:v>
                </c:pt>
                <c:pt idx="264">
                  <c:v>31.863662505130151</c:v>
                </c:pt>
                <c:pt idx="265">
                  <c:v>33.5937623940235</c:v>
                </c:pt>
                <c:pt idx="266">
                  <c:v>36.474904645296064</c:v>
                </c:pt>
                <c:pt idx="267">
                  <c:v>26.599494195088369</c:v>
                </c:pt>
                <c:pt idx="268">
                  <c:v>6.4920615483352693</c:v>
                </c:pt>
                <c:pt idx="269">
                  <c:v>0.12519468860595917</c:v>
                </c:pt>
                <c:pt idx="270">
                  <c:v>2.2946189389440703</c:v>
                </c:pt>
                <c:pt idx="271">
                  <c:v>9.9827027261911265</c:v>
                </c:pt>
                <c:pt idx="272">
                  <c:v>6.4526509072093976</c:v>
                </c:pt>
                <c:pt idx="273">
                  <c:v>3.7164329328372068</c:v>
                </c:pt>
                <c:pt idx="274">
                  <c:v>-3.9343502431036943</c:v>
                </c:pt>
                <c:pt idx="275">
                  <c:v>-2.9383911171208332</c:v>
                </c:pt>
                <c:pt idx="276">
                  <c:v>-4.2223908178685532</c:v>
                </c:pt>
                <c:pt idx="277">
                  <c:v>-7.9529215484277742</c:v>
                </c:pt>
                <c:pt idx="278">
                  <c:v>-10.873468720407541</c:v>
                </c:pt>
                <c:pt idx="279">
                  <c:v>-8.010191983022839</c:v>
                </c:pt>
                <c:pt idx="280">
                  <c:v>8.1092100268393335</c:v>
                </c:pt>
                <c:pt idx="281">
                  <c:v>14.53943388852176</c:v>
                </c:pt>
                <c:pt idx="282">
                  <c:v>-2.9892484403425037</c:v>
                </c:pt>
                <c:pt idx="283">
                  <c:v>-16.867549003883269</c:v>
                </c:pt>
                <c:pt idx="284">
                  <c:v>-30.722224121405112</c:v>
                </c:pt>
                <c:pt idx="285">
                  <c:v>-34.798322110757084</c:v>
                </c:pt>
                <c:pt idx="286">
                  <c:v>-20.499755995563063</c:v>
                </c:pt>
                <c:pt idx="287">
                  <c:v>-13.638416760894327</c:v>
                </c:pt>
                <c:pt idx="288">
                  <c:v>-14.142223515252244</c:v>
                </c:pt>
                <c:pt idx="289">
                  <c:v>-18.931759683057479</c:v>
                </c:pt>
                <c:pt idx="290">
                  <c:v>-22.794393757230001</c:v>
                </c:pt>
                <c:pt idx="291">
                  <c:v>-20.863711219120692</c:v>
                </c:pt>
                <c:pt idx="292">
                  <c:v>-15.67156602616083</c:v>
                </c:pt>
                <c:pt idx="293">
                  <c:v>-15.034576005802791</c:v>
                </c:pt>
                <c:pt idx="294">
                  <c:v>-5.0961337228594434</c:v>
                </c:pt>
                <c:pt idx="295">
                  <c:v>12.002981835365841</c:v>
                </c:pt>
                <c:pt idx="296">
                  <c:v>30.29080119578358</c:v>
                </c:pt>
                <c:pt idx="297">
                  <c:v>39.770681670467155</c:v>
                </c:pt>
                <c:pt idx="298">
                  <c:v>25.445693243529217</c:v>
                </c:pt>
                <c:pt idx="299">
                  <c:v>20.060866947268543</c:v>
                </c:pt>
                <c:pt idx="300">
                  <c:v>21.162675871819296</c:v>
                </c:pt>
                <c:pt idx="301">
                  <c:v>28.962550062897911</c:v>
                </c:pt>
                <c:pt idx="302">
                  <c:v>47.166533467597951</c:v>
                </c:pt>
                <c:pt idx="303">
                  <c:v>54.174317196675524</c:v>
                </c:pt>
                <c:pt idx="304">
                  <c:v>36.454382271393015</c:v>
                </c:pt>
                <c:pt idx="305">
                  <c:v>39.742682730744392</c:v>
                </c:pt>
                <c:pt idx="306">
                  <c:v>46.384806372543501</c:v>
                </c:pt>
                <c:pt idx="307">
                  <c:v>57.99491973567801</c:v>
                </c:pt>
                <c:pt idx="308">
                  <c:v>83.651616609669105</c:v>
                </c:pt>
                <c:pt idx="309">
                  <c:v>86.24445250831198</c:v>
                </c:pt>
                <c:pt idx="310">
                  <c:v>92.469368477911544</c:v>
                </c:pt>
                <c:pt idx="311">
                  <c:v>91.255367705138738</c:v>
                </c:pt>
                <c:pt idx="312">
                  <c:v>70.883760659676668</c:v>
                </c:pt>
                <c:pt idx="313">
                  <c:v>74.199647951392734</c:v>
                </c:pt>
                <c:pt idx="314">
                  <c:v>54.433973069678828</c:v>
                </c:pt>
                <c:pt idx="315">
                  <c:v>50.167116503710787</c:v>
                </c:pt>
                <c:pt idx="316">
                  <c:v>40.302884762326777</c:v>
                </c:pt>
                <c:pt idx="317">
                  <c:v>30.501122235119006</c:v>
                </c:pt>
                <c:pt idx="318">
                  <c:v>14.195282771600176</c:v>
                </c:pt>
                <c:pt idx="319">
                  <c:v>-5.9999068370502746</c:v>
                </c:pt>
                <c:pt idx="320">
                  <c:v>-20.020946732933982</c:v>
                </c:pt>
                <c:pt idx="321">
                  <c:v>-27.655828477361698</c:v>
                </c:pt>
                <c:pt idx="322">
                  <c:v>-32.668664192143936</c:v>
                </c:pt>
                <c:pt idx="323">
                  <c:v>-33.856211977840083</c:v>
                </c:pt>
                <c:pt idx="324">
                  <c:v>-16.104509259573067</c:v>
                </c:pt>
                <c:pt idx="325">
                  <c:v>-12.736939742925198</c:v>
                </c:pt>
                <c:pt idx="326">
                  <c:v>-11.177244476244232</c:v>
                </c:pt>
                <c:pt idx="327">
                  <c:v>-18.424129325304602</c:v>
                </c:pt>
                <c:pt idx="328">
                  <c:v>-13.032765543559124</c:v>
                </c:pt>
                <c:pt idx="329">
                  <c:v>-12.145642756632673</c:v>
                </c:pt>
                <c:pt idx="330">
                  <c:v>-3.5223465729833836</c:v>
                </c:pt>
                <c:pt idx="331">
                  <c:v>-0.13631690185352005</c:v>
                </c:pt>
                <c:pt idx="332">
                  <c:v>4.1685887132454793</c:v>
                </c:pt>
              </c:numCache>
            </c:numRef>
          </c:val>
          <c:smooth val="0"/>
          <c:extLst>
            <c:ext xmlns:c16="http://schemas.microsoft.com/office/drawing/2014/chart" uri="{C3380CC4-5D6E-409C-BE32-E72D297353CC}">
              <c16:uniqueId val="{00000002-A6EB-4142-BDCF-80EBCBEFB0EC}"/>
            </c:ext>
          </c:extLst>
        </c:ser>
        <c:dLbls>
          <c:showLegendKey val="0"/>
          <c:showVal val="0"/>
          <c:showCatName val="0"/>
          <c:showSerName val="0"/>
          <c:showPercent val="0"/>
          <c:showBubbleSize val="0"/>
        </c:dLbls>
        <c:marker val="1"/>
        <c:smooth val="0"/>
        <c:axId val="1771967264"/>
        <c:axId val="1771965344"/>
      </c:lineChart>
      <c:dateAx>
        <c:axId val="1719610944"/>
        <c:scaling>
          <c:orientation val="minMax"/>
        </c:scaling>
        <c:delete val="0"/>
        <c:axPos val="b"/>
        <c:numFmt formatCode="mmm\-yy"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19608544"/>
        <c:crosses val="autoZero"/>
        <c:auto val="1"/>
        <c:lblOffset val="100"/>
        <c:baseTimeUnit val="months"/>
        <c:majorUnit val="10"/>
        <c:majorTimeUnit val="months"/>
        <c:minorUnit val="5"/>
        <c:minorTimeUnit val="months"/>
      </c:dateAx>
      <c:valAx>
        <c:axId val="171960854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PH">
                    <a:solidFill>
                      <a:schemeClr val="tx1"/>
                    </a:solidFill>
                  </a:rPr>
                  <a:t>Overall inflation and rice inflation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19610944"/>
        <c:crosses val="autoZero"/>
        <c:crossBetween val="between"/>
      </c:valAx>
      <c:valAx>
        <c:axId val="177196534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PH" sz="1000">
                    <a:solidFill>
                      <a:schemeClr val="tx1"/>
                    </a:solidFill>
                  </a:rPr>
                  <a:t>Diesel</a:t>
                </a:r>
                <a:r>
                  <a:rPr lang="en-PH" sz="1000" baseline="0">
                    <a:solidFill>
                      <a:schemeClr val="tx1"/>
                    </a:solidFill>
                  </a:rPr>
                  <a:t> inflation </a:t>
                </a:r>
                <a:r>
                  <a:rPr lang="en-PH" sz="1000" b="0" i="0" u="none" strike="noStrike" kern="1200" baseline="0">
                    <a:solidFill>
                      <a:schemeClr val="tx1"/>
                    </a:solidFill>
                  </a:rPr>
                  <a:t>(%)</a:t>
                </a:r>
                <a:endParaRPr lang="en-PH" sz="1000">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PH"/>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71967264"/>
        <c:crosses val="max"/>
        <c:crossBetween val="between"/>
      </c:valAx>
      <c:dateAx>
        <c:axId val="1771967264"/>
        <c:scaling>
          <c:orientation val="minMax"/>
        </c:scaling>
        <c:delete val="1"/>
        <c:axPos val="b"/>
        <c:numFmt formatCode="mmm\-yy" sourceLinked="1"/>
        <c:majorTickMark val="out"/>
        <c:minorTickMark val="none"/>
        <c:tickLblPos val="nextTo"/>
        <c:crossAx val="1771965344"/>
        <c:crosses val="autoZero"/>
        <c:auto val="1"/>
        <c:lblOffset val="100"/>
        <c:baseTimeUnit val="months"/>
      </c:dateAx>
      <c:spPr>
        <a:noFill/>
        <a:ln>
          <a:solidFill>
            <a:schemeClr val="bg1">
              <a:lumMod val="65000"/>
            </a:schemeClr>
          </a:solid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43CD-136B-4D68-B622-2947198A3328}">
  <ds:schemaRefs>
    <ds:schemaRef ds:uri="http://schemas.openxmlformats.org/officeDocument/2006/bibliography"/>
  </ds:schemaRefs>
</ds:datastoreItem>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Normal</Template>
  <TotalTime>37</TotalTime>
  <Pages>32</Pages>
  <Words>11961</Words>
  <Characters>68181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Minard</dc:creator>
  <cp:keywords/>
  <dc:description/>
  <cp:lastModifiedBy>Geua Boe-Gibson</cp:lastModifiedBy>
  <cp:revision>14</cp:revision>
  <cp:lastPrinted>2025-05-13T02:25:00Z</cp:lastPrinted>
  <dcterms:created xsi:type="dcterms:W3CDTF">2025-05-13T02:18:00Z</dcterms:created>
  <dcterms:modified xsi:type="dcterms:W3CDTF">2025-05-13T02:59:00Z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3,6,8</vt:lpwstr>
  </property>
  <property fmtid="{D5CDD505-2E9C-101B-9397-08002B2CF9AE}" pid="3" name="ClassificationContentMarkingFooterFontProps">
    <vt:lpwstr>#000000,11,Calibri</vt:lpwstr>
  </property>
  <property fmtid="{D5CDD505-2E9C-101B-9397-08002B2CF9AE}" pid="4" name="ClassificationContentMarkingFooterText">
    <vt:lpwstr>Classification: GENERAL</vt:lpwstr>
  </property>
  <property fmtid="{D5CDD505-2E9C-101B-9397-08002B2CF9AE}" pid="5" name="MSIP_Label_d9a2f4c6-d10d-4c1c-82e1-7a921120c69a_Enabled">
    <vt:lpwstr>true</vt:lpwstr>
  </property>
  <property fmtid="{D5CDD505-2E9C-101B-9397-08002B2CF9AE}" pid="6" name="MSIP_Label_d9a2f4c6-d10d-4c1c-82e1-7a921120c69a_SetDate">
    <vt:lpwstr>2024-04-04T11:39:30Z</vt:lpwstr>
  </property>
  <property fmtid="{D5CDD505-2E9C-101B-9397-08002B2CF9AE}" pid="7" name="MSIP_Label_d9a2f4c6-d10d-4c1c-82e1-7a921120c69a_Method">
    <vt:lpwstr>Standard</vt:lpwstr>
  </property>
  <property fmtid="{D5CDD505-2E9C-101B-9397-08002B2CF9AE}" pid="8" name="MSIP_Label_d9a2f4c6-d10d-4c1c-82e1-7a921120c69a_Name">
    <vt:lpwstr>General - Anyone</vt:lpwstr>
  </property>
  <property fmtid="{D5CDD505-2E9C-101B-9397-08002B2CF9AE}" pid="9" name="MSIP_Label_d9a2f4c6-d10d-4c1c-82e1-7a921120c69a_SiteId">
    <vt:lpwstr>c6d1c7a1-4b0d-4c53-86ec-d6d1d8e5b97c</vt:lpwstr>
  </property>
  <property fmtid="{D5CDD505-2E9C-101B-9397-08002B2CF9AE}" pid="10" name="MSIP_Label_d9a2f4c6-d10d-4c1c-82e1-7a921120c69a_ActionId">
    <vt:lpwstr>5108c253-28f8-461e-8721-066b061b371d</vt:lpwstr>
  </property>
  <property fmtid="{D5CDD505-2E9C-101B-9397-08002B2CF9AE}" pid="11" name="MSIP_Label_d9a2f4c6-d10d-4c1c-82e1-7a921120c69a_ContentBits">
    <vt:lpwstr>2</vt:lpwstr>
  </property>
  <property fmtid="{D5CDD505-2E9C-101B-9397-08002B2CF9AE}" pid="12" name="GrammarlyDocumentId">
    <vt:lpwstr>038f4d1b0e1e9e166b9dc40da341965e13ae5e284a3e4df9624f653a4773a7d3</vt:lpwstr>
  </property>
</Properties>
</file>