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E7EFB" w14:textId="2DD49FE9" w:rsidR="00054500" w:rsidRDefault="00054500" w:rsidP="00054500">
      <w:pPr>
        <w:pStyle w:val="Default"/>
        <w:rPr>
          <w:b/>
          <w:bCs/>
          <w:sz w:val="28"/>
          <w:szCs w:val="28"/>
        </w:rPr>
      </w:pPr>
    </w:p>
    <w:p w14:paraId="43000212" w14:textId="77777777" w:rsidR="00054500" w:rsidRDefault="00054500" w:rsidP="00054500">
      <w:pPr>
        <w:pStyle w:val="Default"/>
        <w:jc w:val="center"/>
        <w:rPr>
          <w:b/>
          <w:bCs/>
          <w:sz w:val="28"/>
          <w:szCs w:val="28"/>
        </w:rPr>
      </w:pPr>
    </w:p>
    <w:p w14:paraId="725C568F" w14:textId="77777777" w:rsidR="00054500" w:rsidRDefault="00054500" w:rsidP="00054500">
      <w:pPr>
        <w:pStyle w:val="Default"/>
        <w:jc w:val="center"/>
        <w:rPr>
          <w:b/>
          <w:bCs/>
          <w:sz w:val="28"/>
          <w:szCs w:val="28"/>
        </w:rPr>
      </w:pPr>
    </w:p>
    <w:p w14:paraId="5B71ACF9" w14:textId="77777777" w:rsidR="00054500" w:rsidRPr="00AB6BA7" w:rsidRDefault="00054500" w:rsidP="00054500">
      <w:pPr>
        <w:pStyle w:val="Default"/>
        <w:jc w:val="center"/>
        <w:rPr>
          <w:rFonts w:ascii="Times New Roman" w:hAnsi="Times New Roman" w:cs="Times New Roman"/>
          <w:b/>
          <w:bCs/>
          <w:sz w:val="28"/>
          <w:szCs w:val="28"/>
        </w:rPr>
      </w:pPr>
      <w:r w:rsidRPr="00AB6BA7">
        <w:rPr>
          <w:rFonts w:ascii="Times New Roman" w:hAnsi="Times New Roman" w:cs="Times New Roman"/>
          <w:b/>
          <w:bCs/>
          <w:sz w:val="28"/>
          <w:szCs w:val="28"/>
        </w:rPr>
        <w:t>UNIVERSITY OF WAIKATO</w:t>
      </w:r>
    </w:p>
    <w:p w14:paraId="3305C491" w14:textId="77777777" w:rsidR="00054500" w:rsidRPr="00AB6BA7" w:rsidRDefault="00054500" w:rsidP="00054500">
      <w:pPr>
        <w:pStyle w:val="Default"/>
        <w:jc w:val="center"/>
        <w:rPr>
          <w:rFonts w:ascii="Times New Roman" w:hAnsi="Times New Roman" w:cs="Times New Roman"/>
          <w:b/>
          <w:bCs/>
          <w:sz w:val="28"/>
          <w:szCs w:val="28"/>
        </w:rPr>
      </w:pPr>
      <w:r w:rsidRPr="00AB6BA7">
        <w:rPr>
          <w:rFonts w:ascii="Times New Roman" w:hAnsi="Times New Roman" w:cs="Times New Roman"/>
          <w:b/>
          <w:bCs/>
          <w:sz w:val="28"/>
          <w:szCs w:val="28"/>
        </w:rPr>
        <w:br/>
        <w:t>Hamilton</w:t>
      </w:r>
    </w:p>
    <w:p w14:paraId="7F52CF08" w14:textId="77777777" w:rsidR="00054500" w:rsidRDefault="00054500" w:rsidP="00054500">
      <w:pPr>
        <w:pStyle w:val="CM1"/>
        <w:spacing w:line="240" w:lineRule="auto"/>
        <w:jc w:val="center"/>
        <w:rPr>
          <w:b/>
          <w:bCs/>
          <w:sz w:val="28"/>
          <w:szCs w:val="28"/>
        </w:rPr>
      </w:pPr>
      <w:r>
        <w:rPr>
          <w:b/>
          <w:bCs/>
          <w:sz w:val="28"/>
          <w:szCs w:val="28"/>
        </w:rPr>
        <w:t xml:space="preserve">New Zealand </w:t>
      </w:r>
    </w:p>
    <w:p w14:paraId="26DD5660" w14:textId="77777777" w:rsidR="00054500" w:rsidRDefault="00054500" w:rsidP="00054500">
      <w:pPr>
        <w:pStyle w:val="Default"/>
      </w:pPr>
    </w:p>
    <w:p w14:paraId="14476D14" w14:textId="77777777" w:rsidR="00054500" w:rsidRDefault="00054500" w:rsidP="00054500">
      <w:pPr>
        <w:pStyle w:val="Default"/>
      </w:pPr>
    </w:p>
    <w:p w14:paraId="133067B1" w14:textId="77777777" w:rsidR="00054500" w:rsidRDefault="00054500" w:rsidP="00054500">
      <w:pPr>
        <w:pStyle w:val="Default"/>
      </w:pPr>
    </w:p>
    <w:p w14:paraId="74059445" w14:textId="66BFB7DD" w:rsidR="00054500" w:rsidRPr="00780B84" w:rsidRDefault="00FF6536" w:rsidP="00AC574E">
      <w:pPr>
        <w:pStyle w:val="Title"/>
        <w:pBdr>
          <w:top w:val="thinThickSmallGap" w:sz="24" w:space="0" w:color="auto"/>
          <w:left w:val="thinThickSmallGap" w:sz="24" w:space="4" w:color="auto"/>
          <w:bottom w:val="thinThickSmallGap" w:sz="24" w:space="1" w:color="auto"/>
          <w:right w:val="thinThickSmallGap" w:sz="24" w:space="4" w:color="auto"/>
        </w:pBdr>
        <w:spacing w:line="360" w:lineRule="auto"/>
        <w:jc w:val="center"/>
        <w:rPr>
          <w:rFonts w:ascii="Times New Roman" w:hAnsi="Times New Roman"/>
          <w:b/>
          <w:bCs/>
          <w:sz w:val="32"/>
          <w:szCs w:val="32"/>
        </w:rPr>
      </w:pPr>
      <w:r>
        <w:rPr>
          <w:rFonts w:ascii="Times New Roman" w:hAnsi="Times New Roman"/>
          <w:b/>
          <w:bCs/>
          <w:sz w:val="28"/>
          <w:szCs w:val="28"/>
        </w:rPr>
        <w:br/>
      </w:r>
      <w:r w:rsidR="000120AE" w:rsidRPr="00780B84">
        <w:rPr>
          <w:rFonts w:ascii="Times New Roman" w:hAnsi="Times New Roman"/>
          <w:b/>
          <w:bCs/>
          <w:sz w:val="32"/>
          <w:szCs w:val="32"/>
        </w:rPr>
        <w:t xml:space="preserve">A New Way of Measuring Urban Expansion and Contraction in </w:t>
      </w:r>
      <w:r w:rsidR="00780B84" w:rsidRPr="00780B84">
        <w:rPr>
          <w:rFonts w:ascii="Times New Roman" w:hAnsi="Times New Roman"/>
          <w:b/>
          <w:bCs/>
          <w:sz w:val="32"/>
          <w:szCs w:val="32"/>
        </w:rPr>
        <w:br/>
      </w:r>
      <w:r w:rsidR="000120AE" w:rsidRPr="00780B84">
        <w:rPr>
          <w:rFonts w:ascii="Times New Roman" w:hAnsi="Times New Roman"/>
          <w:b/>
          <w:bCs/>
          <w:sz w:val="32"/>
          <w:szCs w:val="32"/>
        </w:rPr>
        <w:t>New</w:t>
      </w:r>
      <w:r w:rsidR="00AC574E" w:rsidRPr="00780B84">
        <w:rPr>
          <w:rFonts w:ascii="Times New Roman" w:hAnsi="Times New Roman"/>
          <w:b/>
          <w:bCs/>
          <w:sz w:val="32"/>
          <w:szCs w:val="32"/>
        </w:rPr>
        <w:t xml:space="preserve"> Zealand Towns and Cities, 1993-2021</w:t>
      </w:r>
      <w:r w:rsidRPr="00780B84">
        <w:rPr>
          <w:rFonts w:ascii="Times New Roman" w:hAnsi="Times New Roman"/>
          <w:b/>
          <w:bCs/>
          <w:sz w:val="32"/>
          <w:szCs w:val="32"/>
        </w:rPr>
        <w:br/>
      </w:r>
    </w:p>
    <w:p w14:paraId="08556387" w14:textId="63DD6A5A" w:rsidR="00054500" w:rsidRDefault="00054500" w:rsidP="00AC574E">
      <w:pPr>
        <w:pStyle w:val="Title"/>
        <w:pBdr>
          <w:top w:val="thinThickSmallGap" w:sz="24" w:space="0" w:color="auto"/>
          <w:left w:val="thinThickSmallGap" w:sz="24" w:space="4" w:color="auto"/>
          <w:bottom w:val="thinThickSmallGap" w:sz="24" w:space="1" w:color="auto"/>
          <w:right w:val="thinThickSmallGap" w:sz="24" w:space="4" w:color="auto"/>
        </w:pBdr>
        <w:spacing w:before="360"/>
        <w:jc w:val="center"/>
        <w:rPr>
          <w:rFonts w:ascii="Times New Roman" w:hAnsi="Times New Roman"/>
          <w:b/>
          <w:sz w:val="28"/>
          <w:szCs w:val="28"/>
        </w:rPr>
      </w:pPr>
      <w:r>
        <w:rPr>
          <w:rFonts w:ascii="Times New Roman" w:hAnsi="Times New Roman"/>
          <w:sz w:val="28"/>
          <w:szCs w:val="28"/>
        </w:rPr>
        <w:t>John Gibson, Geua Boe-Gibson and Frank Scrimgeour</w:t>
      </w:r>
    </w:p>
    <w:p w14:paraId="4ED7F7E0" w14:textId="77777777" w:rsidR="00054500" w:rsidRPr="00821B2F" w:rsidRDefault="00054500" w:rsidP="00054500">
      <w:pPr>
        <w:pStyle w:val="Title"/>
        <w:pBdr>
          <w:top w:val="thinThickSmallGap" w:sz="24" w:space="0" w:color="auto"/>
          <w:left w:val="thinThickSmallGap" w:sz="24" w:space="4" w:color="auto"/>
          <w:bottom w:val="thinThickSmallGap" w:sz="24" w:space="1" w:color="auto"/>
          <w:right w:val="thinThickSmallGap" w:sz="24" w:space="4" w:color="auto"/>
        </w:pBdr>
        <w:rPr>
          <w:rFonts w:ascii="Times New Roman" w:hAnsi="Times New Roman"/>
          <w:sz w:val="8"/>
          <w:szCs w:val="8"/>
        </w:rPr>
      </w:pPr>
    </w:p>
    <w:p w14:paraId="4E4D314E" w14:textId="77777777" w:rsidR="00054500" w:rsidRDefault="00054500" w:rsidP="00054500">
      <w:pPr>
        <w:pStyle w:val="Default"/>
      </w:pPr>
    </w:p>
    <w:p w14:paraId="02694A84" w14:textId="77777777" w:rsidR="00054500" w:rsidRDefault="00054500" w:rsidP="00054500">
      <w:pPr>
        <w:pStyle w:val="CM20"/>
        <w:spacing w:after="0"/>
        <w:jc w:val="center"/>
        <w:rPr>
          <w:i/>
          <w:iCs/>
        </w:rPr>
      </w:pPr>
    </w:p>
    <w:p w14:paraId="1C5C60E1" w14:textId="77777777" w:rsidR="00054500" w:rsidRDefault="00054500" w:rsidP="00054500">
      <w:pPr>
        <w:pStyle w:val="Default"/>
        <w:rPr>
          <w:color w:val="auto"/>
        </w:rPr>
      </w:pPr>
    </w:p>
    <w:p w14:paraId="1EFD50B0" w14:textId="3875BC18" w:rsidR="00054500" w:rsidRDefault="00054500" w:rsidP="00054500">
      <w:pPr>
        <w:pStyle w:val="CM22"/>
        <w:spacing w:after="0"/>
        <w:jc w:val="center"/>
        <w:rPr>
          <w:b/>
          <w:bCs/>
          <w:sz w:val="28"/>
          <w:szCs w:val="28"/>
        </w:rPr>
      </w:pPr>
      <w:r>
        <w:rPr>
          <w:b/>
          <w:bCs/>
          <w:sz w:val="28"/>
          <w:szCs w:val="28"/>
        </w:rPr>
        <w:t xml:space="preserve">Working Paper in Economics </w:t>
      </w:r>
      <w:r w:rsidR="00B607CE">
        <w:rPr>
          <w:b/>
          <w:bCs/>
          <w:sz w:val="28"/>
          <w:szCs w:val="28"/>
        </w:rPr>
        <w:t>4</w:t>
      </w:r>
      <w:r>
        <w:rPr>
          <w:b/>
          <w:bCs/>
          <w:sz w:val="28"/>
          <w:szCs w:val="28"/>
        </w:rPr>
        <w:t>/2</w:t>
      </w:r>
      <w:r w:rsidR="00B607CE">
        <w:rPr>
          <w:b/>
          <w:bCs/>
          <w:sz w:val="28"/>
          <w:szCs w:val="28"/>
        </w:rPr>
        <w:t>6</w:t>
      </w:r>
    </w:p>
    <w:p w14:paraId="770D3C36" w14:textId="77777777" w:rsidR="00054500" w:rsidRDefault="00054500" w:rsidP="00054500">
      <w:pPr>
        <w:pStyle w:val="CM22"/>
        <w:spacing w:after="0"/>
        <w:jc w:val="center"/>
        <w:rPr>
          <w:sz w:val="28"/>
          <w:szCs w:val="28"/>
        </w:rPr>
      </w:pPr>
      <w:r>
        <w:rPr>
          <w:b/>
          <w:bCs/>
          <w:sz w:val="28"/>
          <w:szCs w:val="28"/>
        </w:rPr>
        <w:t xml:space="preserve"> </w:t>
      </w:r>
    </w:p>
    <w:p w14:paraId="51CBE05F" w14:textId="559A0C59" w:rsidR="00054500" w:rsidRDefault="00B607CE" w:rsidP="00054500">
      <w:pPr>
        <w:pStyle w:val="CM3"/>
        <w:jc w:val="center"/>
        <w:rPr>
          <w:sz w:val="28"/>
          <w:szCs w:val="28"/>
        </w:rPr>
      </w:pPr>
      <w:r>
        <w:rPr>
          <w:sz w:val="28"/>
          <w:szCs w:val="28"/>
        </w:rPr>
        <w:t>Ju</w:t>
      </w:r>
      <w:r w:rsidR="00D353B3">
        <w:rPr>
          <w:sz w:val="28"/>
          <w:szCs w:val="28"/>
        </w:rPr>
        <w:t>ly</w:t>
      </w:r>
      <w:r w:rsidR="00054500">
        <w:rPr>
          <w:sz w:val="28"/>
          <w:szCs w:val="28"/>
        </w:rPr>
        <w:t xml:space="preserve"> 202</w:t>
      </w:r>
      <w:r>
        <w:rPr>
          <w:sz w:val="28"/>
          <w:szCs w:val="28"/>
        </w:rPr>
        <w:t>6</w:t>
      </w:r>
      <w:r w:rsidR="00ED7A9F">
        <w:rPr>
          <w:sz w:val="28"/>
          <w:szCs w:val="28"/>
        </w:rPr>
        <w:br/>
      </w:r>
    </w:p>
    <w:p w14:paraId="156B86FD" w14:textId="77777777" w:rsidR="00054500" w:rsidRDefault="00054500" w:rsidP="00054500">
      <w:pPr>
        <w:pStyle w:val="CM4"/>
        <w:spacing w:line="240" w:lineRule="auto"/>
        <w:jc w:val="center"/>
        <w:rPr>
          <w:b/>
          <w:bCs/>
          <w:sz w:val="22"/>
          <w:szCs w:val="22"/>
        </w:rPr>
      </w:pPr>
    </w:p>
    <w:p w14:paraId="59264FA8" w14:textId="77777777" w:rsidR="00054500" w:rsidRPr="0076045F" w:rsidRDefault="00054500" w:rsidP="00054500">
      <w:pPr>
        <w:pStyle w:val="CM4"/>
        <w:spacing w:line="240" w:lineRule="auto"/>
        <w:jc w:val="center"/>
        <w:rPr>
          <w:bCs/>
          <w:i/>
        </w:rPr>
      </w:pPr>
      <w:r w:rsidRPr="0076045F">
        <w:rPr>
          <w:bCs/>
          <w:i/>
        </w:rPr>
        <w:t>Corresponding Author</w:t>
      </w:r>
    </w:p>
    <w:p w14:paraId="2DCABF44" w14:textId="77777777" w:rsidR="00054500" w:rsidRPr="005B2FFB" w:rsidRDefault="00054500" w:rsidP="00054500">
      <w:pPr>
        <w:pStyle w:val="CM4"/>
        <w:spacing w:line="240" w:lineRule="auto"/>
        <w:jc w:val="center"/>
        <w:rPr>
          <w:b/>
          <w:bCs/>
          <w:sz w:val="12"/>
          <w:szCs w:val="12"/>
        </w:rPr>
      </w:pPr>
    </w:p>
    <w:p w14:paraId="5618685F" w14:textId="77777777" w:rsidR="00054500" w:rsidRPr="0076045F" w:rsidRDefault="00054500" w:rsidP="00054500">
      <w:pPr>
        <w:pStyle w:val="CM4"/>
        <w:spacing w:before="60" w:line="240" w:lineRule="auto"/>
        <w:jc w:val="center"/>
      </w:pPr>
      <w:r w:rsidRPr="0076045F">
        <w:rPr>
          <w:b/>
          <w:bCs/>
        </w:rPr>
        <w:t>John Gibson</w:t>
      </w:r>
    </w:p>
    <w:p w14:paraId="16E56376" w14:textId="77777777" w:rsidR="00183CF8" w:rsidRDefault="00183CF8" w:rsidP="00054500">
      <w:pPr>
        <w:pStyle w:val="CM23"/>
        <w:spacing w:after="0"/>
        <w:jc w:val="center"/>
      </w:pPr>
    </w:p>
    <w:p w14:paraId="309CA38E" w14:textId="09CF9044" w:rsidR="00054500" w:rsidRPr="0076045F" w:rsidRDefault="00963874" w:rsidP="00054500">
      <w:pPr>
        <w:pStyle w:val="CM23"/>
        <w:spacing w:after="0"/>
        <w:jc w:val="center"/>
      </w:pPr>
      <w:r>
        <w:t xml:space="preserve">Department of </w:t>
      </w:r>
      <w:r w:rsidR="00054500" w:rsidRPr="0076045F">
        <w:t>Economics</w:t>
      </w:r>
      <w:r w:rsidR="00244D19">
        <w:br/>
        <w:t>Waikato Management School</w:t>
      </w:r>
    </w:p>
    <w:p w14:paraId="043B5954" w14:textId="77777777" w:rsidR="00054500" w:rsidRPr="0076045F" w:rsidRDefault="00054500" w:rsidP="00054500">
      <w:pPr>
        <w:pStyle w:val="CM23"/>
        <w:spacing w:after="0"/>
        <w:jc w:val="center"/>
      </w:pPr>
      <w:r w:rsidRPr="0076045F">
        <w:t>University of Waikato</w:t>
      </w:r>
    </w:p>
    <w:p w14:paraId="73DEA937" w14:textId="77777777" w:rsidR="00054500" w:rsidRPr="0076045F" w:rsidRDefault="00054500" w:rsidP="00054500">
      <w:pPr>
        <w:pStyle w:val="CM23"/>
        <w:spacing w:after="0"/>
        <w:jc w:val="center"/>
      </w:pPr>
      <w:r w:rsidRPr="0076045F">
        <w:t>Private Bag 3105</w:t>
      </w:r>
    </w:p>
    <w:p w14:paraId="400EA64B" w14:textId="77777777" w:rsidR="00054500" w:rsidRPr="009808B2" w:rsidRDefault="00054500" w:rsidP="00054500">
      <w:pPr>
        <w:pStyle w:val="CM23"/>
        <w:spacing w:after="0"/>
        <w:jc w:val="center"/>
        <w:rPr>
          <w:rFonts w:asciiTheme="majorBidi" w:hAnsiTheme="majorBidi" w:cstheme="majorBidi"/>
        </w:rPr>
      </w:pPr>
      <w:r w:rsidRPr="009808B2">
        <w:rPr>
          <w:rFonts w:asciiTheme="majorBidi" w:hAnsiTheme="majorBidi" w:cstheme="majorBidi"/>
        </w:rPr>
        <w:t>Hamilton, 3240</w:t>
      </w:r>
    </w:p>
    <w:p w14:paraId="0D0E5E7F" w14:textId="77777777" w:rsidR="00054500" w:rsidRPr="009808B2" w:rsidRDefault="00054500" w:rsidP="00054500">
      <w:pPr>
        <w:pStyle w:val="CM23"/>
        <w:spacing w:after="0"/>
        <w:jc w:val="center"/>
        <w:rPr>
          <w:rFonts w:asciiTheme="majorBidi" w:hAnsiTheme="majorBidi" w:cstheme="majorBidi"/>
        </w:rPr>
      </w:pPr>
      <w:r w:rsidRPr="009808B2">
        <w:rPr>
          <w:rFonts w:asciiTheme="majorBidi" w:hAnsiTheme="majorBidi" w:cstheme="majorBidi"/>
        </w:rPr>
        <w:t xml:space="preserve">New Zealand </w:t>
      </w:r>
    </w:p>
    <w:p w14:paraId="7B4BDA0B" w14:textId="77777777" w:rsidR="00054500" w:rsidRPr="009808B2" w:rsidRDefault="00054500" w:rsidP="00054500">
      <w:pPr>
        <w:pStyle w:val="Default"/>
        <w:rPr>
          <w:rFonts w:asciiTheme="majorBidi" w:hAnsiTheme="majorBidi" w:cstheme="majorBidi"/>
          <w:sz w:val="12"/>
          <w:szCs w:val="12"/>
        </w:rPr>
      </w:pPr>
    </w:p>
    <w:p w14:paraId="27F8C2C5" w14:textId="77777777" w:rsidR="00054500" w:rsidRPr="009808B2" w:rsidRDefault="00054500" w:rsidP="00054500">
      <w:pPr>
        <w:pStyle w:val="Default"/>
        <w:jc w:val="center"/>
        <w:rPr>
          <w:rFonts w:asciiTheme="majorBidi" w:hAnsiTheme="majorBidi" w:cstheme="majorBidi"/>
        </w:rPr>
      </w:pPr>
      <w:r w:rsidRPr="009808B2">
        <w:rPr>
          <w:rFonts w:asciiTheme="majorBidi" w:hAnsiTheme="majorBidi" w:cstheme="majorBidi"/>
        </w:rPr>
        <w:t>Tel: +64 (7) 838 4289</w:t>
      </w:r>
    </w:p>
    <w:p w14:paraId="0D54D344" w14:textId="77777777" w:rsidR="00054500" w:rsidRPr="009808B2" w:rsidRDefault="00054500" w:rsidP="00054500">
      <w:pPr>
        <w:pStyle w:val="CM3"/>
        <w:jc w:val="center"/>
        <w:rPr>
          <w:rFonts w:asciiTheme="majorBidi" w:hAnsiTheme="majorBidi" w:cstheme="majorBidi"/>
          <w:bCs/>
        </w:rPr>
      </w:pPr>
      <w:r w:rsidRPr="009808B2">
        <w:rPr>
          <w:rFonts w:asciiTheme="majorBidi" w:hAnsiTheme="majorBidi" w:cstheme="majorBidi"/>
          <w:bCs/>
        </w:rPr>
        <w:t xml:space="preserve">Email: </w:t>
      </w:r>
      <w:hyperlink r:id="rId7" w:history="1">
        <w:r w:rsidRPr="009808B2">
          <w:rPr>
            <w:rStyle w:val="Hyperlink"/>
            <w:rFonts w:asciiTheme="majorBidi" w:hAnsiTheme="majorBidi" w:cstheme="majorBidi"/>
            <w:bCs/>
          </w:rPr>
          <w:t>jkgibson@waikato.ac.nz</w:t>
        </w:r>
      </w:hyperlink>
    </w:p>
    <w:p w14:paraId="0A398710" w14:textId="77777777" w:rsidR="00054500" w:rsidRDefault="00054500" w:rsidP="00054500">
      <w:pPr>
        <w:pStyle w:val="CM23"/>
        <w:spacing w:after="0"/>
        <w:jc w:val="center"/>
      </w:pPr>
    </w:p>
    <w:p w14:paraId="5BFF1C7F" w14:textId="77777777" w:rsidR="00054500" w:rsidRDefault="00054500" w:rsidP="00054500">
      <w:pPr>
        <w:pStyle w:val="CM23"/>
        <w:spacing w:after="0"/>
        <w:jc w:val="center"/>
      </w:pPr>
    </w:p>
    <w:p w14:paraId="64F50A01" w14:textId="77777777" w:rsidR="00054500" w:rsidRPr="007E0496" w:rsidRDefault="00054500" w:rsidP="00054500">
      <w:pPr>
        <w:pStyle w:val="Default"/>
        <w:rPr>
          <w:lang w:val="en-US" w:eastAsia="en-US"/>
        </w:rPr>
      </w:pPr>
    </w:p>
    <w:p w14:paraId="278DA859" w14:textId="24B42D2D" w:rsidR="00054500" w:rsidRPr="00821B2F" w:rsidRDefault="0023118C" w:rsidP="00054500">
      <w:pPr>
        <w:pStyle w:val="CM23"/>
        <w:spacing w:after="0"/>
        <w:jc w:val="center"/>
        <w:rPr>
          <w:b/>
          <w:bCs/>
        </w:rPr>
      </w:pPr>
      <w:r w:rsidRPr="00821B2F">
        <w:rPr>
          <w:b/>
          <w:bCs/>
        </w:rPr>
        <w:t>Geua Boe-Gibson</w:t>
      </w:r>
      <w:r w:rsidR="00054500" w:rsidRPr="00821B2F">
        <w:rPr>
          <w:b/>
          <w:bCs/>
        </w:rPr>
        <w:t xml:space="preserve"> and </w:t>
      </w:r>
      <w:r>
        <w:rPr>
          <w:b/>
          <w:bCs/>
        </w:rPr>
        <w:t>Frank Scrimgeour</w:t>
      </w:r>
    </w:p>
    <w:p w14:paraId="6004C6A0" w14:textId="77777777" w:rsidR="00183CF8" w:rsidRDefault="00183CF8" w:rsidP="00054500">
      <w:pPr>
        <w:pStyle w:val="CM23"/>
        <w:spacing w:after="0"/>
        <w:jc w:val="center"/>
      </w:pPr>
    </w:p>
    <w:p w14:paraId="71F7B73E" w14:textId="71CF4103" w:rsidR="00054500" w:rsidRDefault="00963874" w:rsidP="00054500">
      <w:pPr>
        <w:pStyle w:val="CM23"/>
        <w:spacing w:after="0"/>
        <w:jc w:val="center"/>
      </w:pPr>
      <w:r>
        <w:t xml:space="preserve">Department of </w:t>
      </w:r>
      <w:r w:rsidR="0023118C">
        <w:t>Economics</w:t>
      </w:r>
      <w:r w:rsidR="00AE18ED">
        <w:br/>
        <w:t>Waikato Management School</w:t>
      </w:r>
    </w:p>
    <w:p w14:paraId="473DAEDF" w14:textId="77777777" w:rsidR="00054500" w:rsidRPr="00103F20" w:rsidRDefault="00054500" w:rsidP="00054500">
      <w:pPr>
        <w:jc w:val="center"/>
        <w:rPr>
          <w:rFonts w:ascii="Times New Roman" w:eastAsia="Times New Roman" w:hAnsi="Times New Roman" w:cs="Times New Roman"/>
          <w:snapToGrid w:val="0"/>
          <w:sz w:val="32"/>
          <w:szCs w:val="32"/>
          <w:lang w:val="en-AU"/>
        </w:rPr>
      </w:pPr>
      <w:r w:rsidRPr="00103F20">
        <w:rPr>
          <w:rFonts w:ascii="Times New Roman" w:hAnsi="Times New Roman" w:cs="Times New Roman"/>
          <w:lang w:val="en-US"/>
        </w:rPr>
        <w:t>University of Waikato</w:t>
      </w:r>
    </w:p>
    <w:p w14:paraId="2B02B269" w14:textId="246A89D7" w:rsidR="007E20FB" w:rsidRDefault="007E20FB">
      <w:pPr>
        <w:rPr>
          <w:rFonts w:asciiTheme="majorBidi" w:hAnsiTheme="majorBidi" w:cstheme="majorBidi"/>
          <w:color w:val="000000"/>
          <w:sz w:val="26"/>
          <w:szCs w:val="26"/>
          <w:shd w:val="clear" w:color="auto" w:fill="FFFFFF"/>
        </w:rPr>
      </w:pPr>
    </w:p>
    <w:p w14:paraId="15A7F8F6" w14:textId="77777777" w:rsidR="003E67FB" w:rsidRDefault="003E67FB" w:rsidP="003E67FB">
      <w:pPr>
        <w:jc w:val="center"/>
        <w:rPr>
          <w:rFonts w:asciiTheme="majorBidi" w:hAnsiTheme="majorBidi" w:cstheme="majorBidi"/>
          <w:color w:val="000000"/>
          <w:sz w:val="26"/>
          <w:szCs w:val="26"/>
          <w:shd w:val="clear" w:color="auto" w:fill="FFFFFF"/>
        </w:rPr>
      </w:pPr>
    </w:p>
    <w:p w14:paraId="70D60A5E" w14:textId="3D0EE158" w:rsidR="003E67FB" w:rsidRPr="004B580D" w:rsidRDefault="003E67FB" w:rsidP="00A07B69">
      <w:pPr>
        <w:spacing w:after="0"/>
        <w:jc w:val="center"/>
        <w:rPr>
          <w:rFonts w:asciiTheme="majorBidi" w:hAnsiTheme="majorBidi" w:cstheme="majorBidi"/>
          <w:b/>
          <w:bCs/>
          <w:color w:val="000000"/>
          <w:shd w:val="clear" w:color="auto" w:fill="FFFFFF"/>
        </w:rPr>
      </w:pPr>
      <w:r w:rsidRPr="004B580D">
        <w:rPr>
          <w:rFonts w:asciiTheme="majorBidi" w:hAnsiTheme="majorBidi" w:cstheme="majorBidi"/>
          <w:b/>
          <w:bCs/>
          <w:color w:val="000000"/>
          <w:shd w:val="clear" w:color="auto" w:fill="FFFFFF"/>
        </w:rPr>
        <w:t>Abstract</w:t>
      </w:r>
      <w:r w:rsidR="00A07B69">
        <w:rPr>
          <w:rFonts w:asciiTheme="majorBidi" w:hAnsiTheme="majorBidi" w:cstheme="majorBidi"/>
          <w:b/>
          <w:bCs/>
          <w:color w:val="000000"/>
          <w:shd w:val="clear" w:color="auto" w:fill="FFFFFF"/>
        </w:rPr>
        <w:br/>
      </w:r>
    </w:p>
    <w:p w14:paraId="5BC10AC1" w14:textId="19CBB36B" w:rsidR="00DF66EA" w:rsidRDefault="00035C09" w:rsidP="00322295">
      <w:pPr>
        <w:spacing w:line="360" w:lineRule="auto"/>
        <w:jc w:val="lowKashida"/>
        <w:rPr>
          <w:rFonts w:asciiTheme="majorBidi" w:hAnsiTheme="majorBidi" w:cstheme="majorBidi"/>
          <w:color w:val="000000"/>
          <w:shd w:val="clear" w:color="auto" w:fill="FFFFFF"/>
        </w:rPr>
      </w:pPr>
      <w:r w:rsidRPr="00035C09">
        <w:rPr>
          <w:rFonts w:asciiTheme="majorBidi" w:hAnsiTheme="majorBidi" w:cstheme="majorBidi"/>
          <w:color w:val="000000"/>
          <w:shd w:val="clear" w:color="auto" w:fill="FFFFFF"/>
        </w:rPr>
        <w:t xml:space="preserve">Concerns </w:t>
      </w:r>
      <w:r w:rsidR="00E75E29" w:rsidRPr="00E75E29">
        <w:rPr>
          <w:rFonts w:asciiTheme="majorBidi" w:hAnsiTheme="majorBidi" w:cstheme="majorBidi"/>
          <w:color w:val="000000"/>
          <w:shd w:val="clear" w:color="auto" w:fill="FFFFFF"/>
        </w:rPr>
        <w:t xml:space="preserve">about uneven regional development have focused attention on the long-run prospects of smaller towns in New Zealand. This paper examines changes in the physical extent of 133 New Zealand towns and cities between 1993 and 2021 using a reconstructed night-time lights dataset, exploiting the fact that urban areas emit light that can be observed from space. The reconstructed series combines the long temporal coverage of early satellite imagery with the spatial precision of modern sensors. </w:t>
      </w:r>
      <w:r w:rsidR="00E75E29">
        <w:rPr>
          <w:rFonts w:asciiTheme="majorBidi" w:hAnsiTheme="majorBidi" w:cstheme="majorBidi"/>
          <w:color w:val="000000"/>
          <w:shd w:val="clear" w:color="auto" w:fill="FFFFFF"/>
        </w:rPr>
        <w:t>A</w:t>
      </w:r>
      <w:r w:rsidR="00E75E29" w:rsidRPr="00E75E29">
        <w:rPr>
          <w:rFonts w:asciiTheme="majorBidi" w:hAnsiTheme="majorBidi" w:cstheme="majorBidi"/>
          <w:color w:val="000000"/>
          <w:shd w:val="clear" w:color="auto" w:fill="FFFFFF"/>
        </w:rPr>
        <w:t xml:space="preserve"> city-growing algorithm </w:t>
      </w:r>
      <w:r w:rsidR="00E75E29">
        <w:rPr>
          <w:rFonts w:asciiTheme="majorBidi" w:hAnsiTheme="majorBidi" w:cstheme="majorBidi"/>
          <w:color w:val="000000"/>
          <w:shd w:val="clear" w:color="auto" w:fill="FFFFFF"/>
        </w:rPr>
        <w:t xml:space="preserve">allows urban footprints to </w:t>
      </w:r>
      <w:r w:rsidR="00E75E29" w:rsidRPr="00E75E29">
        <w:rPr>
          <w:rFonts w:asciiTheme="majorBidi" w:hAnsiTheme="majorBidi" w:cstheme="majorBidi"/>
          <w:color w:val="000000"/>
          <w:shd w:val="clear" w:color="auto" w:fill="FFFFFF"/>
        </w:rPr>
        <w:t>evolve rather than remaining constrained by administrative definitions. The results reveal substantial heterogeneity in urban trajectories. Rapid expansion is concentrated in commuter towns surrounding major cities and amenity-oriented settlements, while some smaller towns experience contraction associated with economic restructuring and changing locational advantages. Regional divergence in New Zealand therefore appears increasingly characterised by differentiated urban trajectories rather than by uniform decline among smaller settlements.</w:t>
      </w:r>
    </w:p>
    <w:p w14:paraId="09580C78" w14:textId="77777777" w:rsidR="003E67FB" w:rsidRDefault="003E67FB" w:rsidP="003E67FB">
      <w:pPr>
        <w:widowControl w:val="0"/>
        <w:spacing w:line="288" w:lineRule="auto"/>
        <w:rPr>
          <w:rFonts w:asciiTheme="majorBidi" w:hAnsiTheme="majorBidi" w:cstheme="majorBidi"/>
          <w:lang w:val="en-US"/>
        </w:rPr>
      </w:pPr>
    </w:p>
    <w:p w14:paraId="4CBF73A3" w14:textId="3C9067A5" w:rsidR="003E67FB" w:rsidRPr="00CD01CE" w:rsidRDefault="003E67FB" w:rsidP="006F5214">
      <w:pPr>
        <w:ind w:right="-113"/>
        <w:jc w:val="center"/>
        <w:rPr>
          <w:rFonts w:asciiTheme="majorBidi" w:hAnsiTheme="majorBidi" w:cstheme="majorBidi"/>
          <w:color w:val="000000"/>
          <w:shd w:val="clear" w:color="auto" w:fill="FFFFFF"/>
        </w:rPr>
      </w:pPr>
      <w:r w:rsidRPr="00536634">
        <w:rPr>
          <w:rFonts w:asciiTheme="majorBidi" w:hAnsiTheme="majorBidi" w:cstheme="majorBidi"/>
          <w:b/>
          <w:bCs/>
          <w:color w:val="000000"/>
          <w:shd w:val="clear" w:color="auto" w:fill="FFFFFF"/>
        </w:rPr>
        <w:t>Keywords</w:t>
      </w:r>
      <w:r w:rsidR="006D0225">
        <w:rPr>
          <w:rFonts w:asciiTheme="majorBidi" w:hAnsiTheme="majorBidi" w:cstheme="majorBidi"/>
          <w:color w:val="000000"/>
          <w:shd w:val="clear" w:color="auto" w:fill="FFFFFF"/>
        </w:rPr>
        <w:br/>
      </w:r>
      <w:r w:rsidR="006F5214">
        <w:rPr>
          <w:rFonts w:asciiTheme="majorBidi" w:hAnsiTheme="majorBidi" w:cstheme="majorBidi"/>
          <w:color w:val="000000"/>
          <w:shd w:val="clear" w:color="auto" w:fill="FFFFFF"/>
        </w:rPr>
        <w:br/>
      </w:r>
      <w:r w:rsidR="00DF66EA" w:rsidRPr="00DF66EA">
        <w:rPr>
          <w:rFonts w:asciiTheme="majorBidi" w:hAnsiTheme="majorBidi" w:cstheme="majorBidi"/>
          <w:color w:val="000000"/>
          <w:shd w:val="clear" w:color="auto" w:fill="FFFFFF"/>
        </w:rPr>
        <w:t>Urban</w:t>
      </w:r>
      <w:r w:rsidR="00DF66EA">
        <w:rPr>
          <w:rFonts w:asciiTheme="majorBidi" w:hAnsiTheme="majorBidi" w:cstheme="majorBidi"/>
          <w:color w:val="000000"/>
          <w:shd w:val="clear" w:color="auto" w:fill="FFFFFF"/>
        </w:rPr>
        <w:t xml:space="preserve"> change</w:t>
      </w:r>
      <w:r w:rsidR="007254FD">
        <w:rPr>
          <w:rFonts w:asciiTheme="majorBidi" w:hAnsiTheme="majorBidi" w:cstheme="majorBidi"/>
          <w:color w:val="000000"/>
          <w:shd w:val="clear" w:color="auto" w:fill="FFFFFF"/>
        </w:rPr>
        <w:br/>
      </w:r>
      <w:r w:rsidR="00DF66EA" w:rsidRPr="00DF66EA">
        <w:rPr>
          <w:rFonts w:asciiTheme="majorBidi" w:hAnsiTheme="majorBidi" w:cstheme="majorBidi"/>
          <w:color w:val="000000"/>
          <w:shd w:val="clear" w:color="auto" w:fill="FFFFFF"/>
        </w:rPr>
        <w:t>Small towns</w:t>
      </w:r>
      <w:r w:rsidR="007254FD">
        <w:rPr>
          <w:rFonts w:asciiTheme="majorBidi" w:hAnsiTheme="majorBidi" w:cstheme="majorBidi"/>
          <w:color w:val="000000"/>
          <w:shd w:val="clear" w:color="auto" w:fill="FFFFFF"/>
        </w:rPr>
        <w:br/>
      </w:r>
      <w:r w:rsidR="00133EA1">
        <w:rPr>
          <w:rFonts w:asciiTheme="majorBidi" w:hAnsiTheme="majorBidi" w:cstheme="majorBidi"/>
          <w:color w:val="000000"/>
          <w:shd w:val="clear" w:color="auto" w:fill="FFFFFF"/>
        </w:rPr>
        <w:t>Regional divergence</w:t>
      </w:r>
      <w:r w:rsidR="007254FD">
        <w:rPr>
          <w:rFonts w:asciiTheme="majorBidi" w:hAnsiTheme="majorBidi" w:cstheme="majorBidi"/>
          <w:color w:val="000000"/>
          <w:shd w:val="clear" w:color="auto" w:fill="FFFFFF"/>
        </w:rPr>
        <w:br/>
      </w:r>
      <w:r w:rsidR="00DF66EA" w:rsidRPr="00DF66EA">
        <w:rPr>
          <w:rFonts w:asciiTheme="majorBidi" w:hAnsiTheme="majorBidi" w:cstheme="majorBidi"/>
          <w:color w:val="000000"/>
          <w:shd w:val="clear" w:color="auto" w:fill="FFFFFF"/>
        </w:rPr>
        <w:t>Night-time lights</w:t>
      </w:r>
      <w:r w:rsidR="007254FD">
        <w:rPr>
          <w:rFonts w:asciiTheme="majorBidi" w:hAnsiTheme="majorBidi" w:cstheme="majorBidi"/>
          <w:color w:val="000000"/>
          <w:shd w:val="clear" w:color="auto" w:fill="FFFFFF"/>
        </w:rPr>
        <w:br/>
      </w:r>
      <w:r w:rsidR="00DF66EA" w:rsidRPr="00DF66EA">
        <w:rPr>
          <w:rFonts w:asciiTheme="majorBidi" w:hAnsiTheme="majorBidi" w:cstheme="majorBidi"/>
          <w:color w:val="000000"/>
          <w:shd w:val="clear" w:color="auto" w:fill="FFFFFF"/>
        </w:rPr>
        <w:t>New Zealand</w:t>
      </w:r>
    </w:p>
    <w:p w14:paraId="67C3FFE4" w14:textId="77777777" w:rsidR="003E67FB" w:rsidRDefault="003E67FB" w:rsidP="003E67FB">
      <w:pPr>
        <w:jc w:val="center"/>
        <w:rPr>
          <w:rFonts w:asciiTheme="majorBidi" w:hAnsiTheme="majorBidi" w:cstheme="majorBidi"/>
          <w:color w:val="000000"/>
          <w:shd w:val="clear" w:color="auto" w:fill="FFFFFF"/>
        </w:rPr>
      </w:pPr>
    </w:p>
    <w:p w14:paraId="14899333" w14:textId="77777777" w:rsidR="003B683D" w:rsidRDefault="003B683D" w:rsidP="003B683D">
      <w:pPr>
        <w:jc w:val="center"/>
        <w:rPr>
          <w:rFonts w:asciiTheme="majorBidi" w:hAnsiTheme="majorBidi" w:cstheme="majorBidi"/>
          <w:b/>
          <w:bCs/>
          <w:color w:val="000000"/>
          <w:shd w:val="clear" w:color="auto" w:fill="FFFFFF"/>
          <w:lang w:val="fr-FR"/>
        </w:rPr>
      </w:pPr>
      <w:r w:rsidRPr="00CD01CE">
        <w:rPr>
          <w:rFonts w:asciiTheme="majorBidi" w:hAnsiTheme="majorBidi" w:cstheme="majorBidi"/>
          <w:b/>
          <w:bCs/>
          <w:color w:val="000000"/>
          <w:shd w:val="clear" w:color="auto" w:fill="FFFFFF"/>
          <w:lang w:val="fr-FR"/>
        </w:rPr>
        <w:t>JEL Codes</w:t>
      </w:r>
    </w:p>
    <w:p w14:paraId="7CE0CBE3" w14:textId="6D66526B" w:rsidR="003B683D" w:rsidRPr="00F1184E" w:rsidRDefault="003B683D" w:rsidP="003B683D">
      <w:pPr>
        <w:jc w:val="center"/>
        <w:rPr>
          <w:rFonts w:asciiTheme="majorBidi" w:hAnsiTheme="majorBidi" w:cstheme="majorBidi"/>
          <w:color w:val="000000"/>
          <w:shd w:val="clear" w:color="auto" w:fill="FFFFFF"/>
          <w:lang w:val="fr-FR"/>
        </w:rPr>
      </w:pPr>
      <w:r w:rsidRPr="00F1184E">
        <w:rPr>
          <w:rFonts w:asciiTheme="majorBidi" w:hAnsiTheme="majorBidi" w:cstheme="majorBidi"/>
          <w:color w:val="000000"/>
          <w:shd w:val="clear" w:color="auto" w:fill="FFFFFF"/>
          <w:lang w:val="fr-FR"/>
        </w:rPr>
        <w:t>R11</w:t>
      </w:r>
      <w:r w:rsidR="00F1184E" w:rsidRPr="00F1184E">
        <w:rPr>
          <w:rFonts w:asciiTheme="majorBidi" w:hAnsiTheme="majorBidi" w:cstheme="majorBidi"/>
          <w:color w:val="000000"/>
          <w:shd w:val="clear" w:color="auto" w:fill="FFFFFF"/>
          <w:lang w:val="fr-FR"/>
        </w:rPr>
        <w:br/>
      </w:r>
      <w:r w:rsidRPr="00F1184E">
        <w:rPr>
          <w:rFonts w:asciiTheme="majorBidi" w:hAnsiTheme="majorBidi" w:cstheme="majorBidi"/>
          <w:color w:val="000000"/>
          <w:shd w:val="clear" w:color="auto" w:fill="FFFFFF"/>
          <w:lang w:val="fr-FR"/>
        </w:rPr>
        <w:t>R12</w:t>
      </w:r>
      <w:r w:rsidR="00F1184E" w:rsidRPr="00F1184E">
        <w:rPr>
          <w:rFonts w:asciiTheme="majorBidi" w:hAnsiTheme="majorBidi" w:cstheme="majorBidi"/>
          <w:color w:val="000000"/>
          <w:shd w:val="clear" w:color="auto" w:fill="FFFFFF"/>
          <w:lang w:val="fr-FR"/>
        </w:rPr>
        <w:br/>
      </w:r>
      <w:r w:rsidRPr="00F1184E">
        <w:rPr>
          <w:rFonts w:asciiTheme="majorBidi" w:hAnsiTheme="majorBidi" w:cstheme="majorBidi"/>
          <w:color w:val="000000"/>
          <w:shd w:val="clear" w:color="auto" w:fill="FFFFFF"/>
          <w:lang w:val="fr-FR"/>
        </w:rPr>
        <w:t>C81</w:t>
      </w:r>
    </w:p>
    <w:p w14:paraId="73656967" w14:textId="77777777" w:rsidR="003B683D" w:rsidRPr="00CD01CE" w:rsidRDefault="003B683D" w:rsidP="003E67FB">
      <w:pPr>
        <w:jc w:val="center"/>
        <w:rPr>
          <w:rFonts w:asciiTheme="majorBidi" w:hAnsiTheme="majorBidi" w:cstheme="majorBidi"/>
          <w:color w:val="000000"/>
          <w:shd w:val="clear" w:color="auto" w:fill="FFFFFF"/>
        </w:rPr>
      </w:pPr>
    </w:p>
    <w:p w14:paraId="6598F664" w14:textId="62C6BCEB" w:rsidR="00B22B2C" w:rsidRPr="00A269E7" w:rsidRDefault="00111F6F" w:rsidP="00A269E7">
      <w:pPr>
        <w:jc w:val="center"/>
        <w:rPr>
          <w:rFonts w:asciiTheme="majorBidi" w:hAnsiTheme="majorBidi" w:cstheme="majorBidi"/>
          <w:color w:val="000000"/>
          <w:shd w:val="clear" w:color="auto" w:fill="FFFFFF"/>
        </w:rPr>
        <w:sectPr w:rsidR="00B22B2C" w:rsidRPr="00A269E7" w:rsidSect="00B22B2C">
          <w:footerReference w:type="default" r:id="rId8"/>
          <w:pgSz w:w="11906" w:h="16838"/>
          <w:pgMar w:top="1440" w:right="1440" w:bottom="1440" w:left="1440" w:header="708" w:footer="708" w:gutter="0"/>
          <w:cols w:space="708"/>
          <w:titlePg/>
          <w:docGrid w:linePitch="360"/>
        </w:sectPr>
      </w:pPr>
      <w:r w:rsidRPr="006D0225">
        <w:rPr>
          <w:rFonts w:asciiTheme="majorBidi" w:hAnsiTheme="majorBidi" w:cstheme="majorBidi"/>
          <w:b/>
          <w:bCs/>
          <w:color w:val="000000"/>
          <w:shd w:val="clear" w:color="auto" w:fill="FFFFFF"/>
        </w:rPr>
        <w:t>Acknowledgement</w:t>
      </w:r>
      <w:r w:rsidR="0024095C" w:rsidRPr="00A269E7">
        <w:rPr>
          <w:rFonts w:asciiTheme="majorBidi" w:hAnsiTheme="majorBidi" w:cstheme="majorBidi"/>
          <w:color w:val="000000"/>
          <w:shd w:val="clear" w:color="auto" w:fill="FFFFFF"/>
        </w:rPr>
        <w:t xml:space="preserve"> </w:t>
      </w:r>
      <w:r w:rsidR="00A269E7" w:rsidRPr="00A269E7">
        <w:rPr>
          <w:rFonts w:asciiTheme="majorBidi" w:hAnsiTheme="majorBidi" w:cstheme="majorBidi"/>
          <w:color w:val="000000"/>
          <w:shd w:val="clear" w:color="auto" w:fill="FFFFFF"/>
        </w:rPr>
        <w:br/>
      </w:r>
      <w:r w:rsidR="003E67FB" w:rsidRPr="00A269E7">
        <w:rPr>
          <w:rFonts w:asciiTheme="majorBidi" w:hAnsiTheme="majorBidi" w:cstheme="majorBidi"/>
          <w:color w:val="000000"/>
          <w:shd w:val="clear" w:color="auto" w:fill="FFFFFF"/>
        </w:rPr>
        <w:t xml:space="preserve">We acknowledge the use of images and data processing </w:t>
      </w:r>
      <w:r w:rsidR="00035C09" w:rsidRPr="00A269E7">
        <w:rPr>
          <w:rFonts w:asciiTheme="majorBidi" w:hAnsiTheme="majorBidi" w:cstheme="majorBidi"/>
          <w:color w:val="000000"/>
          <w:shd w:val="clear" w:color="auto" w:fill="FFFFFF"/>
        </w:rPr>
        <w:t xml:space="preserve">originally </w:t>
      </w:r>
      <w:r w:rsidR="003E67FB" w:rsidRPr="00A269E7">
        <w:rPr>
          <w:rFonts w:asciiTheme="majorBidi" w:hAnsiTheme="majorBidi" w:cstheme="majorBidi"/>
          <w:color w:val="000000"/>
          <w:shd w:val="clear" w:color="auto" w:fill="FFFFFF"/>
        </w:rPr>
        <w:t>provided by the Earth Observation Group, Payne Institute for Public Policy, Colorado School of Mines, and the collection of DMSP data by the US Air Force Weather Agency.</w:t>
      </w:r>
    </w:p>
    <w:p w14:paraId="2ACF7DA5" w14:textId="5E8977A2" w:rsidR="001F168C" w:rsidRPr="00D6551C" w:rsidRDefault="00D6551C" w:rsidP="003F03DA">
      <w:pPr>
        <w:rPr>
          <w:rFonts w:asciiTheme="majorBidi" w:hAnsiTheme="majorBidi" w:cstheme="majorBidi"/>
          <w:b/>
          <w:bCs/>
        </w:rPr>
      </w:pPr>
      <w:r w:rsidRPr="00D6551C">
        <w:rPr>
          <w:rFonts w:asciiTheme="majorBidi" w:hAnsiTheme="majorBidi" w:cstheme="majorBidi"/>
          <w:b/>
          <w:bCs/>
        </w:rPr>
        <w:lastRenderedPageBreak/>
        <w:t>1.</w:t>
      </w:r>
      <w:r w:rsidRPr="00D6551C">
        <w:rPr>
          <w:rFonts w:asciiTheme="majorBidi" w:hAnsiTheme="majorBidi" w:cstheme="majorBidi"/>
          <w:b/>
          <w:bCs/>
        </w:rPr>
        <w:tab/>
        <w:t>Introduction</w:t>
      </w:r>
    </w:p>
    <w:p w14:paraId="57A2CD45" w14:textId="0C513F77" w:rsidR="00F74F61" w:rsidRDefault="00C018CE" w:rsidP="00322295">
      <w:pPr>
        <w:jc w:val="both"/>
        <w:rPr>
          <w:rFonts w:asciiTheme="majorBidi" w:hAnsiTheme="majorBidi" w:cstheme="majorBidi"/>
        </w:rPr>
      </w:pPr>
      <w:r w:rsidRPr="00C018CE">
        <w:rPr>
          <w:rFonts w:asciiTheme="majorBidi" w:hAnsiTheme="majorBidi" w:cstheme="majorBidi"/>
        </w:rPr>
        <w:t xml:space="preserve">Concerns about uneven regional development and the long-run viability of smaller towns </w:t>
      </w:r>
      <w:r>
        <w:rPr>
          <w:rFonts w:asciiTheme="majorBidi" w:hAnsiTheme="majorBidi" w:cstheme="majorBidi"/>
        </w:rPr>
        <w:t xml:space="preserve">are </w:t>
      </w:r>
      <w:r w:rsidRPr="00C018CE">
        <w:rPr>
          <w:rFonts w:asciiTheme="majorBidi" w:hAnsiTheme="majorBidi" w:cstheme="majorBidi"/>
        </w:rPr>
        <w:t xml:space="preserve">increasingly prominent in New Zealand. </w:t>
      </w:r>
      <w:r>
        <w:rPr>
          <w:rFonts w:asciiTheme="majorBidi" w:hAnsiTheme="majorBidi" w:cstheme="majorBidi"/>
        </w:rPr>
        <w:t xml:space="preserve">Commentators </w:t>
      </w:r>
      <w:r w:rsidRPr="00C018CE">
        <w:rPr>
          <w:rFonts w:asciiTheme="majorBidi" w:hAnsiTheme="majorBidi" w:cstheme="majorBidi"/>
        </w:rPr>
        <w:t>highlight the emergence of so-called “zombie towns” facing persistent stagnation or decline (Eaqub, 2014).</w:t>
      </w:r>
      <w:r>
        <w:rPr>
          <w:rStyle w:val="FootnoteReference"/>
          <w:rFonts w:asciiTheme="majorBidi" w:hAnsiTheme="majorBidi" w:cstheme="majorBidi"/>
        </w:rPr>
        <w:footnoteReference w:id="1"/>
      </w:r>
      <w:r w:rsidRPr="00C018CE">
        <w:rPr>
          <w:rFonts w:asciiTheme="majorBidi" w:hAnsiTheme="majorBidi" w:cstheme="majorBidi"/>
        </w:rPr>
        <w:t xml:space="preserve"> At the same time, </w:t>
      </w:r>
      <w:r>
        <w:rPr>
          <w:rFonts w:asciiTheme="majorBidi" w:hAnsiTheme="majorBidi" w:cstheme="majorBidi"/>
        </w:rPr>
        <w:t xml:space="preserve">the research from </w:t>
      </w:r>
      <w:r w:rsidRPr="00C018CE">
        <w:rPr>
          <w:rFonts w:asciiTheme="majorBidi" w:hAnsiTheme="majorBidi" w:cstheme="majorBidi"/>
        </w:rPr>
        <w:t xml:space="preserve">demographic and regional </w:t>
      </w:r>
      <w:r>
        <w:rPr>
          <w:rFonts w:asciiTheme="majorBidi" w:hAnsiTheme="majorBidi" w:cstheme="majorBidi"/>
        </w:rPr>
        <w:t xml:space="preserve">studies perspectives </w:t>
      </w:r>
      <w:r w:rsidRPr="00C018CE">
        <w:rPr>
          <w:rFonts w:asciiTheme="majorBidi" w:hAnsiTheme="majorBidi" w:cstheme="majorBidi"/>
        </w:rPr>
        <w:t>points to ageing-driven slow growth, selective depopulation, and widening divergence across the urban hierarchy (</w:t>
      </w:r>
      <w:r w:rsidR="001768CC" w:rsidRPr="00C018CE">
        <w:rPr>
          <w:rFonts w:asciiTheme="majorBidi" w:hAnsiTheme="majorBidi" w:cstheme="majorBidi"/>
        </w:rPr>
        <w:t>Brabyn, 2017</w:t>
      </w:r>
      <w:r w:rsidR="001768CC">
        <w:rPr>
          <w:rFonts w:asciiTheme="majorBidi" w:hAnsiTheme="majorBidi" w:cstheme="majorBidi"/>
        </w:rPr>
        <w:t xml:space="preserve">; </w:t>
      </w:r>
      <w:r w:rsidRPr="00C018CE">
        <w:rPr>
          <w:rFonts w:asciiTheme="majorBidi" w:hAnsiTheme="majorBidi" w:cstheme="majorBidi"/>
        </w:rPr>
        <w:t xml:space="preserve">Jackson and Cameron, 2018; Jackson et al., 2019). Similar concerns about the uneven fortunes of smaller settlements also </w:t>
      </w:r>
      <w:r w:rsidR="00F17FA6">
        <w:rPr>
          <w:rFonts w:asciiTheme="majorBidi" w:hAnsiTheme="majorBidi" w:cstheme="majorBidi"/>
        </w:rPr>
        <w:t xml:space="preserve">show up </w:t>
      </w:r>
      <w:r w:rsidRPr="00C018CE">
        <w:rPr>
          <w:rFonts w:asciiTheme="majorBidi" w:hAnsiTheme="majorBidi" w:cstheme="majorBidi"/>
        </w:rPr>
        <w:t xml:space="preserve">in </w:t>
      </w:r>
      <w:r w:rsidR="00D870DB">
        <w:rPr>
          <w:rFonts w:asciiTheme="majorBidi" w:hAnsiTheme="majorBidi" w:cstheme="majorBidi"/>
        </w:rPr>
        <w:t xml:space="preserve">government </w:t>
      </w:r>
      <w:r w:rsidRPr="00C018CE">
        <w:rPr>
          <w:rFonts w:asciiTheme="majorBidi" w:hAnsiTheme="majorBidi" w:cstheme="majorBidi"/>
        </w:rPr>
        <w:t xml:space="preserve">policy </w:t>
      </w:r>
      <w:r w:rsidR="00D870DB">
        <w:rPr>
          <w:rFonts w:asciiTheme="majorBidi" w:hAnsiTheme="majorBidi" w:cstheme="majorBidi"/>
        </w:rPr>
        <w:t xml:space="preserve">research </w:t>
      </w:r>
      <w:r w:rsidRPr="00C018CE">
        <w:rPr>
          <w:rFonts w:asciiTheme="majorBidi" w:hAnsiTheme="majorBidi" w:cstheme="majorBidi"/>
        </w:rPr>
        <w:t>about regional adjustment and local economic resilience (Coleman</w:t>
      </w:r>
      <w:r w:rsidR="002F4393">
        <w:rPr>
          <w:rFonts w:asciiTheme="majorBidi" w:hAnsiTheme="majorBidi" w:cstheme="majorBidi"/>
        </w:rPr>
        <w:t xml:space="preserve"> et al., 2019</w:t>
      </w:r>
      <w:r w:rsidRPr="00C018CE">
        <w:rPr>
          <w:rFonts w:asciiTheme="majorBidi" w:hAnsiTheme="majorBidi" w:cstheme="majorBidi"/>
        </w:rPr>
        <w:t xml:space="preserve">). Yet alongside decline in some places, other smaller settlements have experienced rapid expansion associated with improved transport access, </w:t>
      </w:r>
      <w:r w:rsidR="00BA38B1">
        <w:rPr>
          <w:rFonts w:asciiTheme="majorBidi" w:hAnsiTheme="majorBidi" w:cstheme="majorBidi"/>
        </w:rPr>
        <w:t>commuter-oriented</w:t>
      </w:r>
      <w:r w:rsidRPr="00C018CE">
        <w:rPr>
          <w:rFonts w:asciiTheme="majorBidi" w:hAnsiTheme="majorBidi" w:cstheme="majorBidi"/>
        </w:rPr>
        <w:t xml:space="preserve"> development around major cities, amenity migration, and shifts in the spatial organisation of economic activity (Grimes et al., 2016). </w:t>
      </w:r>
      <w:r w:rsidR="00F74F61" w:rsidRPr="00F74F61">
        <w:rPr>
          <w:rFonts w:asciiTheme="majorBidi" w:hAnsiTheme="majorBidi" w:cstheme="majorBidi"/>
        </w:rPr>
        <w:t xml:space="preserve">As Nel et al. (2019) note, small-town trajectories in New Zealand are increasingly differentiated, with some settlements adapting successfully to changing economic conditions while others continue to stagnate or decline. </w:t>
      </w:r>
    </w:p>
    <w:p w14:paraId="594D76F0" w14:textId="1658790F" w:rsidR="00C018CE" w:rsidRDefault="00D870DB" w:rsidP="00E44F40">
      <w:pPr>
        <w:ind w:firstLine="720"/>
        <w:jc w:val="both"/>
        <w:rPr>
          <w:rFonts w:asciiTheme="majorBidi" w:hAnsiTheme="majorBidi" w:cstheme="majorBidi"/>
        </w:rPr>
      </w:pPr>
      <w:r>
        <w:rPr>
          <w:rFonts w:asciiTheme="majorBidi" w:hAnsiTheme="majorBidi" w:cstheme="majorBidi"/>
        </w:rPr>
        <w:t xml:space="preserve">Extant </w:t>
      </w:r>
      <w:r w:rsidR="00C018CE" w:rsidRPr="00C018CE">
        <w:rPr>
          <w:rFonts w:asciiTheme="majorBidi" w:hAnsiTheme="majorBidi" w:cstheme="majorBidi"/>
        </w:rPr>
        <w:t xml:space="preserve">evidence on regional change in New Zealand </w:t>
      </w:r>
      <w:r>
        <w:rPr>
          <w:rFonts w:asciiTheme="majorBidi" w:hAnsiTheme="majorBidi" w:cstheme="majorBidi"/>
        </w:rPr>
        <w:t xml:space="preserve">mostly uses </w:t>
      </w:r>
      <w:r w:rsidR="00C018CE" w:rsidRPr="00C018CE">
        <w:rPr>
          <w:rFonts w:asciiTheme="majorBidi" w:hAnsiTheme="majorBidi" w:cstheme="majorBidi"/>
        </w:rPr>
        <w:t xml:space="preserve">administrative population measures observed intermittently through censuses and official population estimates. </w:t>
      </w:r>
      <w:r>
        <w:rPr>
          <w:rFonts w:asciiTheme="majorBidi" w:hAnsiTheme="majorBidi" w:cstheme="majorBidi"/>
        </w:rPr>
        <w:t>T</w:t>
      </w:r>
      <w:r w:rsidR="00C018CE" w:rsidRPr="00C018CE">
        <w:rPr>
          <w:rFonts w:asciiTheme="majorBidi" w:hAnsiTheme="majorBidi" w:cstheme="majorBidi"/>
        </w:rPr>
        <w:t xml:space="preserve">hese </w:t>
      </w:r>
      <w:r>
        <w:rPr>
          <w:rFonts w:asciiTheme="majorBidi" w:hAnsiTheme="majorBidi" w:cstheme="majorBidi"/>
        </w:rPr>
        <w:t xml:space="preserve">are key </w:t>
      </w:r>
      <w:r w:rsidR="00C018CE" w:rsidRPr="00C018CE">
        <w:rPr>
          <w:rFonts w:asciiTheme="majorBidi" w:hAnsiTheme="majorBidi" w:cstheme="majorBidi"/>
        </w:rPr>
        <w:t>sources for demographic analysis</w:t>
      </w:r>
      <w:r>
        <w:rPr>
          <w:rFonts w:asciiTheme="majorBidi" w:hAnsiTheme="majorBidi" w:cstheme="majorBidi"/>
        </w:rPr>
        <w:t xml:space="preserve"> but </w:t>
      </w:r>
      <w:r w:rsidR="00C018CE" w:rsidRPr="00C018CE">
        <w:rPr>
          <w:rFonts w:asciiTheme="majorBidi" w:hAnsiTheme="majorBidi" w:cstheme="majorBidi"/>
        </w:rPr>
        <w:t xml:space="preserve">are less well suited to examining gradual spatial change within and around settlements because administrative boundaries are </w:t>
      </w:r>
      <w:r w:rsidR="00BA38B1">
        <w:rPr>
          <w:rFonts w:asciiTheme="majorBidi" w:hAnsiTheme="majorBidi" w:cstheme="majorBidi"/>
        </w:rPr>
        <w:t xml:space="preserve">largely </w:t>
      </w:r>
      <w:r w:rsidR="00C018CE" w:rsidRPr="00C018CE">
        <w:rPr>
          <w:rFonts w:asciiTheme="majorBidi" w:hAnsiTheme="majorBidi" w:cstheme="majorBidi"/>
        </w:rPr>
        <w:t xml:space="preserve">fixed and </w:t>
      </w:r>
      <w:r w:rsidR="002F4393">
        <w:rPr>
          <w:rFonts w:asciiTheme="majorBidi" w:hAnsiTheme="majorBidi" w:cstheme="majorBidi"/>
        </w:rPr>
        <w:t xml:space="preserve">are </w:t>
      </w:r>
      <w:r w:rsidR="00C018CE" w:rsidRPr="00C018CE">
        <w:rPr>
          <w:rFonts w:asciiTheme="majorBidi" w:hAnsiTheme="majorBidi" w:cstheme="majorBidi"/>
        </w:rPr>
        <w:t>often coarse relative to the scale at which urban expansion or contraction occurs. This</w:t>
      </w:r>
      <w:r w:rsidR="002F4393">
        <w:rPr>
          <w:rFonts w:asciiTheme="majorBidi" w:hAnsiTheme="majorBidi" w:cstheme="majorBidi"/>
        </w:rPr>
        <w:t xml:space="preserve"> issue</w:t>
      </w:r>
      <w:r w:rsidR="00C018CE" w:rsidRPr="00C018CE">
        <w:rPr>
          <w:rFonts w:asciiTheme="majorBidi" w:hAnsiTheme="majorBidi" w:cstheme="majorBidi"/>
        </w:rPr>
        <w:t xml:space="preserve"> especially </w:t>
      </w:r>
      <w:r>
        <w:rPr>
          <w:rFonts w:asciiTheme="majorBidi" w:hAnsiTheme="majorBidi" w:cstheme="majorBidi"/>
        </w:rPr>
        <w:t xml:space="preserve">matters </w:t>
      </w:r>
      <w:r w:rsidR="00C018CE" w:rsidRPr="00C018CE">
        <w:rPr>
          <w:rFonts w:asciiTheme="majorBidi" w:hAnsiTheme="majorBidi" w:cstheme="majorBidi"/>
        </w:rPr>
        <w:t>for smaller towns, where modest changes in built-up area may be economically meaningful yet difficult to observe consistently over time</w:t>
      </w:r>
      <w:r w:rsidR="002F4393">
        <w:rPr>
          <w:rFonts w:asciiTheme="majorBidi" w:hAnsiTheme="majorBidi" w:cstheme="majorBidi"/>
        </w:rPr>
        <w:t xml:space="preserve"> with </w:t>
      </w:r>
      <w:r w:rsidR="00BA38B1">
        <w:rPr>
          <w:rFonts w:asciiTheme="majorBidi" w:hAnsiTheme="majorBidi" w:cstheme="majorBidi"/>
        </w:rPr>
        <w:t xml:space="preserve">the </w:t>
      </w:r>
      <w:r w:rsidR="002F4393">
        <w:rPr>
          <w:rFonts w:asciiTheme="majorBidi" w:hAnsiTheme="majorBidi" w:cstheme="majorBidi"/>
        </w:rPr>
        <w:t>conventional data</w:t>
      </w:r>
      <w:r w:rsidR="00C018CE" w:rsidRPr="00C018CE">
        <w:rPr>
          <w:rFonts w:asciiTheme="majorBidi" w:hAnsiTheme="majorBidi" w:cstheme="majorBidi"/>
        </w:rPr>
        <w:t xml:space="preserve">. Cameron and Cochrane (2017), for example, highlight the challenges of projecting demographic change for small areas in New Zealand. More generally, </w:t>
      </w:r>
      <w:r w:rsidR="002F4393">
        <w:rPr>
          <w:rFonts w:asciiTheme="majorBidi" w:hAnsiTheme="majorBidi" w:cstheme="majorBidi"/>
        </w:rPr>
        <w:t xml:space="preserve">the usual </w:t>
      </w:r>
      <w:r w:rsidR="00C018CE" w:rsidRPr="00C018CE">
        <w:rPr>
          <w:rFonts w:asciiTheme="majorBidi" w:hAnsiTheme="majorBidi" w:cstheme="majorBidi"/>
        </w:rPr>
        <w:t>demographic datasets provide only intermittent snapshots of settlement change rather than continuous spatial evidence on how urban footprints evolve through time.</w:t>
      </w:r>
    </w:p>
    <w:p w14:paraId="2EE4AE5F" w14:textId="4D935329" w:rsidR="005C149B" w:rsidRPr="00C018CE" w:rsidRDefault="005C149B" w:rsidP="00E44F40">
      <w:pPr>
        <w:ind w:firstLine="720"/>
        <w:jc w:val="both"/>
        <w:rPr>
          <w:rFonts w:asciiTheme="majorBidi" w:hAnsiTheme="majorBidi" w:cstheme="majorBidi"/>
        </w:rPr>
      </w:pPr>
      <w:r w:rsidRPr="005C149B">
        <w:rPr>
          <w:rFonts w:asciiTheme="majorBidi" w:hAnsiTheme="majorBidi" w:cstheme="majorBidi"/>
        </w:rPr>
        <w:t>Satellite-detected night-time lights (NTL) data offer a potentially valuable alternative because they provide spatially continuous annual observations of human activity over several decades. Earlier work us</w:t>
      </w:r>
      <w:r>
        <w:rPr>
          <w:rFonts w:asciiTheme="majorBidi" w:hAnsiTheme="majorBidi" w:cstheme="majorBidi"/>
        </w:rPr>
        <w:t>ed</w:t>
      </w:r>
      <w:r w:rsidRPr="005C149B">
        <w:rPr>
          <w:rFonts w:asciiTheme="majorBidi" w:hAnsiTheme="majorBidi" w:cstheme="majorBidi"/>
        </w:rPr>
        <w:t xml:space="preserve"> NTL data </w:t>
      </w:r>
      <w:r>
        <w:rPr>
          <w:rFonts w:asciiTheme="majorBidi" w:hAnsiTheme="majorBidi" w:cstheme="majorBidi"/>
        </w:rPr>
        <w:t xml:space="preserve">to estimate extensive margin </w:t>
      </w:r>
      <w:r w:rsidRPr="005C149B">
        <w:rPr>
          <w:rFonts w:asciiTheme="majorBidi" w:hAnsiTheme="majorBidi" w:cstheme="majorBidi"/>
        </w:rPr>
        <w:t>changes in illuminated land—the spatial footprint of lit area—</w:t>
      </w:r>
      <w:r>
        <w:rPr>
          <w:rFonts w:asciiTheme="majorBidi" w:hAnsiTheme="majorBidi" w:cstheme="majorBidi"/>
        </w:rPr>
        <w:t>to</w:t>
      </w:r>
      <w:r w:rsidRPr="005C149B">
        <w:rPr>
          <w:rFonts w:asciiTheme="majorBidi" w:hAnsiTheme="majorBidi" w:cstheme="majorBidi"/>
        </w:rPr>
        <w:t xml:space="preserve"> measure big city urban expansion </w:t>
      </w:r>
      <w:r w:rsidR="00F7442F">
        <w:rPr>
          <w:rFonts w:asciiTheme="majorBidi" w:hAnsiTheme="majorBidi" w:cstheme="majorBidi"/>
        </w:rPr>
        <w:t xml:space="preserve">internationally </w:t>
      </w:r>
      <w:r w:rsidRPr="005C149B">
        <w:rPr>
          <w:rFonts w:asciiTheme="majorBidi" w:hAnsiTheme="majorBidi" w:cstheme="majorBidi"/>
        </w:rPr>
        <w:t xml:space="preserve">(Small et al., 2005; Gibson et al., 2015). These studies </w:t>
      </w:r>
      <w:r>
        <w:rPr>
          <w:rFonts w:asciiTheme="majorBidi" w:hAnsiTheme="majorBidi" w:cstheme="majorBidi"/>
        </w:rPr>
        <w:t>used</w:t>
      </w:r>
      <w:r w:rsidRPr="005C149B">
        <w:rPr>
          <w:rFonts w:asciiTheme="majorBidi" w:hAnsiTheme="majorBidi" w:cstheme="majorBidi"/>
        </w:rPr>
        <w:t xml:space="preserve"> first generation sensors from the Defense Meteorological Satellite Program (DMSP), which have now been found to suffer from severe spatial blurring, geolocation errors, and unstable temporal properties (Elvidge et al., 2013; Abrahams et al., 2018; Gibson et al., 2020). These measurement problems become especially consequential for smaller towns, </w:t>
      </w:r>
      <w:r w:rsidR="00F7442F">
        <w:rPr>
          <w:rFonts w:asciiTheme="majorBidi" w:hAnsiTheme="majorBidi" w:cstheme="majorBidi"/>
        </w:rPr>
        <w:t xml:space="preserve">because the </w:t>
      </w:r>
      <w:r w:rsidRPr="005C149B">
        <w:rPr>
          <w:rFonts w:asciiTheme="majorBidi" w:hAnsiTheme="majorBidi" w:cstheme="majorBidi"/>
        </w:rPr>
        <w:t xml:space="preserve">exaggerated urban footprints may merge </w:t>
      </w:r>
      <w:r w:rsidR="00F7442F">
        <w:rPr>
          <w:rFonts w:asciiTheme="majorBidi" w:hAnsiTheme="majorBidi" w:cstheme="majorBidi"/>
        </w:rPr>
        <w:t xml:space="preserve">nearby </w:t>
      </w:r>
      <w:r w:rsidRPr="005C149B">
        <w:rPr>
          <w:rFonts w:asciiTheme="majorBidi" w:hAnsiTheme="majorBidi" w:cstheme="majorBidi"/>
        </w:rPr>
        <w:t xml:space="preserve">settlements and compress differences in apparent growth trajectories. In contrast, second generation night-time lights data from the Visible Infrared Imaging Radiometer Suite (VIIRS) provide far more precise and radiometrically stable </w:t>
      </w:r>
      <w:r w:rsidR="00496397" w:rsidRPr="005C149B">
        <w:rPr>
          <w:rFonts w:asciiTheme="majorBidi" w:hAnsiTheme="majorBidi" w:cstheme="majorBidi"/>
        </w:rPr>
        <w:t>imagery but</w:t>
      </w:r>
      <w:r w:rsidRPr="005C149B">
        <w:rPr>
          <w:rFonts w:asciiTheme="majorBidi" w:hAnsiTheme="majorBidi" w:cstheme="majorBidi"/>
        </w:rPr>
        <w:t xml:space="preserve"> are only available </w:t>
      </w:r>
      <w:r w:rsidRPr="005C149B">
        <w:rPr>
          <w:rFonts w:asciiTheme="majorBidi" w:hAnsiTheme="majorBidi" w:cstheme="majorBidi"/>
        </w:rPr>
        <w:lastRenderedPageBreak/>
        <w:t xml:space="preserve">from 2012 onwards. Consequently, there is a trade-off between the long temporal coverage offered by DMSP and the much </w:t>
      </w:r>
      <w:r w:rsidR="00930F9F">
        <w:rPr>
          <w:rFonts w:asciiTheme="majorBidi" w:hAnsiTheme="majorBidi" w:cstheme="majorBidi"/>
        </w:rPr>
        <w:t xml:space="preserve">finer </w:t>
      </w:r>
      <w:r w:rsidRPr="005C149B">
        <w:rPr>
          <w:rFonts w:asciiTheme="majorBidi" w:hAnsiTheme="majorBidi" w:cstheme="majorBidi"/>
        </w:rPr>
        <w:t xml:space="preserve">spatial </w:t>
      </w:r>
      <w:r w:rsidR="00930F9F">
        <w:rPr>
          <w:rFonts w:asciiTheme="majorBidi" w:hAnsiTheme="majorBidi" w:cstheme="majorBidi"/>
        </w:rPr>
        <w:t xml:space="preserve">resolution and greater accuracy </w:t>
      </w:r>
      <w:r w:rsidRPr="005C149B">
        <w:rPr>
          <w:rFonts w:asciiTheme="majorBidi" w:hAnsiTheme="majorBidi" w:cstheme="majorBidi"/>
        </w:rPr>
        <w:t>of VIIRS data.</w:t>
      </w:r>
    </w:p>
    <w:p w14:paraId="76C97C94" w14:textId="531E3D4E" w:rsidR="002F4393" w:rsidRDefault="005C149B" w:rsidP="00E44F40">
      <w:pPr>
        <w:ind w:firstLine="720"/>
        <w:jc w:val="both"/>
        <w:rPr>
          <w:rFonts w:asciiTheme="majorBidi" w:hAnsiTheme="majorBidi" w:cstheme="majorBidi"/>
        </w:rPr>
      </w:pPr>
      <w:r>
        <w:rPr>
          <w:rFonts w:asciiTheme="majorBidi" w:hAnsiTheme="majorBidi" w:cstheme="majorBidi"/>
        </w:rPr>
        <w:t>To help overcome this trade-off, w</w:t>
      </w:r>
      <w:r w:rsidR="002F4393" w:rsidRPr="00C32F9C">
        <w:rPr>
          <w:rFonts w:asciiTheme="majorBidi" w:hAnsiTheme="majorBidi" w:cstheme="majorBidi"/>
        </w:rPr>
        <w:t>e use a recently developed deep-learning reconstruction</w:t>
      </w:r>
      <w:r w:rsidR="002F4393">
        <w:rPr>
          <w:rFonts w:asciiTheme="majorBidi" w:hAnsiTheme="majorBidi" w:cstheme="majorBidi"/>
        </w:rPr>
        <w:t xml:space="preserve"> of first generation night-time lights data</w:t>
      </w:r>
      <w:r w:rsidR="002F4393" w:rsidRPr="00C32F9C">
        <w:rPr>
          <w:rFonts w:asciiTheme="majorBidi" w:hAnsiTheme="majorBidi" w:cstheme="majorBidi"/>
        </w:rPr>
        <w:t xml:space="preserve"> (DeepNTL) that learns the relationship between modern high-resolution VIIRS imagery and </w:t>
      </w:r>
      <w:r>
        <w:rPr>
          <w:rFonts w:asciiTheme="majorBidi" w:hAnsiTheme="majorBidi" w:cstheme="majorBidi"/>
        </w:rPr>
        <w:t xml:space="preserve">the </w:t>
      </w:r>
      <w:r w:rsidR="002F4393" w:rsidRPr="00C32F9C">
        <w:rPr>
          <w:rFonts w:asciiTheme="majorBidi" w:hAnsiTheme="majorBidi" w:cstheme="majorBidi"/>
        </w:rPr>
        <w:t xml:space="preserve">earlier DMSP observations in order to recover a temporally consistent, fine-grained annual series back to </w:t>
      </w:r>
      <w:r w:rsidR="00E524FB">
        <w:rPr>
          <w:rFonts w:asciiTheme="majorBidi" w:hAnsiTheme="majorBidi" w:cstheme="majorBidi"/>
        </w:rPr>
        <w:t>1993</w:t>
      </w:r>
      <w:r w:rsidR="002F4393">
        <w:rPr>
          <w:rFonts w:asciiTheme="majorBidi" w:hAnsiTheme="majorBidi" w:cstheme="majorBidi"/>
        </w:rPr>
        <w:t xml:space="preserve"> (Guo et al., 2025)</w:t>
      </w:r>
      <w:r w:rsidR="002F4393" w:rsidRPr="00C32F9C">
        <w:rPr>
          <w:rFonts w:asciiTheme="majorBidi" w:hAnsiTheme="majorBidi" w:cstheme="majorBidi"/>
        </w:rPr>
        <w:t xml:space="preserve">. </w:t>
      </w:r>
      <w:r w:rsidR="002F4393">
        <w:rPr>
          <w:rFonts w:asciiTheme="majorBidi" w:hAnsiTheme="majorBidi" w:cstheme="majorBidi"/>
        </w:rPr>
        <w:t xml:space="preserve">There are several other approaches to creating harmonized NTL series that link DMSP </w:t>
      </w:r>
      <w:r>
        <w:rPr>
          <w:rFonts w:asciiTheme="majorBidi" w:hAnsiTheme="majorBidi" w:cstheme="majorBidi"/>
        </w:rPr>
        <w:t xml:space="preserve">and </w:t>
      </w:r>
      <w:r w:rsidR="002F4393">
        <w:rPr>
          <w:rFonts w:asciiTheme="majorBidi" w:hAnsiTheme="majorBidi" w:cstheme="majorBidi"/>
        </w:rPr>
        <w:t xml:space="preserve">VIIRS </w:t>
      </w:r>
      <w:r w:rsidR="00935EAC">
        <w:rPr>
          <w:rFonts w:asciiTheme="majorBidi" w:hAnsiTheme="majorBidi" w:cstheme="majorBidi"/>
        </w:rPr>
        <w:t>data,</w:t>
      </w:r>
      <w:r>
        <w:rPr>
          <w:rFonts w:asciiTheme="majorBidi" w:hAnsiTheme="majorBidi" w:cstheme="majorBidi"/>
        </w:rPr>
        <w:t xml:space="preserve"> </w:t>
      </w:r>
      <w:r w:rsidR="002F4393">
        <w:rPr>
          <w:rFonts w:asciiTheme="majorBidi" w:hAnsiTheme="majorBidi" w:cstheme="majorBidi"/>
        </w:rPr>
        <w:t xml:space="preserve">but they mostly </w:t>
      </w:r>
      <w:r w:rsidR="002F4393" w:rsidRPr="00C32F9C">
        <w:rPr>
          <w:rFonts w:asciiTheme="majorBidi" w:hAnsiTheme="majorBidi" w:cstheme="majorBidi"/>
        </w:rPr>
        <w:t>exploit overlap</w:t>
      </w:r>
      <w:r w:rsidR="002F4393">
        <w:rPr>
          <w:rFonts w:asciiTheme="majorBidi" w:hAnsiTheme="majorBidi" w:cstheme="majorBidi"/>
        </w:rPr>
        <w:t>s</w:t>
      </w:r>
      <w:r w:rsidR="002F4393" w:rsidRPr="00C32F9C">
        <w:rPr>
          <w:rFonts w:asciiTheme="majorBidi" w:hAnsiTheme="majorBidi" w:cstheme="majorBidi"/>
        </w:rPr>
        <w:t xml:space="preserve"> in levels between the two sensor</w:t>
      </w:r>
      <w:r w:rsidR="002F4393">
        <w:rPr>
          <w:rFonts w:asciiTheme="majorBidi" w:hAnsiTheme="majorBidi" w:cstheme="majorBidi"/>
        </w:rPr>
        <w:t xml:space="preserve">s and as such are potentially of less interest in economics where NTL data are primarily </w:t>
      </w:r>
      <w:r w:rsidR="00BA38B1">
        <w:rPr>
          <w:rFonts w:asciiTheme="majorBidi" w:hAnsiTheme="majorBidi" w:cstheme="majorBidi"/>
        </w:rPr>
        <w:t xml:space="preserve">for </w:t>
      </w:r>
      <w:r w:rsidR="002F4393">
        <w:rPr>
          <w:rFonts w:asciiTheme="majorBidi" w:hAnsiTheme="majorBidi" w:cstheme="majorBidi"/>
        </w:rPr>
        <w:t>study</w:t>
      </w:r>
      <w:r w:rsidR="00BA38B1">
        <w:rPr>
          <w:rFonts w:asciiTheme="majorBidi" w:hAnsiTheme="majorBidi" w:cstheme="majorBidi"/>
        </w:rPr>
        <w:t>ing</w:t>
      </w:r>
      <w:r w:rsidR="002F4393">
        <w:rPr>
          <w:rFonts w:asciiTheme="majorBidi" w:hAnsiTheme="majorBidi" w:cstheme="majorBidi"/>
        </w:rPr>
        <w:t xml:space="preserve"> </w:t>
      </w:r>
      <w:r w:rsidR="002F4393" w:rsidRPr="00E30D9E">
        <w:rPr>
          <w:rFonts w:asciiTheme="majorBidi" w:hAnsiTheme="majorBidi" w:cstheme="majorBidi"/>
        </w:rPr>
        <w:t>changes</w:t>
      </w:r>
      <w:r w:rsidR="002F4393">
        <w:rPr>
          <w:rFonts w:asciiTheme="majorBidi" w:hAnsiTheme="majorBidi" w:cstheme="majorBidi"/>
        </w:rPr>
        <w:t xml:space="preserve"> </w:t>
      </w:r>
      <w:r w:rsidR="002F4393" w:rsidRPr="00C32F9C">
        <w:rPr>
          <w:rFonts w:asciiTheme="majorBidi" w:hAnsiTheme="majorBidi" w:cstheme="majorBidi"/>
        </w:rPr>
        <w:t>(Abramitzky et al., 2025)</w:t>
      </w:r>
      <w:r w:rsidR="002F4393">
        <w:rPr>
          <w:rFonts w:asciiTheme="majorBidi" w:hAnsiTheme="majorBidi" w:cstheme="majorBidi"/>
        </w:rPr>
        <w:t xml:space="preserve">. In contrast, </w:t>
      </w:r>
      <w:r w:rsidR="002F4393" w:rsidRPr="00C32F9C">
        <w:rPr>
          <w:rFonts w:asciiTheme="majorBidi" w:hAnsiTheme="majorBidi" w:cstheme="majorBidi"/>
        </w:rPr>
        <w:t>DeepNTL explicitly incorporates temporal changes during training, making it conceptually better suited to studying long-run urban dynamics where changes over time, rather than cross-sectional relationships, are the central object of interest.</w:t>
      </w:r>
    </w:p>
    <w:p w14:paraId="0668C741" w14:textId="311D009B" w:rsidR="00C018CE" w:rsidRPr="00C018CE" w:rsidRDefault="00C018CE" w:rsidP="00E44F40">
      <w:pPr>
        <w:ind w:firstLine="720"/>
        <w:jc w:val="both"/>
        <w:rPr>
          <w:rFonts w:asciiTheme="majorBidi" w:hAnsiTheme="majorBidi" w:cstheme="majorBidi"/>
        </w:rPr>
      </w:pPr>
      <w:r w:rsidRPr="00C018CE">
        <w:rPr>
          <w:rFonts w:asciiTheme="majorBidi" w:hAnsiTheme="majorBidi" w:cstheme="majorBidi"/>
        </w:rPr>
        <w:t xml:space="preserve">Using these reconstructed data, this paper examines long-run changes in the illuminated urban footprint of 133 New Zealand towns and cities over the period </w:t>
      </w:r>
      <w:r w:rsidR="00E524FB">
        <w:rPr>
          <w:rFonts w:asciiTheme="majorBidi" w:hAnsiTheme="majorBidi" w:cstheme="majorBidi"/>
        </w:rPr>
        <w:t>1993</w:t>
      </w:r>
      <w:r w:rsidRPr="00C018CE">
        <w:rPr>
          <w:rFonts w:asciiTheme="majorBidi" w:hAnsiTheme="majorBidi" w:cstheme="majorBidi"/>
        </w:rPr>
        <w:t>–202</w:t>
      </w:r>
      <w:r w:rsidR="001768CC">
        <w:rPr>
          <w:rFonts w:asciiTheme="majorBidi" w:hAnsiTheme="majorBidi" w:cstheme="majorBidi"/>
        </w:rPr>
        <w:t>1.</w:t>
      </w:r>
      <w:r w:rsidRPr="00C018CE">
        <w:rPr>
          <w:rFonts w:asciiTheme="majorBidi" w:hAnsiTheme="majorBidi" w:cstheme="majorBidi"/>
        </w:rPr>
        <w:t xml:space="preserve"> Urban areas are identified using a</w:t>
      </w:r>
      <w:r w:rsidR="000B384A">
        <w:rPr>
          <w:rFonts w:asciiTheme="majorBidi" w:hAnsiTheme="majorBidi" w:cstheme="majorBidi"/>
        </w:rPr>
        <w:t>n</w:t>
      </w:r>
      <w:r w:rsidRPr="00C018CE">
        <w:rPr>
          <w:rFonts w:asciiTheme="majorBidi" w:hAnsiTheme="majorBidi" w:cstheme="majorBidi"/>
        </w:rPr>
        <w:t xml:space="preserve"> algorithm that expands </w:t>
      </w:r>
      <w:r w:rsidR="000B384A">
        <w:rPr>
          <w:rFonts w:asciiTheme="majorBidi" w:hAnsiTheme="majorBidi" w:cstheme="majorBidi"/>
        </w:rPr>
        <w:t xml:space="preserve">outwards </w:t>
      </w:r>
      <w:r w:rsidRPr="00C018CE">
        <w:rPr>
          <w:rFonts w:asciiTheme="majorBidi" w:hAnsiTheme="majorBidi" w:cstheme="majorBidi"/>
        </w:rPr>
        <w:t xml:space="preserve">from predefined settlement points until luminosity falls below a fixed threshold, </w:t>
      </w:r>
      <w:r w:rsidR="00F7442F">
        <w:rPr>
          <w:rFonts w:asciiTheme="majorBidi" w:hAnsiTheme="majorBidi" w:cstheme="majorBidi"/>
        </w:rPr>
        <w:t xml:space="preserve">letting </w:t>
      </w:r>
      <w:r w:rsidR="000B384A">
        <w:rPr>
          <w:rFonts w:asciiTheme="majorBidi" w:hAnsiTheme="majorBidi" w:cstheme="majorBidi"/>
        </w:rPr>
        <w:t xml:space="preserve">the edges of </w:t>
      </w:r>
      <w:r w:rsidRPr="00C018CE">
        <w:rPr>
          <w:rFonts w:asciiTheme="majorBidi" w:hAnsiTheme="majorBidi" w:cstheme="majorBidi"/>
        </w:rPr>
        <w:t xml:space="preserve">urban footprints </w:t>
      </w:r>
      <w:r w:rsidR="00F7442F">
        <w:rPr>
          <w:rFonts w:asciiTheme="majorBidi" w:hAnsiTheme="majorBidi" w:cstheme="majorBidi"/>
        </w:rPr>
        <w:t xml:space="preserve">evolve </w:t>
      </w:r>
      <w:r w:rsidRPr="00C018CE">
        <w:rPr>
          <w:rFonts w:asciiTheme="majorBidi" w:hAnsiTheme="majorBidi" w:cstheme="majorBidi"/>
        </w:rPr>
        <w:t xml:space="preserve">continuously through time rather than remaining constrained by administrative boundaries. The results reveal substantial heterogeneity in urban trajectories. Some satellite and commuter towns, </w:t>
      </w:r>
      <w:r w:rsidR="00F7442F">
        <w:rPr>
          <w:rFonts w:asciiTheme="majorBidi" w:hAnsiTheme="majorBidi" w:cstheme="majorBidi"/>
        </w:rPr>
        <w:t xml:space="preserve">such as </w:t>
      </w:r>
      <w:r w:rsidRPr="00C018CE">
        <w:rPr>
          <w:rFonts w:asciiTheme="majorBidi" w:hAnsiTheme="majorBidi" w:cstheme="majorBidi"/>
        </w:rPr>
        <w:t>Rolleston</w:t>
      </w:r>
      <w:r w:rsidR="00AF1A54">
        <w:rPr>
          <w:rFonts w:asciiTheme="majorBidi" w:hAnsiTheme="majorBidi" w:cstheme="majorBidi"/>
        </w:rPr>
        <w:t xml:space="preserve">, West Melton, and </w:t>
      </w:r>
      <w:r w:rsidRPr="00C018CE">
        <w:rPr>
          <w:rFonts w:asciiTheme="majorBidi" w:hAnsiTheme="majorBidi" w:cstheme="majorBidi"/>
        </w:rPr>
        <w:t>Pokeno</w:t>
      </w:r>
      <w:r w:rsidR="003539CC">
        <w:rPr>
          <w:rFonts w:asciiTheme="majorBidi" w:hAnsiTheme="majorBidi" w:cstheme="majorBidi"/>
        </w:rPr>
        <w:t>,</w:t>
      </w:r>
      <w:r w:rsidR="000B384A">
        <w:rPr>
          <w:rFonts w:asciiTheme="majorBidi" w:hAnsiTheme="majorBidi" w:cstheme="majorBidi"/>
        </w:rPr>
        <w:t xml:space="preserve"> </w:t>
      </w:r>
      <w:r w:rsidRPr="00C018CE">
        <w:rPr>
          <w:rFonts w:asciiTheme="majorBidi" w:hAnsiTheme="majorBidi" w:cstheme="majorBidi"/>
        </w:rPr>
        <w:t>exhibit rapid long-run expansion, while several amenity-oriented settlements such as</w:t>
      </w:r>
      <w:r w:rsidR="000B384A">
        <w:rPr>
          <w:rFonts w:asciiTheme="majorBidi" w:hAnsiTheme="majorBidi" w:cstheme="majorBidi"/>
        </w:rPr>
        <w:t xml:space="preserve"> </w:t>
      </w:r>
      <w:r w:rsidRPr="00C018CE">
        <w:rPr>
          <w:rFonts w:asciiTheme="majorBidi" w:hAnsiTheme="majorBidi" w:cstheme="majorBidi"/>
        </w:rPr>
        <w:t>W</w:t>
      </w:r>
      <w:r w:rsidR="000B384A">
        <w:rPr>
          <w:rFonts w:asciiTheme="majorBidi" w:hAnsiTheme="majorBidi" w:cstheme="majorBidi"/>
        </w:rPr>
        <w:t>a</w:t>
      </w:r>
      <w:r w:rsidRPr="00C018CE">
        <w:rPr>
          <w:rFonts w:asciiTheme="majorBidi" w:hAnsiTheme="majorBidi" w:cstheme="majorBidi"/>
        </w:rPr>
        <w:t>naka</w:t>
      </w:r>
      <w:r w:rsidR="000B384A">
        <w:rPr>
          <w:rFonts w:asciiTheme="majorBidi" w:hAnsiTheme="majorBidi" w:cstheme="majorBidi"/>
        </w:rPr>
        <w:t>,</w:t>
      </w:r>
      <w:r w:rsidR="00F7442F">
        <w:rPr>
          <w:rFonts w:asciiTheme="majorBidi" w:hAnsiTheme="majorBidi" w:cstheme="majorBidi"/>
        </w:rPr>
        <w:t xml:space="preserve"> W</w:t>
      </w:r>
      <w:r w:rsidRPr="00C018CE">
        <w:rPr>
          <w:rFonts w:asciiTheme="majorBidi" w:hAnsiTheme="majorBidi" w:cstheme="majorBidi"/>
        </w:rPr>
        <w:t>hitianga</w:t>
      </w:r>
      <w:r w:rsidR="00AF1A54">
        <w:rPr>
          <w:rFonts w:asciiTheme="majorBidi" w:hAnsiTheme="majorBidi" w:cstheme="majorBidi"/>
        </w:rPr>
        <w:t>, Omokoroa,</w:t>
      </w:r>
      <w:r w:rsidRPr="00C018CE">
        <w:rPr>
          <w:rFonts w:asciiTheme="majorBidi" w:hAnsiTheme="majorBidi" w:cstheme="majorBidi"/>
        </w:rPr>
        <w:t xml:space="preserve"> </w:t>
      </w:r>
      <w:r w:rsidR="000B384A">
        <w:rPr>
          <w:rFonts w:asciiTheme="majorBidi" w:hAnsiTheme="majorBidi" w:cstheme="majorBidi"/>
        </w:rPr>
        <w:t xml:space="preserve">and Queenstown </w:t>
      </w:r>
      <w:r w:rsidRPr="00C018CE">
        <w:rPr>
          <w:rFonts w:asciiTheme="majorBidi" w:hAnsiTheme="majorBidi" w:cstheme="majorBidi"/>
        </w:rPr>
        <w:t xml:space="preserve">also show sustained growth. </w:t>
      </w:r>
      <w:r w:rsidR="00902278" w:rsidRPr="00902278">
        <w:rPr>
          <w:rFonts w:asciiTheme="majorBidi" w:hAnsiTheme="majorBidi" w:cstheme="majorBidi"/>
        </w:rPr>
        <w:t>In contrast, a number of smaller towns have experienced persistent stagnation or contraction as economic activity, employment opportunities, and locational advantages have shifted over time.</w:t>
      </w:r>
      <w:r w:rsidRPr="00C018CE">
        <w:rPr>
          <w:rFonts w:asciiTheme="majorBidi" w:hAnsiTheme="majorBidi" w:cstheme="majorBidi"/>
        </w:rPr>
        <w:t xml:space="preserve"> </w:t>
      </w:r>
      <w:r w:rsidR="00082E70" w:rsidRPr="00082E70">
        <w:rPr>
          <w:rFonts w:asciiTheme="majorBidi" w:hAnsiTheme="majorBidi" w:cstheme="majorBidi"/>
        </w:rPr>
        <w:t xml:space="preserve">Importantly, the reconstructed data reveal a substantially different picture of long-run urban change from that implied by the original DMSP imagery, both because more towns can be independently identified </w:t>
      </w:r>
      <w:r w:rsidR="00082E70">
        <w:rPr>
          <w:rFonts w:asciiTheme="majorBidi" w:hAnsiTheme="majorBidi" w:cstheme="majorBidi"/>
        </w:rPr>
        <w:t xml:space="preserve">with the DeepNTL data </w:t>
      </w:r>
      <w:r w:rsidR="00082E70" w:rsidRPr="00082E70">
        <w:rPr>
          <w:rFonts w:asciiTheme="majorBidi" w:hAnsiTheme="majorBidi" w:cstheme="majorBidi"/>
        </w:rPr>
        <w:t xml:space="preserve">and because </w:t>
      </w:r>
      <w:r w:rsidR="00082E70">
        <w:rPr>
          <w:rFonts w:asciiTheme="majorBidi" w:hAnsiTheme="majorBidi" w:cstheme="majorBidi"/>
        </w:rPr>
        <w:t xml:space="preserve">the </w:t>
      </w:r>
      <w:r w:rsidR="00082E70" w:rsidRPr="00082E70">
        <w:rPr>
          <w:rFonts w:asciiTheme="majorBidi" w:hAnsiTheme="majorBidi" w:cstheme="majorBidi"/>
        </w:rPr>
        <w:t>estimated growth rates are no longer systematically biased downwards.</w:t>
      </w:r>
    </w:p>
    <w:p w14:paraId="226BF8B2" w14:textId="29D5FAD6" w:rsidR="00C018CE" w:rsidRPr="00C018CE" w:rsidRDefault="00C018CE" w:rsidP="00E44F40">
      <w:pPr>
        <w:ind w:firstLine="720"/>
        <w:jc w:val="both"/>
        <w:rPr>
          <w:rFonts w:asciiTheme="majorBidi" w:hAnsiTheme="majorBidi" w:cstheme="majorBidi"/>
        </w:rPr>
      </w:pPr>
      <w:r w:rsidRPr="00C018CE">
        <w:rPr>
          <w:rFonts w:asciiTheme="majorBidi" w:hAnsiTheme="majorBidi" w:cstheme="majorBidi"/>
        </w:rPr>
        <w:t>The contribution of the paper is therefore both substantive and methodological. Substantively, it provides new evidence on long-run divergence in the spatial evolution of New Zealand towns using annual observations spanning three decades. Methodologically, it demonstrates how recent deep-learning reconstruction</w:t>
      </w:r>
      <w:r w:rsidR="00B1111D">
        <w:rPr>
          <w:rFonts w:asciiTheme="majorBidi" w:hAnsiTheme="majorBidi" w:cstheme="majorBidi"/>
        </w:rPr>
        <w:t>s</w:t>
      </w:r>
      <w:r w:rsidRPr="00C018CE">
        <w:rPr>
          <w:rFonts w:asciiTheme="majorBidi" w:hAnsiTheme="majorBidi" w:cstheme="majorBidi"/>
        </w:rPr>
        <w:t xml:space="preserve"> of night-time lights data can materially alter inference about urban growth and decline by reducing the spatial </w:t>
      </w:r>
      <w:r w:rsidR="00082E70">
        <w:rPr>
          <w:rFonts w:asciiTheme="majorBidi" w:hAnsiTheme="majorBidi" w:cstheme="majorBidi"/>
        </w:rPr>
        <w:t xml:space="preserve">blurring </w:t>
      </w:r>
      <w:r w:rsidRPr="00C018CE">
        <w:rPr>
          <w:rFonts w:asciiTheme="majorBidi" w:hAnsiTheme="majorBidi" w:cstheme="majorBidi"/>
        </w:rPr>
        <w:t xml:space="preserve">inherent in </w:t>
      </w:r>
      <w:r w:rsidR="000B384A">
        <w:rPr>
          <w:rFonts w:asciiTheme="majorBidi" w:hAnsiTheme="majorBidi" w:cstheme="majorBidi"/>
        </w:rPr>
        <w:t xml:space="preserve">the </w:t>
      </w:r>
      <w:r w:rsidRPr="00C018CE">
        <w:rPr>
          <w:rFonts w:asciiTheme="majorBidi" w:hAnsiTheme="majorBidi" w:cstheme="majorBidi"/>
        </w:rPr>
        <w:t xml:space="preserve">original DMSP imagery. The remainder of the paper proceeds as follows. Section 2 describes the night-time lights data used in the analysis and the spatial and temporal limitations of the original DMSP imagery, along with </w:t>
      </w:r>
      <w:r w:rsidR="000B384A">
        <w:rPr>
          <w:rFonts w:asciiTheme="majorBidi" w:hAnsiTheme="majorBidi" w:cstheme="majorBidi"/>
        </w:rPr>
        <w:t xml:space="preserve">a validation of </w:t>
      </w:r>
      <w:r w:rsidRPr="00C018CE">
        <w:rPr>
          <w:rFonts w:asciiTheme="majorBidi" w:hAnsiTheme="majorBidi" w:cstheme="majorBidi"/>
        </w:rPr>
        <w:t>the DeepNTL data. Section 3 outlines the construction of urban footprints, the sample of towns, and the empirical approach used to estimate long-run growth trends. Section 4 presents the main results on urban expansion and contraction across New Zealand towns. Section 5 discusses implications for interpreting long-run regional divergence and concludes.</w:t>
      </w:r>
    </w:p>
    <w:p w14:paraId="2049CEAA" w14:textId="7C7B8CA5" w:rsidR="0052733D" w:rsidRPr="0052733D" w:rsidRDefault="0052733D" w:rsidP="00902278">
      <w:pPr>
        <w:keepNext/>
        <w:rPr>
          <w:rFonts w:asciiTheme="majorBidi" w:hAnsiTheme="majorBidi" w:cstheme="majorBidi"/>
          <w:b/>
          <w:bCs/>
        </w:rPr>
      </w:pPr>
      <w:r>
        <w:rPr>
          <w:rFonts w:asciiTheme="majorBidi" w:hAnsiTheme="majorBidi" w:cstheme="majorBidi"/>
          <w:b/>
          <w:bCs/>
        </w:rPr>
        <w:lastRenderedPageBreak/>
        <w:t>2.</w:t>
      </w:r>
      <w:r>
        <w:rPr>
          <w:rFonts w:asciiTheme="majorBidi" w:hAnsiTheme="majorBidi" w:cstheme="majorBidi"/>
          <w:b/>
          <w:bCs/>
        </w:rPr>
        <w:tab/>
        <w:t>Measuring Long-run Urban Change with Night-Time Lights</w:t>
      </w:r>
    </w:p>
    <w:p w14:paraId="0A5DF67D" w14:textId="79BBB6CE" w:rsidR="00DC1354" w:rsidRDefault="00DC1354" w:rsidP="00322295">
      <w:pPr>
        <w:jc w:val="both"/>
        <w:rPr>
          <w:rFonts w:asciiTheme="majorBidi" w:hAnsiTheme="majorBidi" w:cstheme="majorBidi"/>
        </w:rPr>
      </w:pPr>
      <w:r w:rsidRPr="00DC1354">
        <w:rPr>
          <w:rFonts w:asciiTheme="majorBidi" w:hAnsiTheme="majorBidi" w:cstheme="majorBidi"/>
        </w:rPr>
        <w:t>Night-time lights (NTL) data have become widely used in economics and regional science as spatially continuous proxies for local economic activity</w:t>
      </w:r>
      <w:r>
        <w:rPr>
          <w:rFonts w:asciiTheme="majorBidi" w:hAnsiTheme="majorBidi" w:cstheme="majorBidi"/>
        </w:rPr>
        <w:t xml:space="preserve"> (</w:t>
      </w:r>
      <w:r w:rsidRPr="008B2BD5">
        <w:rPr>
          <w:rFonts w:asciiTheme="majorBidi" w:hAnsiTheme="majorBidi" w:cstheme="majorBidi"/>
        </w:rPr>
        <w:t>Abramitzky</w:t>
      </w:r>
      <w:r>
        <w:rPr>
          <w:rFonts w:asciiTheme="majorBidi" w:hAnsiTheme="majorBidi" w:cstheme="majorBidi"/>
        </w:rPr>
        <w:t xml:space="preserve"> et al., 2025)</w:t>
      </w:r>
      <w:r w:rsidRPr="00DC1354">
        <w:rPr>
          <w:rFonts w:asciiTheme="majorBidi" w:hAnsiTheme="majorBidi" w:cstheme="majorBidi"/>
        </w:rPr>
        <w:t xml:space="preserve">. </w:t>
      </w:r>
      <w:r>
        <w:rPr>
          <w:rFonts w:asciiTheme="majorBidi" w:hAnsiTheme="majorBidi" w:cstheme="majorBidi"/>
        </w:rPr>
        <w:t xml:space="preserve">The usual intuition is that </w:t>
      </w:r>
      <w:r w:rsidRPr="00DC1354">
        <w:rPr>
          <w:rFonts w:asciiTheme="majorBidi" w:hAnsiTheme="majorBidi" w:cstheme="majorBidi"/>
        </w:rPr>
        <w:t xml:space="preserve">brighter areas </w:t>
      </w:r>
      <w:r>
        <w:rPr>
          <w:rFonts w:asciiTheme="majorBidi" w:hAnsiTheme="majorBidi" w:cstheme="majorBidi"/>
        </w:rPr>
        <w:t xml:space="preserve">have more </w:t>
      </w:r>
      <w:r w:rsidRPr="00DC1354">
        <w:rPr>
          <w:rFonts w:asciiTheme="majorBidi" w:hAnsiTheme="majorBidi" w:cstheme="majorBidi"/>
        </w:rPr>
        <w:t>economic activity</w:t>
      </w:r>
      <w:r w:rsidR="00DD5879">
        <w:rPr>
          <w:rFonts w:asciiTheme="majorBidi" w:hAnsiTheme="majorBidi" w:cstheme="majorBidi"/>
        </w:rPr>
        <w:t xml:space="preserve">. A </w:t>
      </w:r>
      <w:r>
        <w:rPr>
          <w:rFonts w:asciiTheme="majorBidi" w:hAnsiTheme="majorBidi" w:cstheme="majorBidi"/>
        </w:rPr>
        <w:t xml:space="preserve">decomposition along </w:t>
      </w:r>
      <w:r w:rsidRPr="00DC1354">
        <w:rPr>
          <w:rFonts w:asciiTheme="majorBidi" w:hAnsiTheme="majorBidi" w:cstheme="majorBidi"/>
        </w:rPr>
        <w:t xml:space="preserve">intensive and extensive margins </w:t>
      </w:r>
      <w:r>
        <w:rPr>
          <w:rFonts w:asciiTheme="majorBidi" w:hAnsiTheme="majorBidi" w:cstheme="majorBidi"/>
        </w:rPr>
        <w:t xml:space="preserve">is also possible </w:t>
      </w:r>
      <w:r w:rsidRPr="00DC1354">
        <w:rPr>
          <w:rFonts w:asciiTheme="majorBidi" w:hAnsiTheme="majorBidi" w:cstheme="majorBidi"/>
        </w:rPr>
        <w:t>(Bilicka and Seide</w:t>
      </w:r>
      <w:r>
        <w:rPr>
          <w:rFonts w:asciiTheme="majorBidi" w:hAnsiTheme="majorBidi" w:cstheme="majorBidi"/>
        </w:rPr>
        <w:t>l</w:t>
      </w:r>
      <w:r w:rsidRPr="00DC1354">
        <w:rPr>
          <w:rFonts w:asciiTheme="majorBidi" w:hAnsiTheme="majorBidi" w:cstheme="majorBidi"/>
        </w:rPr>
        <w:t>, 2026)</w:t>
      </w:r>
      <w:r>
        <w:rPr>
          <w:rFonts w:asciiTheme="majorBidi" w:hAnsiTheme="majorBidi" w:cstheme="majorBidi"/>
        </w:rPr>
        <w:t>.</w:t>
      </w:r>
      <w:r w:rsidRPr="00DC1354">
        <w:rPr>
          <w:rFonts w:asciiTheme="majorBidi" w:hAnsiTheme="majorBidi" w:cstheme="majorBidi"/>
        </w:rPr>
        <w:t xml:space="preserve"> The intensive margin </w:t>
      </w:r>
      <w:r>
        <w:rPr>
          <w:rFonts w:asciiTheme="majorBidi" w:hAnsiTheme="majorBidi" w:cstheme="majorBidi"/>
        </w:rPr>
        <w:t xml:space="preserve">is the </w:t>
      </w:r>
      <w:r w:rsidRPr="00DC1354">
        <w:rPr>
          <w:rFonts w:asciiTheme="majorBidi" w:hAnsiTheme="majorBidi" w:cstheme="majorBidi"/>
        </w:rPr>
        <w:t xml:space="preserve">changes in brightness conditional on </w:t>
      </w:r>
      <w:r>
        <w:rPr>
          <w:rFonts w:asciiTheme="majorBidi" w:hAnsiTheme="majorBidi" w:cstheme="majorBidi"/>
        </w:rPr>
        <w:t xml:space="preserve">being </w:t>
      </w:r>
      <w:r w:rsidRPr="00DC1354">
        <w:rPr>
          <w:rFonts w:asciiTheme="majorBidi" w:hAnsiTheme="majorBidi" w:cstheme="majorBidi"/>
        </w:rPr>
        <w:t xml:space="preserve">already-lit, while the extensive margin </w:t>
      </w:r>
      <w:r>
        <w:rPr>
          <w:rFonts w:asciiTheme="majorBidi" w:hAnsiTheme="majorBidi" w:cstheme="majorBidi"/>
        </w:rPr>
        <w:t>i</w:t>
      </w:r>
      <w:r w:rsidRPr="00DC1354">
        <w:rPr>
          <w:rFonts w:asciiTheme="majorBidi" w:hAnsiTheme="majorBidi" w:cstheme="majorBidi"/>
        </w:rPr>
        <w:t xml:space="preserve">s changes in the spatial footprint of illuminated land itself. For studying long-run urban expansion and contraction, the extensive margin is particularly informative because it more directly captures changes in the physical extent of settlements and built-up activity. </w:t>
      </w:r>
      <w:r>
        <w:rPr>
          <w:rFonts w:asciiTheme="majorBidi" w:hAnsiTheme="majorBidi" w:cstheme="majorBidi"/>
        </w:rPr>
        <w:t xml:space="preserve">Moreover, </w:t>
      </w:r>
      <w:r w:rsidR="00DD5879">
        <w:rPr>
          <w:rFonts w:asciiTheme="majorBidi" w:hAnsiTheme="majorBidi" w:cstheme="majorBidi"/>
        </w:rPr>
        <w:t xml:space="preserve">it appears </w:t>
      </w:r>
      <w:r>
        <w:rPr>
          <w:rFonts w:asciiTheme="majorBidi" w:hAnsiTheme="majorBidi" w:cstheme="majorBidi"/>
        </w:rPr>
        <w:t xml:space="preserve">that it is </w:t>
      </w:r>
      <w:r w:rsidRPr="00DC1354">
        <w:rPr>
          <w:rFonts w:asciiTheme="majorBidi" w:hAnsiTheme="majorBidi" w:cstheme="majorBidi"/>
        </w:rPr>
        <w:t xml:space="preserve">expansion </w:t>
      </w:r>
      <w:r w:rsidR="00DD5879">
        <w:rPr>
          <w:rFonts w:asciiTheme="majorBidi" w:hAnsiTheme="majorBidi" w:cstheme="majorBidi"/>
        </w:rPr>
        <w:t xml:space="preserve">of </w:t>
      </w:r>
      <w:r w:rsidRPr="00DC1354">
        <w:rPr>
          <w:rFonts w:asciiTheme="majorBidi" w:hAnsiTheme="majorBidi" w:cstheme="majorBidi"/>
        </w:rPr>
        <w:t xml:space="preserve">lit urban area </w:t>
      </w:r>
      <w:r>
        <w:rPr>
          <w:rFonts w:asciiTheme="majorBidi" w:hAnsiTheme="majorBidi" w:cstheme="majorBidi"/>
        </w:rPr>
        <w:t>that is mo</w:t>
      </w:r>
      <w:r w:rsidR="00DD5879">
        <w:rPr>
          <w:rFonts w:asciiTheme="majorBidi" w:hAnsiTheme="majorBidi" w:cstheme="majorBidi"/>
        </w:rPr>
        <w:t>re</w:t>
      </w:r>
      <w:r>
        <w:rPr>
          <w:rFonts w:asciiTheme="majorBidi" w:hAnsiTheme="majorBidi" w:cstheme="majorBidi"/>
        </w:rPr>
        <w:t xml:space="preserve"> predictive of independently measured (e.g. from household surveys) </w:t>
      </w:r>
      <w:r w:rsidR="00D74581">
        <w:rPr>
          <w:rFonts w:asciiTheme="majorBidi" w:hAnsiTheme="majorBidi" w:cstheme="majorBidi"/>
        </w:rPr>
        <w:t xml:space="preserve">indicators of </w:t>
      </w:r>
      <w:r w:rsidRPr="00DC1354">
        <w:rPr>
          <w:rFonts w:asciiTheme="majorBidi" w:hAnsiTheme="majorBidi" w:cstheme="majorBidi"/>
        </w:rPr>
        <w:t>economic development (Gibson et al., 2017).</w:t>
      </w:r>
    </w:p>
    <w:p w14:paraId="41852F3A" w14:textId="3B11B460" w:rsidR="001D2570" w:rsidRDefault="001D2570" w:rsidP="00E44F40">
      <w:pPr>
        <w:ind w:firstLine="720"/>
        <w:jc w:val="both"/>
        <w:rPr>
          <w:rFonts w:asciiTheme="majorBidi" w:hAnsiTheme="majorBidi" w:cstheme="majorBidi"/>
        </w:rPr>
      </w:pPr>
      <w:r w:rsidRPr="001D2570">
        <w:rPr>
          <w:rFonts w:asciiTheme="majorBidi" w:hAnsiTheme="majorBidi" w:cstheme="majorBidi"/>
        </w:rPr>
        <w:t>Earlier work using DMSP data to measure urban extent was generally confined to large cities</w:t>
      </w:r>
      <w:r w:rsidR="00730B46">
        <w:rPr>
          <w:rFonts w:asciiTheme="majorBidi" w:hAnsiTheme="majorBidi" w:cstheme="majorBidi"/>
        </w:rPr>
        <w:t xml:space="preserve">, in keeping with the provenance of </w:t>
      </w:r>
      <w:r w:rsidRPr="001D2570">
        <w:rPr>
          <w:rFonts w:asciiTheme="majorBidi" w:hAnsiTheme="majorBidi" w:cstheme="majorBidi"/>
        </w:rPr>
        <w:t xml:space="preserve">these first-generation military-oriented satellites </w:t>
      </w:r>
      <w:r w:rsidR="00730B46">
        <w:rPr>
          <w:rFonts w:asciiTheme="majorBidi" w:hAnsiTheme="majorBidi" w:cstheme="majorBidi"/>
        </w:rPr>
        <w:t xml:space="preserve">that </w:t>
      </w:r>
      <w:r w:rsidRPr="001D2570">
        <w:rPr>
          <w:rFonts w:asciiTheme="majorBidi" w:hAnsiTheme="majorBidi" w:cstheme="majorBidi"/>
        </w:rPr>
        <w:t xml:space="preserve">were </w:t>
      </w:r>
      <w:r w:rsidR="00DD5879">
        <w:rPr>
          <w:rFonts w:asciiTheme="majorBidi" w:hAnsiTheme="majorBidi" w:cstheme="majorBidi"/>
        </w:rPr>
        <w:t xml:space="preserve">launched to monitor </w:t>
      </w:r>
      <w:r w:rsidRPr="001D2570">
        <w:rPr>
          <w:rFonts w:asciiTheme="majorBidi" w:hAnsiTheme="majorBidi" w:cstheme="majorBidi"/>
        </w:rPr>
        <w:t>cloud</w:t>
      </w:r>
      <w:r w:rsidR="00DD5879">
        <w:rPr>
          <w:rFonts w:asciiTheme="majorBidi" w:hAnsiTheme="majorBidi" w:cstheme="majorBidi"/>
        </w:rPr>
        <w:t>s</w:t>
      </w:r>
      <w:r w:rsidRPr="001D2570">
        <w:rPr>
          <w:rFonts w:asciiTheme="majorBidi" w:hAnsiTheme="majorBidi" w:cstheme="majorBidi"/>
        </w:rPr>
        <w:t xml:space="preserve"> </w:t>
      </w:r>
      <w:r w:rsidR="002B2E67">
        <w:rPr>
          <w:rFonts w:asciiTheme="majorBidi" w:hAnsiTheme="majorBidi" w:cstheme="majorBidi"/>
        </w:rPr>
        <w:t xml:space="preserve">for military purposes </w:t>
      </w:r>
      <w:r w:rsidRPr="001D2570">
        <w:rPr>
          <w:rFonts w:asciiTheme="majorBidi" w:hAnsiTheme="majorBidi" w:cstheme="majorBidi"/>
        </w:rPr>
        <w:t xml:space="preserve">rather than </w:t>
      </w:r>
      <w:r w:rsidR="00DD5879">
        <w:rPr>
          <w:rFonts w:asciiTheme="majorBidi" w:hAnsiTheme="majorBidi" w:cstheme="majorBidi"/>
        </w:rPr>
        <w:t xml:space="preserve">to track ground-level changes in </w:t>
      </w:r>
      <w:r w:rsidRPr="001D2570">
        <w:rPr>
          <w:rFonts w:asciiTheme="majorBidi" w:hAnsiTheme="majorBidi" w:cstheme="majorBidi"/>
        </w:rPr>
        <w:t xml:space="preserve">economic </w:t>
      </w:r>
      <w:r w:rsidR="00DD5879">
        <w:rPr>
          <w:rFonts w:asciiTheme="majorBidi" w:hAnsiTheme="majorBidi" w:cstheme="majorBidi"/>
        </w:rPr>
        <w:t>activity and population</w:t>
      </w:r>
      <w:r w:rsidRPr="001D2570">
        <w:rPr>
          <w:rFonts w:asciiTheme="majorBidi" w:hAnsiTheme="majorBidi" w:cstheme="majorBidi"/>
        </w:rPr>
        <w:t xml:space="preserve">. </w:t>
      </w:r>
      <w:r w:rsidR="00730B46">
        <w:rPr>
          <w:rFonts w:asciiTheme="majorBidi" w:hAnsiTheme="majorBidi" w:cstheme="majorBidi"/>
        </w:rPr>
        <w:t>Specifically, w</w:t>
      </w:r>
      <w:r w:rsidR="00D74581">
        <w:rPr>
          <w:rFonts w:asciiTheme="majorBidi" w:hAnsiTheme="majorBidi" w:cstheme="majorBidi"/>
        </w:rPr>
        <w:t>ith t</w:t>
      </w:r>
      <w:r w:rsidRPr="001D2570">
        <w:rPr>
          <w:rFonts w:asciiTheme="majorBidi" w:hAnsiTheme="majorBidi" w:cstheme="majorBidi"/>
        </w:rPr>
        <w:t xml:space="preserve">heir coarse spatial resolution and weak detection of dimly lit areas </w:t>
      </w:r>
      <w:r>
        <w:rPr>
          <w:rFonts w:asciiTheme="majorBidi" w:hAnsiTheme="majorBidi" w:cstheme="majorBidi"/>
        </w:rPr>
        <w:t xml:space="preserve">it was often </w:t>
      </w:r>
      <w:r w:rsidRPr="001D2570">
        <w:rPr>
          <w:rFonts w:asciiTheme="majorBidi" w:hAnsiTheme="majorBidi" w:cstheme="majorBidi"/>
        </w:rPr>
        <w:t xml:space="preserve">only major metropolitan areas </w:t>
      </w:r>
      <w:r>
        <w:rPr>
          <w:rFonts w:asciiTheme="majorBidi" w:hAnsiTheme="majorBidi" w:cstheme="majorBidi"/>
        </w:rPr>
        <w:t xml:space="preserve">that could be studied </w:t>
      </w:r>
      <w:r w:rsidRPr="001D2570">
        <w:rPr>
          <w:rFonts w:asciiTheme="majorBidi" w:hAnsiTheme="majorBidi" w:cstheme="majorBidi"/>
        </w:rPr>
        <w:t>(Small et al., 2005).</w:t>
      </w:r>
      <w:r>
        <w:rPr>
          <w:rFonts w:asciiTheme="majorBidi" w:hAnsiTheme="majorBidi" w:cstheme="majorBidi"/>
        </w:rPr>
        <w:t xml:space="preserve"> For example, these data were used to study </w:t>
      </w:r>
      <w:r w:rsidR="00730B46">
        <w:rPr>
          <w:rFonts w:asciiTheme="majorBidi" w:hAnsiTheme="majorBidi" w:cstheme="majorBidi"/>
        </w:rPr>
        <w:t xml:space="preserve">the </w:t>
      </w:r>
      <w:r>
        <w:rPr>
          <w:rFonts w:asciiTheme="majorBidi" w:hAnsiTheme="majorBidi" w:cstheme="majorBidi"/>
        </w:rPr>
        <w:t xml:space="preserve">expansion </w:t>
      </w:r>
      <w:r w:rsidR="00730B46">
        <w:rPr>
          <w:rFonts w:asciiTheme="majorBidi" w:hAnsiTheme="majorBidi" w:cstheme="majorBidi"/>
        </w:rPr>
        <w:t xml:space="preserve">rates </w:t>
      </w:r>
      <w:r>
        <w:rPr>
          <w:rFonts w:asciiTheme="majorBidi" w:hAnsiTheme="majorBidi" w:cstheme="majorBidi"/>
        </w:rPr>
        <w:t xml:space="preserve">of </w:t>
      </w:r>
      <w:r w:rsidRPr="001D2570">
        <w:rPr>
          <w:rFonts w:asciiTheme="majorBidi" w:hAnsiTheme="majorBidi" w:cstheme="majorBidi"/>
        </w:rPr>
        <w:t xml:space="preserve">urban agglomerations with populations </w:t>
      </w:r>
      <w:r w:rsidR="00D74581">
        <w:rPr>
          <w:rFonts w:asciiTheme="majorBidi" w:hAnsiTheme="majorBidi" w:cstheme="majorBidi"/>
        </w:rPr>
        <w:t xml:space="preserve">above </w:t>
      </w:r>
      <w:r w:rsidRPr="001D2570">
        <w:rPr>
          <w:rFonts w:asciiTheme="majorBidi" w:hAnsiTheme="majorBidi" w:cstheme="majorBidi"/>
        </w:rPr>
        <w:t xml:space="preserve">one million in India (Gibson et al., 2015). In contrast, the present paper focuses on </w:t>
      </w:r>
      <w:r>
        <w:rPr>
          <w:rFonts w:asciiTheme="majorBidi" w:hAnsiTheme="majorBidi" w:cstheme="majorBidi"/>
        </w:rPr>
        <w:t xml:space="preserve">urban change in </w:t>
      </w:r>
      <w:r w:rsidRPr="001D2570">
        <w:rPr>
          <w:rFonts w:asciiTheme="majorBidi" w:hAnsiTheme="majorBidi" w:cstheme="majorBidi"/>
        </w:rPr>
        <w:t>much smaller towns, where the limitations of the original DMSP imagery become far more consequential.</w:t>
      </w:r>
    </w:p>
    <w:p w14:paraId="1A08B6A2" w14:textId="2C0E8A49" w:rsidR="00BA4AD5" w:rsidRDefault="00E6283E" w:rsidP="003A553E">
      <w:pPr>
        <w:ind w:firstLine="720"/>
        <w:jc w:val="both"/>
        <w:rPr>
          <w:rFonts w:asciiTheme="majorBidi" w:hAnsiTheme="majorBidi" w:cstheme="majorBidi"/>
        </w:rPr>
      </w:pPr>
      <w:r w:rsidRPr="000D4A42">
        <w:rPr>
          <w:rFonts w:asciiTheme="majorBidi" w:hAnsiTheme="majorBidi" w:cstheme="majorBidi"/>
        </w:rPr>
        <w:t>Figure 1 s</w:t>
      </w:r>
      <w:r>
        <w:rPr>
          <w:rFonts w:asciiTheme="majorBidi" w:hAnsiTheme="majorBidi" w:cstheme="majorBidi"/>
        </w:rPr>
        <w:t>how</w:t>
      </w:r>
      <w:r w:rsidRPr="000D4A42">
        <w:rPr>
          <w:rFonts w:asciiTheme="majorBidi" w:hAnsiTheme="majorBidi" w:cstheme="majorBidi"/>
        </w:rPr>
        <w:t>s the satellite systems used in this paper and highlights the trade-off between temporal coverage and spatial resolution. The DMSP series provides annual global coverage from the early 1990s onwards</w:t>
      </w:r>
      <w:r>
        <w:rPr>
          <w:rFonts w:asciiTheme="majorBidi" w:hAnsiTheme="majorBidi" w:cstheme="majorBidi"/>
        </w:rPr>
        <w:t xml:space="preserve"> (by combining time-series of six overlapping satellites) </w:t>
      </w:r>
      <w:r w:rsidRPr="000D4A42">
        <w:rPr>
          <w:rFonts w:asciiTheme="majorBidi" w:hAnsiTheme="majorBidi" w:cstheme="majorBidi"/>
        </w:rPr>
        <w:t>while the newer VIIRS data offer substantially finer and more stable imagery but only from 2012 onwards.</w:t>
      </w:r>
      <w:r>
        <w:rPr>
          <w:rStyle w:val="FootnoteReference"/>
          <w:rFonts w:asciiTheme="majorBidi" w:hAnsiTheme="majorBidi" w:cstheme="majorBidi"/>
        </w:rPr>
        <w:footnoteReference w:id="2"/>
      </w:r>
    </w:p>
    <w:p w14:paraId="5C62A7E9" w14:textId="77777777" w:rsidR="00997D91" w:rsidRPr="0063797D" w:rsidRDefault="00997D91" w:rsidP="00BA4AD5">
      <w:pPr>
        <w:spacing w:before="120" w:after="240" w:line="240" w:lineRule="auto"/>
        <w:ind w:left="720" w:hanging="720"/>
        <w:jc w:val="center"/>
        <w:rPr>
          <w:rFonts w:asciiTheme="majorBidi" w:hAnsiTheme="majorBidi" w:cstheme="majorBidi"/>
          <w:sz w:val="22"/>
          <w:szCs w:val="22"/>
        </w:rPr>
      </w:pPr>
      <w:r w:rsidRPr="0063797D">
        <w:rPr>
          <w:rFonts w:asciiTheme="majorBidi" w:hAnsiTheme="majorBidi" w:cstheme="majorBidi"/>
          <w:sz w:val="22"/>
          <w:szCs w:val="22"/>
        </w:rPr>
        <w:t>Figure 1: Satellite Coverage for the Night-Time Lights Time-Series</w:t>
      </w:r>
    </w:p>
    <w:p w14:paraId="4BA56D0B" w14:textId="77777777" w:rsidR="0019576F" w:rsidRDefault="00997D91" w:rsidP="0019576F">
      <w:pPr>
        <w:ind w:left="720" w:hanging="720"/>
        <w:jc w:val="both"/>
        <w:rPr>
          <w:rFonts w:asciiTheme="majorBidi" w:hAnsiTheme="majorBidi" w:cstheme="majorBidi"/>
        </w:rPr>
      </w:pPr>
      <w:r w:rsidRPr="00D42C0F">
        <w:rPr>
          <w:rFonts w:asciiTheme="majorBidi" w:hAnsiTheme="majorBidi" w:cstheme="majorBidi"/>
          <w:noProof/>
        </w:rPr>
        <w:drawing>
          <wp:inline distT="0" distB="0" distL="0" distR="0" wp14:anchorId="0A8E1702" wp14:editId="081550F1">
            <wp:extent cx="5731510" cy="1278255"/>
            <wp:effectExtent l="0" t="0" r="2540" b="0"/>
            <wp:docPr id="1899871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278255"/>
                    </a:xfrm>
                    <a:prstGeom prst="rect">
                      <a:avLst/>
                    </a:prstGeom>
                    <a:noFill/>
                    <a:ln>
                      <a:noFill/>
                    </a:ln>
                  </pic:spPr>
                </pic:pic>
              </a:graphicData>
            </a:graphic>
          </wp:inline>
        </w:drawing>
      </w:r>
    </w:p>
    <w:p w14:paraId="0192EDF5" w14:textId="592874C5" w:rsidR="00997D91" w:rsidRDefault="000D4A42" w:rsidP="0072442B">
      <w:pPr>
        <w:ind w:firstLine="720"/>
        <w:rPr>
          <w:rFonts w:asciiTheme="majorBidi" w:hAnsiTheme="majorBidi" w:cstheme="majorBidi"/>
        </w:rPr>
      </w:pPr>
      <w:r w:rsidRPr="000D4A42">
        <w:rPr>
          <w:rFonts w:asciiTheme="majorBidi" w:hAnsiTheme="majorBidi" w:cstheme="majorBidi"/>
        </w:rPr>
        <w:t xml:space="preserve">The overlap period between the two systems </w:t>
      </w:r>
      <w:r w:rsidR="00A86043">
        <w:rPr>
          <w:rFonts w:asciiTheme="majorBidi" w:hAnsiTheme="majorBidi" w:cstheme="majorBidi"/>
        </w:rPr>
        <w:t xml:space="preserve">facilitates </w:t>
      </w:r>
      <w:r w:rsidRPr="000D4A42">
        <w:rPr>
          <w:rFonts w:asciiTheme="majorBidi" w:hAnsiTheme="majorBidi" w:cstheme="majorBidi"/>
        </w:rPr>
        <w:t>recent reconstruction efforts that</w:t>
      </w:r>
      <w:r w:rsidR="0019576F">
        <w:rPr>
          <w:rFonts w:asciiTheme="majorBidi" w:hAnsiTheme="majorBidi" w:cstheme="majorBidi"/>
        </w:rPr>
        <w:t xml:space="preserve"> </w:t>
      </w:r>
      <w:r w:rsidR="005A485C">
        <w:rPr>
          <w:rFonts w:asciiTheme="majorBidi" w:hAnsiTheme="majorBidi" w:cstheme="majorBidi"/>
        </w:rPr>
        <w:t>a</w:t>
      </w:r>
      <w:r w:rsidRPr="000D4A42">
        <w:rPr>
          <w:rFonts w:asciiTheme="majorBidi" w:hAnsiTheme="majorBidi" w:cstheme="majorBidi"/>
        </w:rPr>
        <w:t>ttempt to recover VIIRS-like spatial detail for the earlier DMSP era.</w:t>
      </w:r>
      <w:r w:rsidR="00AE0AC6">
        <w:rPr>
          <w:rStyle w:val="FootnoteReference"/>
          <w:rFonts w:asciiTheme="majorBidi" w:hAnsiTheme="majorBidi" w:cstheme="majorBidi"/>
        </w:rPr>
        <w:footnoteReference w:id="3"/>
      </w:r>
      <w:r w:rsidRPr="000D4A42">
        <w:rPr>
          <w:rFonts w:asciiTheme="majorBidi" w:hAnsiTheme="majorBidi" w:cstheme="majorBidi"/>
        </w:rPr>
        <w:t xml:space="preserve"> Throughout the </w:t>
      </w:r>
      <w:r w:rsidRPr="000D4A42">
        <w:rPr>
          <w:rFonts w:asciiTheme="majorBidi" w:hAnsiTheme="majorBidi" w:cstheme="majorBidi"/>
        </w:rPr>
        <w:lastRenderedPageBreak/>
        <w:t>paper, urban extent is defined using pixels with radiance values exceeding 2 nW/cm²/sr, following Elvidge et al. (2024), which provides a consistent threshold for distinguishing urban from non-urban areas across both DeepNTL and VIIRS imagery.</w:t>
      </w:r>
    </w:p>
    <w:p w14:paraId="42F5CC51" w14:textId="405F3A3B" w:rsidR="003F03DA" w:rsidRPr="0038761C" w:rsidRDefault="003F03DA" w:rsidP="00322295">
      <w:pPr>
        <w:jc w:val="both"/>
        <w:rPr>
          <w:rFonts w:asciiTheme="majorBidi" w:hAnsiTheme="majorBidi" w:cstheme="majorBidi"/>
        </w:rPr>
      </w:pPr>
      <w:r>
        <w:rPr>
          <w:rFonts w:asciiTheme="majorBidi" w:hAnsiTheme="majorBidi" w:cstheme="majorBidi"/>
        </w:rPr>
        <w:t>2.1</w:t>
      </w:r>
      <w:r>
        <w:rPr>
          <w:rFonts w:asciiTheme="majorBidi" w:hAnsiTheme="majorBidi" w:cstheme="majorBidi"/>
        </w:rPr>
        <w:tab/>
        <w:t>Problems with DMSP data</w:t>
      </w:r>
    </w:p>
    <w:p w14:paraId="788EAC84" w14:textId="47DD88E3" w:rsidR="00D03BE7" w:rsidRPr="00D03BE7" w:rsidRDefault="00DD5879" w:rsidP="00322295">
      <w:pPr>
        <w:jc w:val="both"/>
        <w:rPr>
          <w:rFonts w:asciiTheme="majorBidi" w:hAnsiTheme="majorBidi" w:cstheme="majorBidi"/>
        </w:rPr>
      </w:pPr>
      <w:r>
        <w:rPr>
          <w:rFonts w:asciiTheme="majorBidi" w:hAnsiTheme="majorBidi" w:cstheme="majorBidi"/>
        </w:rPr>
        <w:t xml:space="preserve">The DMSP </w:t>
      </w:r>
      <w:r w:rsidR="00D03BE7" w:rsidRPr="00D03BE7">
        <w:rPr>
          <w:rFonts w:asciiTheme="majorBidi" w:hAnsiTheme="majorBidi" w:cstheme="majorBidi"/>
        </w:rPr>
        <w:t xml:space="preserve">data have been widely used to study urban growth and regional development because they provide the only globally </w:t>
      </w:r>
      <w:r w:rsidR="00930F9F">
        <w:rPr>
          <w:rFonts w:asciiTheme="majorBidi" w:hAnsiTheme="majorBidi" w:cstheme="majorBidi"/>
        </w:rPr>
        <w:t xml:space="preserve">available </w:t>
      </w:r>
      <w:r w:rsidR="00C5317D">
        <w:rPr>
          <w:rFonts w:asciiTheme="majorBidi" w:hAnsiTheme="majorBidi" w:cstheme="majorBidi"/>
        </w:rPr>
        <w:t xml:space="preserve">NTL series </w:t>
      </w:r>
      <w:r w:rsidR="00D03BE7" w:rsidRPr="00D03BE7">
        <w:rPr>
          <w:rFonts w:asciiTheme="majorBidi" w:hAnsiTheme="majorBidi" w:cstheme="majorBidi"/>
        </w:rPr>
        <w:t xml:space="preserve">extending back to the early 1990s. </w:t>
      </w:r>
      <w:r>
        <w:rPr>
          <w:rFonts w:asciiTheme="majorBidi" w:hAnsiTheme="majorBidi" w:cstheme="majorBidi"/>
        </w:rPr>
        <w:t>Nevertheless, they</w:t>
      </w:r>
      <w:r w:rsidR="00A20636">
        <w:rPr>
          <w:rFonts w:asciiTheme="majorBidi" w:hAnsiTheme="majorBidi" w:cstheme="majorBidi"/>
        </w:rPr>
        <w:t xml:space="preserve"> have</w:t>
      </w:r>
      <w:r w:rsidR="00D03BE7" w:rsidRPr="00D03BE7">
        <w:rPr>
          <w:rFonts w:asciiTheme="majorBidi" w:hAnsiTheme="majorBidi" w:cstheme="majorBidi"/>
        </w:rPr>
        <w:t xml:space="preserve"> several well-documented spatial measurement problems that </w:t>
      </w:r>
      <w:r w:rsidR="00C5317D">
        <w:rPr>
          <w:rFonts w:asciiTheme="majorBidi" w:hAnsiTheme="majorBidi" w:cstheme="majorBidi"/>
        </w:rPr>
        <w:t xml:space="preserve">especially matter </w:t>
      </w:r>
      <w:r w:rsidR="00D03BE7" w:rsidRPr="00D03BE7">
        <w:rPr>
          <w:rFonts w:asciiTheme="majorBidi" w:hAnsiTheme="majorBidi" w:cstheme="majorBidi"/>
        </w:rPr>
        <w:t>when studying small</w:t>
      </w:r>
      <w:r w:rsidR="00C5317D">
        <w:rPr>
          <w:rFonts w:asciiTheme="majorBidi" w:hAnsiTheme="majorBidi" w:cstheme="majorBidi"/>
        </w:rPr>
        <w:t>er urban areas</w:t>
      </w:r>
      <w:r w:rsidR="00D03BE7" w:rsidRPr="00D03BE7">
        <w:rPr>
          <w:rFonts w:asciiTheme="majorBidi" w:hAnsiTheme="majorBidi" w:cstheme="majorBidi"/>
        </w:rPr>
        <w:t xml:space="preserve"> and changes in urban extent over time. </w:t>
      </w:r>
      <w:r>
        <w:rPr>
          <w:rFonts w:asciiTheme="majorBidi" w:hAnsiTheme="majorBidi" w:cstheme="majorBidi"/>
        </w:rPr>
        <w:t xml:space="preserve">A key issue is that </w:t>
      </w:r>
      <w:r w:rsidR="00D03BE7" w:rsidRPr="00D03BE7">
        <w:rPr>
          <w:rFonts w:asciiTheme="majorBidi" w:hAnsiTheme="majorBidi" w:cstheme="majorBidi"/>
        </w:rPr>
        <w:t xml:space="preserve">the apparent fineness of the published output grid </w:t>
      </w:r>
      <w:r w:rsidR="00A20636">
        <w:rPr>
          <w:rFonts w:asciiTheme="majorBidi" w:hAnsiTheme="majorBidi" w:cstheme="majorBidi"/>
        </w:rPr>
        <w:t>great</w:t>
      </w:r>
      <w:r w:rsidR="00D03BE7" w:rsidRPr="00D03BE7">
        <w:rPr>
          <w:rFonts w:asciiTheme="majorBidi" w:hAnsiTheme="majorBidi" w:cstheme="majorBidi"/>
        </w:rPr>
        <w:t>ly overstates the true spatial resolution of the underlying sensor. While DMSP data are released on a 30 arc-second grid (</w:t>
      </w:r>
      <w:r w:rsidR="00C5317D">
        <w:rPr>
          <w:rFonts w:asciiTheme="majorBidi" w:hAnsiTheme="majorBidi" w:cstheme="majorBidi"/>
        </w:rPr>
        <w:t xml:space="preserve">corresponding to </w:t>
      </w:r>
      <w:r w:rsidR="00120605">
        <w:rPr>
          <w:rFonts w:asciiTheme="majorBidi" w:hAnsiTheme="majorBidi" w:cstheme="majorBidi"/>
        </w:rPr>
        <w:t xml:space="preserve">cell sizes of about </w:t>
      </w:r>
      <w:r w:rsidR="00D03BE7" w:rsidRPr="00D03BE7">
        <w:rPr>
          <w:rFonts w:asciiTheme="majorBidi" w:hAnsiTheme="majorBidi" w:cstheme="majorBidi"/>
        </w:rPr>
        <w:t>0.</w:t>
      </w:r>
      <w:r w:rsidR="00C5317D">
        <w:rPr>
          <w:rFonts w:asciiTheme="majorBidi" w:hAnsiTheme="majorBidi" w:cstheme="majorBidi"/>
        </w:rPr>
        <w:t>7</w:t>
      </w:r>
      <w:r w:rsidR="00D03BE7" w:rsidRPr="00D03BE7">
        <w:rPr>
          <w:rFonts w:asciiTheme="majorBidi" w:hAnsiTheme="majorBidi" w:cstheme="majorBidi"/>
        </w:rPr>
        <w:t xml:space="preserve"> km² </w:t>
      </w:r>
      <w:r w:rsidR="00120605">
        <w:rPr>
          <w:rFonts w:asciiTheme="majorBidi" w:hAnsiTheme="majorBidi" w:cstheme="majorBidi"/>
        </w:rPr>
        <w:t>for</w:t>
      </w:r>
      <w:r w:rsidR="00D03BE7" w:rsidRPr="00D03BE7">
        <w:rPr>
          <w:rFonts w:asciiTheme="majorBidi" w:hAnsiTheme="majorBidi" w:cstheme="majorBidi"/>
        </w:rPr>
        <w:t xml:space="preserve"> New Zealand), the pixel footprint of the sensor is far</w:t>
      </w:r>
      <w:r w:rsidR="00C5317D">
        <w:rPr>
          <w:rFonts w:asciiTheme="majorBidi" w:hAnsiTheme="majorBidi" w:cstheme="majorBidi"/>
        </w:rPr>
        <w:t xml:space="preserve"> coarser</w:t>
      </w:r>
      <w:r w:rsidR="00D03BE7" w:rsidRPr="00D03BE7">
        <w:rPr>
          <w:rFonts w:asciiTheme="majorBidi" w:hAnsiTheme="majorBidi" w:cstheme="majorBidi"/>
        </w:rPr>
        <w:t>.</w:t>
      </w:r>
      <w:r w:rsidR="00C5317D">
        <w:rPr>
          <w:rFonts w:asciiTheme="majorBidi" w:hAnsiTheme="majorBidi" w:cstheme="majorBidi"/>
        </w:rPr>
        <w:t xml:space="preserve"> Early literature referred to ‘blooming’ effects, attributed to atmospheric </w:t>
      </w:r>
      <w:r>
        <w:rPr>
          <w:rFonts w:asciiTheme="majorBidi" w:hAnsiTheme="majorBidi" w:cstheme="majorBidi"/>
        </w:rPr>
        <w:t xml:space="preserve">conditions </w:t>
      </w:r>
      <w:r w:rsidR="00C5317D">
        <w:rPr>
          <w:rFonts w:asciiTheme="majorBidi" w:hAnsiTheme="majorBidi" w:cstheme="majorBidi"/>
        </w:rPr>
        <w:t>or reflection off water or ice</w:t>
      </w:r>
      <w:r>
        <w:rPr>
          <w:rFonts w:asciiTheme="majorBidi" w:hAnsiTheme="majorBidi" w:cstheme="majorBidi"/>
        </w:rPr>
        <w:t>. M</w:t>
      </w:r>
      <w:r w:rsidR="00C5317D">
        <w:rPr>
          <w:rFonts w:asciiTheme="majorBidi" w:hAnsiTheme="majorBidi" w:cstheme="majorBidi"/>
        </w:rPr>
        <w:t>ore recent appraisals describe these as ‘blurring’ due to inherent limitations of DMSP sensors</w:t>
      </w:r>
      <w:r w:rsidR="00A20636">
        <w:rPr>
          <w:rFonts w:asciiTheme="majorBidi" w:hAnsiTheme="majorBidi" w:cstheme="majorBidi"/>
        </w:rPr>
        <w:t xml:space="preserve"> and data management</w:t>
      </w:r>
      <w:r w:rsidR="00C5317D">
        <w:rPr>
          <w:rFonts w:asciiTheme="majorBidi" w:hAnsiTheme="majorBidi" w:cstheme="majorBidi"/>
        </w:rPr>
        <w:t xml:space="preserve"> (Abrahams et al., 2018).</w:t>
      </w:r>
    </w:p>
    <w:p w14:paraId="147D3FF6" w14:textId="473BD750" w:rsidR="00D03BE7" w:rsidRPr="00D03BE7" w:rsidRDefault="00D03BE7" w:rsidP="00E44F40">
      <w:pPr>
        <w:ind w:firstLine="720"/>
        <w:jc w:val="both"/>
        <w:rPr>
          <w:rFonts w:asciiTheme="majorBidi" w:hAnsiTheme="majorBidi" w:cstheme="majorBidi"/>
        </w:rPr>
      </w:pPr>
      <w:r w:rsidRPr="00D03BE7">
        <w:rPr>
          <w:rFonts w:asciiTheme="majorBidi" w:hAnsiTheme="majorBidi" w:cstheme="majorBidi"/>
        </w:rPr>
        <w:t xml:space="preserve">The first source of distortion arises because the original fine-resolution </w:t>
      </w:r>
      <w:r w:rsidR="00C5317D">
        <w:rPr>
          <w:rFonts w:asciiTheme="majorBidi" w:hAnsiTheme="majorBidi" w:cstheme="majorBidi"/>
        </w:rPr>
        <w:t>pixels</w:t>
      </w:r>
      <w:r w:rsidRPr="00D03BE7">
        <w:rPr>
          <w:rFonts w:asciiTheme="majorBidi" w:hAnsiTheme="majorBidi" w:cstheme="majorBidi"/>
        </w:rPr>
        <w:t xml:space="preserve"> were averaged across 5×5 blocks before transmission to Earth in order to reduce memory and bandwidth requirements (Elvidge et al., 1997). A second problem is random geolocation error. Using an experimental light source placed in a wilderness area, Tuttle et al. (2013) showed that the location recorded by DMSP could differ from the true location by several kilometres, with the error varying stochastically rather than as a fixed offset. Third, the pixel footprint expands away from the nadir because the Earth is viewed at an angle towards the edge of the scan</w:t>
      </w:r>
      <w:r w:rsidR="000E214C">
        <w:rPr>
          <w:rFonts w:asciiTheme="majorBidi" w:hAnsiTheme="majorBidi" w:cstheme="majorBidi"/>
        </w:rPr>
        <w:t xml:space="preserve"> but</w:t>
      </w:r>
      <w:r w:rsidR="00C5317D">
        <w:rPr>
          <w:rFonts w:asciiTheme="majorBidi" w:hAnsiTheme="majorBidi" w:cstheme="majorBidi"/>
        </w:rPr>
        <w:t xml:space="preserve"> all light from the expanded footprint </w:t>
      </w:r>
      <w:r w:rsidR="000E214C">
        <w:rPr>
          <w:rFonts w:asciiTheme="majorBidi" w:hAnsiTheme="majorBidi" w:cstheme="majorBidi"/>
        </w:rPr>
        <w:t xml:space="preserve">is </w:t>
      </w:r>
      <w:r w:rsidR="00C5317D">
        <w:rPr>
          <w:rFonts w:asciiTheme="majorBidi" w:hAnsiTheme="majorBidi" w:cstheme="majorBidi"/>
        </w:rPr>
        <w:t>attributed to the smaller pixel in its centre</w:t>
      </w:r>
      <w:r w:rsidRPr="00D03BE7">
        <w:rPr>
          <w:rFonts w:asciiTheme="majorBidi" w:hAnsiTheme="majorBidi" w:cstheme="majorBidi"/>
        </w:rPr>
        <w:t xml:space="preserve">. As </w:t>
      </w:r>
      <w:r w:rsidR="00C5317D">
        <w:rPr>
          <w:rFonts w:asciiTheme="majorBidi" w:hAnsiTheme="majorBidi" w:cstheme="majorBidi"/>
        </w:rPr>
        <w:t xml:space="preserve">shown in </w:t>
      </w:r>
      <w:r w:rsidRPr="00D03BE7">
        <w:rPr>
          <w:rFonts w:asciiTheme="majorBidi" w:hAnsiTheme="majorBidi" w:cstheme="majorBidi"/>
        </w:rPr>
        <w:t xml:space="preserve">Elvidge et al. (2013), the </w:t>
      </w:r>
      <w:r w:rsidR="00DD5879">
        <w:rPr>
          <w:rFonts w:asciiTheme="majorBidi" w:hAnsiTheme="majorBidi" w:cstheme="majorBidi"/>
        </w:rPr>
        <w:t xml:space="preserve">sensor </w:t>
      </w:r>
      <w:r w:rsidRPr="00D03BE7">
        <w:rPr>
          <w:rFonts w:asciiTheme="majorBidi" w:hAnsiTheme="majorBidi" w:cstheme="majorBidi"/>
        </w:rPr>
        <w:t xml:space="preserve">pixel footprint of DMSP is approximately 25 km² </w:t>
      </w:r>
      <w:r w:rsidR="00C5317D">
        <w:rPr>
          <w:rFonts w:asciiTheme="majorBidi" w:hAnsiTheme="majorBidi" w:cstheme="majorBidi"/>
        </w:rPr>
        <w:t xml:space="preserve">at </w:t>
      </w:r>
      <w:r w:rsidRPr="00D03BE7">
        <w:rPr>
          <w:rFonts w:asciiTheme="majorBidi" w:hAnsiTheme="majorBidi" w:cstheme="majorBidi"/>
        </w:rPr>
        <w:t>nadir and becomes substantially larger</w:t>
      </w:r>
      <w:r w:rsidR="0063074C">
        <w:rPr>
          <w:rFonts w:asciiTheme="majorBidi" w:hAnsiTheme="majorBidi" w:cstheme="majorBidi"/>
        </w:rPr>
        <w:t xml:space="preserve"> (</w:t>
      </w:r>
      <w:r w:rsidR="00A86043">
        <w:rPr>
          <w:rFonts w:asciiTheme="majorBidi" w:hAnsiTheme="majorBidi" w:cstheme="majorBidi"/>
        </w:rPr>
        <w:t>over</w:t>
      </w:r>
      <w:r w:rsidR="0063074C">
        <w:rPr>
          <w:rFonts w:asciiTheme="majorBidi" w:hAnsiTheme="majorBidi" w:cstheme="majorBidi"/>
        </w:rPr>
        <w:t xml:space="preserve"> twice as large)</w:t>
      </w:r>
      <w:r w:rsidRPr="00D03BE7">
        <w:rPr>
          <w:rFonts w:asciiTheme="majorBidi" w:hAnsiTheme="majorBidi" w:cstheme="majorBidi"/>
        </w:rPr>
        <w:t xml:space="preserve"> off-nadir. Consequently, the true spatial resolution of DMSP is many times coarser than implied by the published output grid.</w:t>
      </w:r>
    </w:p>
    <w:p w14:paraId="2A223EE5" w14:textId="571CE3D3" w:rsidR="00D03BE7" w:rsidRPr="00C5317D" w:rsidRDefault="00D03BE7" w:rsidP="00E44F40">
      <w:pPr>
        <w:ind w:firstLine="720"/>
        <w:jc w:val="both"/>
        <w:rPr>
          <w:rFonts w:asciiTheme="majorBidi" w:hAnsiTheme="majorBidi" w:cstheme="majorBidi"/>
        </w:rPr>
      </w:pPr>
      <w:r w:rsidRPr="00D03BE7">
        <w:rPr>
          <w:rFonts w:asciiTheme="majorBidi" w:hAnsiTheme="majorBidi" w:cstheme="majorBidi"/>
        </w:rPr>
        <w:t xml:space="preserve">The blurred images </w:t>
      </w:r>
      <w:r w:rsidR="00C5317D">
        <w:rPr>
          <w:rFonts w:asciiTheme="majorBidi" w:hAnsiTheme="majorBidi" w:cstheme="majorBidi"/>
        </w:rPr>
        <w:t xml:space="preserve">due to these issues </w:t>
      </w:r>
      <w:r w:rsidR="0063074C">
        <w:rPr>
          <w:rFonts w:asciiTheme="majorBidi" w:hAnsiTheme="majorBidi" w:cstheme="majorBidi"/>
        </w:rPr>
        <w:t>suggest</w:t>
      </w:r>
      <w:r w:rsidR="00C5317D">
        <w:rPr>
          <w:rFonts w:asciiTheme="majorBidi" w:hAnsiTheme="majorBidi" w:cstheme="majorBidi"/>
        </w:rPr>
        <w:t xml:space="preserve"> </w:t>
      </w:r>
      <w:r w:rsidR="0063074C">
        <w:rPr>
          <w:rFonts w:asciiTheme="majorBidi" w:hAnsiTheme="majorBidi" w:cstheme="majorBidi"/>
        </w:rPr>
        <w:t xml:space="preserve">that </w:t>
      </w:r>
      <w:r w:rsidRPr="00D03BE7">
        <w:rPr>
          <w:rFonts w:asciiTheme="majorBidi" w:hAnsiTheme="majorBidi" w:cstheme="majorBidi"/>
        </w:rPr>
        <w:t>luminosity spill</w:t>
      </w:r>
      <w:r w:rsidR="0063074C">
        <w:rPr>
          <w:rFonts w:asciiTheme="majorBidi" w:hAnsiTheme="majorBidi" w:cstheme="majorBidi"/>
        </w:rPr>
        <w:t>s</w:t>
      </w:r>
      <w:r w:rsidRPr="00D03BE7">
        <w:rPr>
          <w:rFonts w:asciiTheme="majorBidi" w:hAnsiTheme="majorBidi" w:cstheme="majorBidi"/>
        </w:rPr>
        <w:t xml:space="preserve"> </w:t>
      </w:r>
      <w:r w:rsidR="00C5317D">
        <w:rPr>
          <w:rFonts w:asciiTheme="majorBidi" w:hAnsiTheme="majorBidi" w:cstheme="majorBidi"/>
        </w:rPr>
        <w:t>over</w:t>
      </w:r>
      <w:r w:rsidRPr="00D03BE7">
        <w:rPr>
          <w:rFonts w:asciiTheme="majorBidi" w:hAnsiTheme="majorBidi" w:cstheme="majorBidi"/>
        </w:rPr>
        <w:t xml:space="preserve"> urban boundaries and into genuinely unlit areas. The result is that urban areas appear systematically larger than they truly are, with the proportional exaggeration especially severe for smaller towns (Gibson et al., 2020; Gibson, 2021). This has two implications for studies of long-run urban change. First, </w:t>
      </w:r>
      <w:r w:rsidR="00C5317D" w:rsidRPr="00D03BE7">
        <w:rPr>
          <w:rFonts w:asciiTheme="majorBidi" w:hAnsiTheme="majorBidi" w:cstheme="majorBidi"/>
        </w:rPr>
        <w:t xml:space="preserve">nearby towns may appear artificially merged into larger urban footprints, reducing the number of independently observed urban areas available for analysis. </w:t>
      </w:r>
      <w:r w:rsidR="00C5317D">
        <w:rPr>
          <w:rFonts w:asciiTheme="majorBidi" w:hAnsiTheme="majorBidi" w:cstheme="majorBidi"/>
        </w:rPr>
        <w:t xml:space="preserve">Second, </w:t>
      </w:r>
      <w:r w:rsidRPr="00D03BE7">
        <w:rPr>
          <w:rFonts w:asciiTheme="majorBidi" w:hAnsiTheme="majorBidi" w:cstheme="majorBidi"/>
        </w:rPr>
        <w:t xml:space="preserve">the extent of </w:t>
      </w:r>
      <w:r w:rsidR="00C5317D">
        <w:rPr>
          <w:rFonts w:asciiTheme="majorBidi" w:hAnsiTheme="majorBidi" w:cstheme="majorBidi"/>
        </w:rPr>
        <w:t xml:space="preserve">urban area </w:t>
      </w:r>
      <w:r w:rsidRPr="00D03BE7">
        <w:rPr>
          <w:rFonts w:asciiTheme="majorBidi" w:hAnsiTheme="majorBidi" w:cstheme="majorBidi"/>
        </w:rPr>
        <w:t xml:space="preserve">is </w:t>
      </w:r>
      <w:r w:rsidR="003539CC">
        <w:rPr>
          <w:rFonts w:asciiTheme="majorBidi" w:hAnsiTheme="majorBidi" w:cstheme="majorBidi"/>
        </w:rPr>
        <w:t xml:space="preserve">especially </w:t>
      </w:r>
      <w:r w:rsidRPr="00D03BE7">
        <w:rPr>
          <w:rFonts w:asciiTheme="majorBidi" w:hAnsiTheme="majorBidi" w:cstheme="majorBidi"/>
        </w:rPr>
        <w:t>overstated for smaller settlements</w:t>
      </w:r>
      <w:r w:rsidR="00C5317D">
        <w:rPr>
          <w:rFonts w:asciiTheme="majorBidi" w:hAnsiTheme="majorBidi" w:cstheme="majorBidi"/>
        </w:rPr>
        <w:t xml:space="preserve">, so </w:t>
      </w:r>
      <w:r w:rsidR="003539CC">
        <w:rPr>
          <w:rFonts w:asciiTheme="majorBidi" w:hAnsiTheme="majorBidi" w:cstheme="majorBidi"/>
        </w:rPr>
        <w:t>when</w:t>
      </w:r>
      <w:r w:rsidR="00C5317D">
        <w:rPr>
          <w:rFonts w:asciiTheme="majorBidi" w:hAnsiTheme="majorBidi" w:cstheme="majorBidi"/>
        </w:rPr>
        <w:t xml:space="preserve"> a settlement does truly expand the estimated rate of expansion </w:t>
      </w:r>
      <w:r w:rsidR="0063074C">
        <w:rPr>
          <w:rFonts w:asciiTheme="majorBidi" w:hAnsiTheme="majorBidi" w:cstheme="majorBidi"/>
        </w:rPr>
        <w:t>is likely to</w:t>
      </w:r>
      <w:r w:rsidR="00C5317D">
        <w:rPr>
          <w:rFonts w:asciiTheme="majorBidi" w:hAnsiTheme="majorBidi" w:cstheme="majorBidi"/>
        </w:rPr>
        <w:t xml:space="preserve"> be understated because the proportionate error is smaller once the settlement has grown.</w:t>
      </w:r>
      <w:r w:rsidRPr="00D03BE7">
        <w:rPr>
          <w:rFonts w:asciiTheme="majorBidi" w:hAnsiTheme="majorBidi" w:cstheme="majorBidi"/>
          <w:vanish/>
        </w:rPr>
        <w:t>Top of FormBottom of Form</w:t>
      </w:r>
    </w:p>
    <w:p w14:paraId="3C3A3631" w14:textId="60E9BEC9" w:rsidR="008E7456" w:rsidRPr="008E7456" w:rsidRDefault="008E7456" w:rsidP="000E48E9">
      <w:pPr>
        <w:ind w:firstLine="720"/>
        <w:rPr>
          <w:rFonts w:asciiTheme="majorBidi" w:hAnsiTheme="majorBidi" w:cstheme="majorBidi"/>
        </w:rPr>
      </w:pPr>
      <w:r w:rsidRPr="008E7456">
        <w:rPr>
          <w:rFonts w:asciiTheme="majorBidi" w:hAnsiTheme="majorBidi" w:cstheme="majorBidi"/>
        </w:rPr>
        <w:t xml:space="preserve">Figure </w:t>
      </w:r>
      <w:r w:rsidR="003714B2">
        <w:rPr>
          <w:rFonts w:asciiTheme="majorBidi" w:hAnsiTheme="majorBidi" w:cstheme="majorBidi"/>
        </w:rPr>
        <w:t>2</w:t>
      </w:r>
      <w:r w:rsidRPr="008E7456">
        <w:rPr>
          <w:rFonts w:asciiTheme="majorBidi" w:hAnsiTheme="majorBidi" w:cstheme="majorBidi"/>
        </w:rPr>
        <w:t xml:space="preserve"> illustrates </w:t>
      </w:r>
      <w:r w:rsidR="003714B2">
        <w:rPr>
          <w:rFonts w:asciiTheme="majorBidi" w:hAnsiTheme="majorBidi" w:cstheme="majorBidi"/>
        </w:rPr>
        <w:t xml:space="preserve">the first of </w:t>
      </w:r>
      <w:r w:rsidRPr="008E7456">
        <w:rPr>
          <w:rFonts w:asciiTheme="majorBidi" w:hAnsiTheme="majorBidi" w:cstheme="majorBidi"/>
        </w:rPr>
        <w:t xml:space="preserve">these issues using Lincoln, </w:t>
      </w:r>
      <w:r>
        <w:rPr>
          <w:rFonts w:asciiTheme="majorBidi" w:hAnsiTheme="majorBidi" w:cstheme="majorBidi"/>
        </w:rPr>
        <w:t xml:space="preserve">which is now about 7 km </w:t>
      </w:r>
      <w:r w:rsidR="00176560">
        <w:rPr>
          <w:rFonts w:asciiTheme="majorBidi" w:hAnsiTheme="majorBidi" w:cstheme="majorBidi"/>
        </w:rPr>
        <w:t>fr</w:t>
      </w:r>
      <w:r>
        <w:rPr>
          <w:rFonts w:asciiTheme="majorBidi" w:hAnsiTheme="majorBidi" w:cstheme="majorBidi"/>
        </w:rPr>
        <w:t>o</w:t>
      </w:r>
      <w:r w:rsidR="00176560">
        <w:rPr>
          <w:rFonts w:asciiTheme="majorBidi" w:hAnsiTheme="majorBidi" w:cstheme="majorBidi"/>
        </w:rPr>
        <w:t>m</w:t>
      </w:r>
      <w:r>
        <w:rPr>
          <w:rFonts w:asciiTheme="majorBidi" w:hAnsiTheme="majorBidi" w:cstheme="majorBidi"/>
        </w:rPr>
        <w:t xml:space="preserve"> the outskirts of </w:t>
      </w:r>
      <w:r w:rsidRPr="008E7456">
        <w:rPr>
          <w:rFonts w:asciiTheme="majorBidi" w:hAnsiTheme="majorBidi" w:cstheme="majorBidi"/>
        </w:rPr>
        <w:t xml:space="preserve">Christchurch. Lincoln </w:t>
      </w:r>
      <w:r w:rsidR="00F075CB">
        <w:rPr>
          <w:rFonts w:asciiTheme="majorBidi" w:hAnsiTheme="majorBidi" w:cstheme="majorBidi"/>
        </w:rPr>
        <w:t xml:space="preserve">expanded </w:t>
      </w:r>
      <w:r w:rsidRPr="008E7456">
        <w:rPr>
          <w:rFonts w:asciiTheme="majorBidi" w:hAnsiTheme="majorBidi" w:cstheme="majorBidi"/>
        </w:rPr>
        <w:t xml:space="preserve">as population </w:t>
      </w:r>
      <w:r w:rsidR="003714B2">
        <w:rPr>
          <w:rFonts w:asciiTheme="majorBidi" w:hAnsiTheme="majorBidi" w:cstheme="majorBidi"/>
        </w:rPr>
        <w:t xml:space="preserve">moved out of </w:t>
      </w:r>
      <w:r w:rsidRPr="008E7456">
        <w:rPr>
          <w:rFonts w:asciiTheme="majorBidi" w:hAnsiTheme="majorBidi" w:cstheme="majorBidi"/>
        </w:rPr>
        <w:t>Christchurch</w:t>
      </w:r>
      <w:r>
        <w:rPr>
          <w:rFonts w:asciiTheme="majorBidi" w:hAnsiTheme="majorBidi" w:cstheme="majorBidi"/>
        </w:rPr>
        <w:t xml:space="preserve"> </w:t>
      </w:r>
      <w:r w:rsidR="003714B2">
        <w:rPr>
          <w:rFonts w:asciiTheme="majorBidi" w:hAnsiTheme="majorBidi" w:cstheme="majorBidi"/>
        </w:rPr>
        <w:t xml:space="preserve">after </w:t>
      </w:r>
      <w:r>
        <w:rPr>
          <w:rFonts w:asciiTheme="majorBidi" w:hAnsiTheme="majorBidi" w:cstheme="majorBidi"/>
        </w:rPr>
        <w:t xml:space="preserve">the Canterbury earthquakes, so in the 1990s the </w:t>
      </w:r>
      <w:r w:rsidR="00A86043">
        <w:rPr>
          <w:rFonts w:asciiTheme="majorBidi" w:hAnsiTheme="majorBidi" w:cstheme="majorBidi"/>
        </w:rPr>
        <w:t xml:space="preserve">edge-to-edge </w:t>
      </w:r>
      <w:r w:rsidR="000B5D14">
        <w:rPr>
          <w:rFonts w:asciiTheme="majorBidi" w:hAnsiTheme="majorBidi" w:cstheme="majorBidi"/>
        </w:rPr>
        <w:t>distance</w:t>
      </w:r>
      <w:r>
        <w:rPr>
          <w:rFonts w:asciiTheme="majorBidi" w:hAnsiTheme="majorBidi" w:cstheme="majorBidi"/>
        </w:rPr>
        <w:t xml:space="preserve"> was even larger</w:t>
      </w:r>
      <w:r w:rsidRPr="008E7456">
        <w:rPr>
          <w:rFonts w:asciiTheme="majorBidi" w:hAnsiTheme="majorBidi" w:cstheme="majorBidi"/>
        </w:rPr>
        <w:t xml:space="preserve">. </w:t>
      </w:r>
      <w:r>
        <w:rPr>
          <w:rFonts w:asciiTheme="majorBidi" w:hAnsiTheme="majorBidi" w:cstheme="majorBidi"/>
        </w:rPr>
        <w:t xml:space="preserve">We use </w:t>
      </w:r>
      <w:r w:rsidRPr="008E7456">
        <w:rPr>
          <w:rFonts w:asciiTheme="majorBidi" w:hAnsiTheme="majorBidi" w:cstheme="majorBidi"/>
        </w:rPr>
        <w:t xml:space="preserve">imagery </w:t>
      </w:r>
      <w:r>
        <w:rPr>
          <w:rFonts w:asciiTheme="majorBidi" w:hAnsiTheme="majorBidi" w:cstheme="majorBidi"/>
        </w:rPr>
        <w:t xml:space="preserve">composited from </w:t>
      </w:r>
      <w:r w:rsidR="003714B2">
        <w:rPr>
          <w:rFonts w:asciiTheme="majorBidi" w:hAnsiTheme="majorBidi" w:cstheme="majorBidi"/>
        </w:rPr>
        <w:t xml:space="preserve">aerial </w:t>
      </w:r>
      <w:r>
        <w:rPr>
          <w:rFonts w:asciiTheme="majorBidi" w:hAnsiTheme="majorBidi" w:cstheme="majorBidi"/>
        </w:rPr>
        <w:t>photographs taken from 1995 to 1999</w:t>
      </w:r>
      <w:r w:rsidR="00176560">
        <w:rPr>
          <w:rFonts w:asciiTheme="majorBidi" w:hAnsiTheme="majorBidi" w:cstheme="majorBidi"/>
        </w:rPr>
        <w:t xml:space="preserve"> as </w:t>
      </w:r>
      <w:r w:rsidR="00176560">
        <w:rPr>
          <w:rFonts w:asciiTheme="majorBidi" w:hAnsiTheme="majorBidi" w:cstheme="majorBidi"/>
        </w:rPr>
        <w:lastRenderedPageBreak/>
        <w:t xml:space="preserve">the ‘ground truth’ </w:t>
      </w:r>
      <w:r w:rsidR="003714B2">
        <w:rPr>
          <w:rFonts w:asciiTheme="majorBidi" w:hAnsiTheme="majorBidi" w:cstheme="majorBidi"/>
        </w:rPr>
        <w:t xml:space="preserve">indicator of </w:t>
      </w:r>
      <w:r w:rsidR="00F075CB">
        <w:rPr>
          <w:rFonts w:asciiTheme="majorBidi" w:hAnsiTheme="majorBidi" w:cstheme="majorBidi"/>
        </w:rPr>
        <w:t>how large the</w:t>
      </w:r>
      <w:r w:rsidR="00176560">
        <w:rPr>
          <w:rFonts w:asciiTheme="majorBidi" w:hAnsiTheme="majorBidi" w:cstheme="majorBidi"/>
        </w:rPr>
        <w:t xml:space="preserve"> urban area </w:t>
      </w:r>
      <w:r w:rsidR="00F075CB">
        <w:rPr>
          <w:rFonts w:asciiTheme="majorBidi" w:hAnsiTheme="majorBidi" w:cstheme="majorBidi"/>
        </w:rPr>
        <w:t xml:space="preserve">was early in </w:t>
      </w:r>
      <w:r w:rsidR="00176560">
        <w:rPr>
          <w:rFonts w:asciiTheme="majorBidi" w:hAnsiTheme="majorBidi" w:cstheme="majorBidi"/>
        </w:rPr>
        <w:t>our time series.</w:t>
      </w:r>
      <w:r w:rsidR="00176560">
        <w:rPr>
          <w:rStyle w:val="FootnoteReference"/>
          <w:rFonts w:asciiTheme="majorBidi" w:hAnsiTheme="majorBidi" w:cstheme="majorBidi"/>
        </w:rPr>
        <w:footnoteReference w:id="4"/>
      </w:r>
      <w:r w:rsidR="00176560">
        <w:rPr>
          <w:rFonts w:asciiTheme="majorBidi" w:hAnsiTheme="majorBidi" w:cstheme="majorBidi"/>
        </w:rPr>
        <w:t xml:space="preserve"> I</w:t>
      </w:r>
      <w:r w:rsidRPr="008E7456">
        <w:rPr>
          <w:rFonts w:asciiTheme="majorBidi" w:hAnsiTheme="majorBidi" w:cstheme="majorBidi"/>
        </w:rPr>
        <w:t>n the reconstructed DeepNTL data</w:t>
      </w:r>
      <w:r w:rsidR="00176560">
        <w:rPr>
          <w:rFonts w:asciiTheme="majorBidi" w:hAnsiTheme="majorBidi" w:cstheme="majorBidi"/>
        </w:rPr>
        <w:t xml:space="preserve"> (using satellite F12 for 1997)</w:t>
      </w:r>
      <w:r w:rsidRPr="008E7456">
        <w:rPr>
          <w:rFonts w:asciiTheme="majorBidi" w:hAnsiTheme="majorBidi" w:cstheme="majorBidi"/>
        </w:rPr>
        <w:t xml:space="preserve">, Lincoln </w:t>
      </w:r>
      <w:r w:rsidR="00DD5879">
        <w:rPr>
          <w:rFonts w:asciiTheme="majorBidi" w:hAnsiTheme="majorBidi" w:cstheme="majorBidi"/>
        </w:rPr>
        <w:t>i</w:t>
      </w:r>
      <w:r w:rsidRPr="008E7456">
        <w:rPr>
          <w:rFonts w:asciiTheme="majorBidi" w:hAnsiTheme="majorBidi" w:cstheme="majorBidi"/>
        </w:rPr>
        <w:t xml:space="preserve">s clearly distinguishable as a separate </w:t>
      </w:r>
      <w:r w:rsidR="005059D9">
        <w:rPr>
          <w:rFonts w:asciiTheme="majorBidi" w:hAnsiTheme="majorBidi" w:cstheme="majorBidi"/>
        </w:rPr>
        <w:t>town</w:t>
      </w:r>
      <w:r w:rsidR="00176560">
        <w:rPr>
          <w:rFonts w:asciiTheme="majorBidi" w:hAnsiTheme="majorBidi" w:cstheme="majorBidi"/>
        </w:rPr>
        <w:t xml:space="preserve">, with the edge of the illuminated area </w:t>
      </w:r>
      <w:r w:rsidR="005059D9">
        <w:rPr>
          <w:rFonts w:asciiTheme="majorBidi" w:hAnsiTheme="majorBidi" w:cstheme="majorBidi"/>
        </w:rPr>
        <w:t xml:space="preserve">(shown by the dashed lines) </w:t>
      </w:r>
      <w:r w:rsidR="00176560">
        <w:rPr>
          <w:rFonts w:asciiTheme="majorBidi" w:hAnsiTheme="majorBidi" w:cstheme="majorBidi"/>
        </w:rPr>
        <w:t>enveloping the shaded area in the map</w:t>
      </w:r>
      <w:r w:rsidR="00DD5879">
        <w:rPr>
          <w:rFonts w:asciiTheme="majorBidi" w:hAnsiTheme="majorBidi" w:cstheme="majorBidi"/>
        </w:rPr>
        <w:t xml:space="preserve"> (</w:t>
      </w:r>
      <w:r w:rsidR="006D2D95">
        <w:rPr>
          <w:rFonts w:asciiTheme="majorBidi" w:hAnsiTheme="majorBidi" w:cstheme="majorBidi"/>
        </w:rPr>
        <w:t>the shading</w:t>
      </w:r>
      <w:r w:rsidR="00176560">
        <w:rPr>
          <w:rFonts w:asciiTheme="majorBidi" w:hAnsiTheme="majorBidi" w:cstheme="majorBidi"/>
        </w:rPr>
        <w:t xml:space="preserve"> </w:t>
      </w:r>
      <w:r w:rsidR="00F075CB">
        <w:rPr>
          <w:rFonts w:asciiTheme="majorBidi" w:hAnsiTheme="majorBidi" w:cstheme="majorBidi"/>
        </w:rPr>
        <w:t xml:space="preserve">is </w:t>
      </w:r>
      <w:r w:rsidR="00176560">
        <w:rPr>
          <w:rFonts w:asciiTheme="majorBidi" w:hAnsiTheme="majorBidi" w:cstheme="majorBidi"/>
        </w:rPr>
        <w:t xml:space="preserve">the </w:t>
      </w:r>
      <w:r w:rsidR="004D300A">
        <w:rPr>
          <w:rFonts w:asciiTheme="majorBidi" w:hAnsiTheme="majorBidi" w:cstheme="majorBidi"/>
        </w:rPr>
        <w:t xml:space="preserve">built-up </w:t>
      </w:r>
      <w:r w:rsidR="00176560">
        <w:rPr>
          <w:rFonts w:asciiTheme="majorBidi" w:hAnsiTheme="majorBidi" w:cstheme="majorBidi"/>
        </w:rPr>
        <w:t xml:space="preserve">area </w:t>
      </w:r>
      <w:r w:rsidR="004D300A">
        <w:rPr>
          <w:rFonts w:asciiTheme="majorBidi" w:hAnsiTheme="majorBidi" w:cstheme="majorBidi"/>
        </w:rPr>
        <w:t xml:space="preserve">from </w:t>
      </w:r>
      <w:r w:rsidR="00176560">
        <w:rPr>
          <w:rFonts w:asciiTheme="majorBidi" w:hAnsiTheme="majorBidi" w:cstheme="majorBidi"/>
        </w:rPr>
        <w:t>aerial mapping</w:t>
      </w:r>
      <w:r w:rsidR="00DD5879">
        <w:rPr>
          <w:rFonts w:asciiTheme="majorBidi" w:hAnsiTheme="majorBidi" w:cstheme="majorBidi"/>
        </w:rPr>
        <w:t>)</w:t>
      </w:r>
      <w:r w:rsidR="00176560">
        <w:rPr>
          <w:rFonts w:asciiTheme="majorBidi" w:hAnsiTheme="majorBidi" w:cstheme="majorBidi"/>
        </w:rPr>
        <w:t>.</w:t>
      </w:r>
      <w:r w:rsidR="005059D9">
        <w:rPr>
          <w:rStyle w:val="FootnoteReference"/>
          <w:rFonts w:asciiTheme="majorBidi" w:hAnsiTheme="majorBidi" w:cstheme="majorBidi"/>
        </w:rPr>
        <w:footnoteReference w:id="5"/>
      </w:r>
      <w:r w:rsidRPr="008E7456">
        <w:rPr>
          <w:rFonts w:asciiTheme="majorBidi" w:hAnsiTheme="majorBidi" w:cstheme="majorBidi"/>
        </w:rPr>
        <w:t xml:space="preserve"> </w:t>
      </w:r>
      <w:r w:rsidR="005059D9">
        <w:rPr>
          <w:rFonts w:asciiTheme="majorBidi" w:hAnsiTheme="majorBidi" w:cstheme="majorBidi"/>
        </w:rPr>
        <w:t>Yet when the original (</w:t>
      </w:r>
      <w:r w:rsidRPr="008E7456">
        <w:rPr>
          <w:rFonts w:asciiTheme="majorBidi" w:hAnsiTheme="majorBidi" w:cstheme="majorBidi"/>
        </w:rPr>
        <w:t>coarse and blurred</w:t>
      </w:r>
      <w:r w:rsidR="005059D9">
        <w:rPr>
          <w:rFonts w:asciiTheme="majorBidi" w:hAnsiTheme="majorBidi" w:cstheme="majorBidi"/>
        </w:rPr>
        <w:t>)</w:t>
      </w:r>
      <w:r w:rsidRPr="008E7456">
        <w:rPr>
          <w:rFonts w:asciiTheme="majorBidi" w:hAnsiTheme="majorBidi" w:cstheme="majorBidi"/>
        </w:rPr>
        <w:t xml:space="preserve"> DMSP imagery </w:t>
      </w:r>
      <w:r w:rsidR="005059D9">
        <w:rPr>
          <w:rFonts w:asciiTheme="majorBidi" w:hAnsiTheme="majorBidi" w:cstheme="majorBidi"/>
        </w:rPr>
        <w:t xml:space="preserve">from F12 in 1997 is used (the solid dark line), </w:t>
      </w:r>
      <w:r w:rsidR="003714B2">
        <w:rPr>
          <w:rFonts w:asciiTheme="majorBidi" w:hAnsiTheme="majorBidi" w:cstheme="majorBidi"/>
        </w:rPr>
        <w:t xml:space="preserve">Lincoln </w:t>
      </w:r>
      <w:r w:rsidR="00D74581">
        <w:rPr>
          <w:rFonts w:asciiTheme="majorBidi" w:hAnsiTheme="majorBidi" w:cstheme="majorBidi"/>
        </w:rPr>
        <w:t xml:space="preserve">seems to be </w:t>
      </w:r>
      <w:r w:rsidRPr="008E7456">
        <w:rPr>
          <w:rFonts w:asciiTheme="majorBidi" w:hAnsiTheme="majorBidi" w:cstheme="majorBidi"/>
        </w:rPr>
        <w:t>merge</w:t>
      </w:r>
      <w:r w:rsidR="003714B2">
        <w:rPr>
          <w:rFonts w:asciiTheme="majorBidi" w:hAnsiTheme="majorBidi" w:cstheme="majorBidi"/>
        </w:rPr>
        <w:t>d</w:t>
      </w:r>
      <w:r w:rsidRPr="008E7456">
        <w:rPr>
          <w:rFonts w:asciiTheme="majorBidi" w:hAnsiTheme="majorBidi" w:cstheme="majorBidi"/>
        </w:rPr>
        <w:t xml:space="preserve"> into an enlarged Christchurch footprint, obscuring the </w:t>
      </w:r>
      <w:r w:rsidR="003714B2">
        <w:rPr>
          <w:rFonts w:asciiTheme="majorBidi" w:hAnsiTheme="majorBidi" w:cstheme="majorBidi"/>
        </w:rPr>
        <w:t xml:space="preserve">rural buffer </w:t>
      </w:r>
      <w:r w:rsidRPr="008E7456">
        <w:rPr>
          <w:rFonts w:asciiTheme="majorBidi" w:hAnsiTheme="majorBidi" w:cstheme="majorBidi"/>
        </w:rPr>
        <w:t>between the two urban areas</w:t>
      </w:r>
      <w:r w:rsidR="003714B2">
        <w:rPr>
          <w:rFonts w:asciiTheme="majorBidi" w:hAnsiTheme="majorBidi" w:cstheme="majorBidi"/>
        </w:rPr>
        <w:t>.</w:t>
      </w:r>
      <w:r w:rsidRPr="008E7456">
        <w:rPr>
          <w:rFonts w:asciiTheme="majorBidi" w:hAnsiTheme="majorBidi" w:cstheme="majorBidi"/>
        </w:rPr>
        <w:t xml:space="preserve"> Similar i</w:t>
      </w:r>
      <w:r w:rsidR="006D2D95">
        <w:rPr>
          <w:rFonts w:asciiTheme="majorBidi" w:hAnsiTheme="majorBidi" w:cstheme="majorBidi"/>
        </w:rPr>
        <w:t>nstances</w:t>
      </w:r>
      <w:r w:rsidRPr="008E7456">
        <w:rPr>
          <w:rFonts w:asciiTheme="majorBidi" w:hAnsiTheme="majorBidi" w:cstheme="majorBidi"/>
        </w:rPr>
        <w:t xml:space="preserve"> </w:t>
      </w:r>
      <w:r w:rsidR="005059D9">
        <w:rPr>
          <w:rFonts w:asciiTheme="majorBidi" w:hAnsiTheme="majorBidi" w:cstheme="majorBidi"/>
        </w:rPr>
        <w:t xml:space="preserve">of being absorbed </w:t>
      </w:r>
      <w:r w:rsidRPr="008E7456">
        <w:rPr>
          <w:rFonts w:asciiTheme="majorBidi" w:hAnsiTheme="majorBidi" w:cstheme="majorBidi"/>
        </w:rPr>
        <w:t xml:space="preserve">arise for </w:t>
      </w:r>
      <w:r w:rsidR="003714B2">
        <w:rPr>
          <w:rFonts w:asciiTheme="majorBidi" w:hAnsiTheme="majorBidi" w:cstheme="majorBidi"/>
        </w:rPr>
        <w:t xml:space="preserve">other satellite towns </w:t>
      </w:r>
      <w:r w:rsidR="00A20636">
        <w:rPr>
          <w:rFonts w:asciiTheme="majorBidi" w:hAnsiTheme="majorBidi" w:cstheme="majorBidi"/>
        </w:rPr>
        <w:t xml:space="preserve">(e.g. Pukekohe and </w:t>
      </w:r>
      <w:r w:rsidR="00A20636" w:rsidRPr="008E7456">
        <w:rPr>
          <w:rFonts w:asciiTheme="majorBidi" w:hAnsiTheme="majorBidi" w:cstheme="majorBidi"/>
        </w:rPr>
        <w:t>Rangiora</w:t>
      </w:r>
      <w:r w:rsidR="00A20636">
        <w:rPr>
          <w:rFonts w:asciiTheme="majorBidi" w:hAnsiTheme="majorBidi" w:cstheme="majorBidi"/>
        </w:rPr>
        <w:t xml:space="preserve">) </w:t>
      </w:r>
      <w:r w:rsidR="003714B2">
        <w:rPr>
          <w:rFonts w:asciiTheme="majorBidi" w:hAnsiTheme="majorBidi" w:cstheme="majorBidi"/>
        </w:rPr>
        <w:t>outside of cities with big urban footprints</w:t>
      </w:r>
      <w:r w:rsidR="00A20636">
        <w:rPr>
          <w:rFonts w:asciiTheme="majorBidi" w:hAnsiTheme="majorBidi" w:cstheme="majorBidi"/>
        </w:rPr>
        <w:t>.</w:t>
      </w:r>
    </w:p>
    <w:p w14:paraId="203DC00F" w14:textId="380A431D" w:rsidR="008E7456" w:rsidRDefault="008E7456" w:rsidP="00E44F40">
      <w:pPr>
        <w:ind w:firstLine="720"/>
        <w:jc w:val="both"/>
        <w:rPr>
          <w:rFonts w:asciiTheme="majorBidi" w:hAnsiTheme="majorBidi" w:cstheme="majorBidi"/>
        </w:rPr>
      </w:pPr>
      <w:r w:rsidRPr="008E7456">
        <w:rPr>
          <w:rFonts w:asciiTheme="majorBidi" w:hAnsiTheme="majorBidi" w:cstheme="majorBidi"/>
        </w:rPr>
        <w:t>These measurement problems have broader implications for the structure of the panel dataset used to estimate long-run urban growth trends. Using the original DMSP data, only 12</w:t>
      </w:r>
      <w:r w:rsidR="00B1111D">
        <w:rPr>
          <w:rFonts w:asciiTheme="majorBidi" w:hAnsiTheme="majorBidi" w:cstheme="majorBidi"/>
        </w:rPr>
        <w:t>3</w:t>
      </w:r>
      <w:r w:rsidRPr="008E7456">
        <w:rPr>
          <w:rFonts w:asciiTheme="majorBidi" w:hAnsiTheme="majorBidi" w:cstheme="majorBidi"/>
        </w:rPr>
        <w:t xml:space="preserve"> urban areas can be consistently identified because some smaller towns are repeatedly absorbed into neighbouring cities </w:t>
      </w:r>
      <w:r w:rsidR="005059D9">
        <w:rPr>
          <w:rFonts w:asciiTheme="majorBidi" w:hAnsiTheme="majorBidi" w:cstheme="majorBidi"/>
        </w:rPr>
        <w:t xml:space="preserve">due to </w:t>
      </w:r>
      <w:r w:rsidRPr="008E7456">
        <w:rPr>
          <w:rFonts w:asciiTheme="majorBidi" w:hAnsiTheme="majorBidi" w:cstheme="majorBidi"/>
        </w:rPr>
        <w:t xml:space="preserve">the exaggerated DMSP footprint. The resulting panel contains </w:t>
      </w:r>
      <w:r w:rsidR="000B5D14">
        <w:rPr>
          <w:rFonts w:asciiTheme="majorBidi" w:hAnsiTheme="majorBidi" w:cstheme="majorBidi"/>
        </w:rPr>
        <w:t xml:space="preserve">just </w:t>
      </w:r>
      <w:r w:rsidRPr="008E7456">
        <w:rPr>
          <w:rFonts w:asciiTheme="majorBidi" w:hAnsiTheme="majorBidi" w:cstheme="majorBidi"/>
        </w:rPr>
        <w:t>4,</w:t>
      </w:r>
      <w:r w:rsidR="00C50CCB">
        <w:rPr>
          <w:rFonts w:asciiTheme="majorBidi" w:hAnsiTheme="majorBidi" w:cstheme="majorBidi"/>
        </w:rPr>
        <w:t>774</w:t>
      </w:r>
      <w:r w:rsidRPr="008E7456">
        <w:rPr>
          <w:rFonts w:asciiTheme="majorBidi" w:hAnsiTheme="majorBidi" w:cstheme="majorBidi"/>
        </w:rPr>
        <w:t xml:space="preserve"> satellite-year observations, averaging </w:t>
      </w:r>
      <w:r w:rsidR="00C50CCB">
        <w:rPr>
          <w:rFonts w:asciiTheme="majorBidi" w:hAnsiTheme="majorBidi" w:cstheme="majorBidi"/>
        </w:rPr>
        <w:t xml:space="preserve">less than </w:t>
      </w:r>
      <w:r w:rsidRPr="008E7456">
        <w:rPr>
          <w:rFonts w:asciiTheme="majorBidi" w:hAnsiTheme="majorBidi" w:cstheme="majorBidi"/>
        </w:rPr>
        <w:t xml:space="preserve">39 observations per town because some settlements effectively disappear in years where they </w:t>
      </w:r>
      <w:r w:rsidR="005059D9">
        <w:rPr>
          <w:rFonts w:asciiTheme="majorBidi" w:hAnsiTheme="majorBidi" w:cstheme="majorBidi"/>
        </w:rPr>
        <w:t xml:space="preserve">are </w:t>
      </w:r>
      <w:r w:rsidRPr="008E7456">
        <w:rPr>
          <w:rFonts w:asciiTheme="majorBidi" w:hAnsiTheme="majorBidi" w:cstheme="majorBidi"/>
        </w:rPr>
        <w:t>merge</w:t>
      </w:r>
      <w:r w:rsidR="005059D9">
        <w:rPr>
          <w:rFonts w:asciiTheme="majorBidi" w:hAnsiTheme="majorBidi" w:cstheme="majorBidi"/>
        </w:rPr>
        <w:t>d</w:t>
      </w:r>
      <w:r w:rsidRPr="008E7456">
        <w:rPr>
          <w:rFonts w:asciiTheme="majorBidi" w:hAnsiTheme="majorBidi" w:cstheme="majorBidi"/>
        </w:rPr>
        <w:t xml:space="preserve"> into nearby urban areas. In contrast, the sharper spatial resolution of DeepNTL allows 133 urban areas to be separately identified, producing a panel of </w:t>
      </w:r>
      <w:r w:rsidR="00C50CCB">
        <w:rPr>
          <w:rFonts w:asciiTheme="majorBidi" w:hAnsiTheme="majorBidi" w:cstheme="majorBidi"/>
        </w:rPr>
        <w:t>5</w:t>
      </w:r>
      <w:r w:rsidRPr="008E7456">
        <w:rPr>
          <w:rFonts w:asciiTheme="majorBidi" w:hAnsiTheme="majorBidi" w:cstheme="majorBidi"/>
        </w:rPr>
        <w:t>,</w:t>
      </w:r>
      <w:r w:rsidR="00C50CCB">
        <w:rPr>
          <w:rFonts w:asciiTheme="majorBidi" w:hAnsiTheme="majorBidi" w:cstheme="majorBidi"/>
        </w:rPr>
        <w:t>985</w:t>
      </w:r>
      <w:r w:rsidRPr="008E7456">
        <w:rPr>
          <w:rFonts w:asciiTheme="majorBidi" w:hAnsiTheme="majorBidi" w:cstheme="majorBidi"/>
        </w:rPr>
        <w:t xml:space="preserve"> satellite-year observations and an average of more than 45 observations per town. Thus, beyond reducing measurement error in urban area itself, the reconstructed data materially increase the number of independently observed towns and the temporal continuity available for estimating long-run growth and decline trajectories.</w:t>
      </w:r>
    </w:p>
    <w:p w14:paraId="1EAD8E7A" w14:textId="5D452C7B" w:rsidR="00D50AF7" w:rsidRDefault="00997D91" w:rsidP="00997D91">
      <w:pPr>
        <w:ind w:firstLine="720"/>
        <w:jc w:val="both"/>
        <w:rPr>
          <w:rFonts w:asciiTheme="majorBidi" w:hAnsiTheme="majorBidi" w:cstheme="majorBidi"/>
        </w:rPr>
      </w:pPr>
      <w:r w:rsidRPr="00D50AF7">
        <w:rPr>
          <w:rFonts w:asciiTheme="majorBidi" w:hAnsiTheme="majorBidi" w:cstheme="majorBidi"/>
        </w:rPr>
        <w:t xml:space="preserve">Figure 3 </w:t>
      </w:r>
      <w:r>
        <w:rPr>
          <w:rFonts w:asciiTheme="majorBidi" w:hAnsiTheme="majorBidi" w:cstheme="majorBidi"/>
        </w:rPr>
        <w:t xml:space="preserve">shows the </w:t>
      </w:r>
      <w:r w:rsidRPr="00D50AF7">
        <w:rPr>
          <w:rFonts w:asciiTheme="majorBidi" w:hAnsiTheme="majorBidi" w:cstheme="majorBidi"/>
        </w:rPr>
        <w:t xml:space="preserve">second </w:t>
      </w:r>
      <w:r>
        <w:rPr>
          <w:rFonts w:asciiTheme="majorBidi" w:hAnsiTheme="majorBidi" w:cstheme="majorBidi"/>
        </w:rPr>
        <w:t xml:space="preserve">issue with </w:t>
      </w:r>
      <w:r w:rsidRPr="00D50AF7">
        <w:rPr>
          <w:rFonts w:asciiTheme="majorBidi" w:hAnsiTheme="majorBidi" w:cstheme="majorBidi"/>
        </w:rPr>
        <w:t xml:space="preserve">coarse DMSP imagery: exaggeration of urban area is </w:t>
      </w:r>
      <w:r>
        <w:rPr>
          <w:rFonts w:asciiTheme="majorBidi" w:hAnsiTheme="majorBidi" w:cstheme="majorBidi"/>
        </w:rPr>
        <w:t xml:space="preserve">proportionately </w:t>
      </w:r>
      <w:r w:rsidRPr="00D50AF7">
        <w:rPr>
          <w:rFonts w:asciiTheme="majorBidi" w:hAnsiTheme="majorBidi" w:cstheme="majorBidi"/>
        </w:rPr>
        <w:t>greate</w:t>
      </w:r>
      <w:r>
        <w:rPr>
          <w:rFonts w:asciiTheme="majorBidi" w:hAnsiTheme="majorBidi" w:cstheme="majorBidi"/>
        </w:rPr>
        <w:t>st</w:t>
      </w:r>
      <w:r w:rsidRPr="00D50AF7">
        <w:rPr>
          <w:rFonts w:asciiTheme="majorBidi" w:hAnsiTheme="majorBidi" w:cstheme="majorBidi"/>
        </w:rPr>
        <w:t xml:space="preserve"> for smaller towns. The </w:t>
      </w:r>
      <w:r>
        <w:rPr>
          <w:rFonts w:asciiTheme="majorBidi" w:hAnsiTheme="majorBidi" w:cstheme="majorBidi"/>
        </w:rPr>
        <w:t>maps</w:t>
      </w:r>
      <w:r w:rsidRPr="00D50AF7">
        <w:rPr>
          <w:rFonts w:asciiTheme="majorBidi" w:hAnsiTheme="majorBidi" w:cstheme="majorBidi"/>
        </w:rPr>
        <w:t xml:space="preserve"> compare Amberley in North Canterbury</w:t>
      </w:r>
      <w:r>
        <w:rPr>
          <w:rFonts w:asciiTheme="majorBidi" w:hAnsiTheme="majorBidi" w:cstheme="majorBidi"/>
        </w:rPr>
        <w:t xml:space="preserve"> (current population of ca. 3000, ranked 103</w:t>
      </w:r>
      <w:r>
        <w:rPr>
          <w:rFonts w:asciiTheme="majorBidi" w:hAnsiTheme="majorBidi" w:cstheme="majorBidi"/>
          <w:vertAlign w:val="superscript"/>
        </w:rPr>
        <w:t>rd</w:t>
      </w:r>
      <w:r>
        <w:rPr>
          <w:rFonts w:asciiTheme="majorBidi" w:hAnsiTheme="majorBidi" w:cstheme="majorBidi"/>
        </w:rPr>
        <w:t>)</w:t>
      </w:r>
      <w:r w:rsidRPr="00D50AF7">
        <w:rPr>
          <w:rFonts w:asciiTheme="majorBidi" w:hAnsiTheme="majorBidi" w:cstheme="majorBidi"/>
        </w:rPr>
        <w:t>, with the much larger South Canterbury city of Timaru</w:t>
      </w:r>
      <w:r>
        <w:rPr>
          <w:rFonts w:asciiTheme="majorBidi" w:hAnsiTheme="majorBidi" w:cstheme="majorBidi"/>
        </w:rPr>
        <w:t xml:space="preserve"> (population of ca. 30,000 and ranked 21</w:t>
      </w:r>
      <w:r>
        <w:rPr>
          <w:rFonts w:asciiTheme="majorBidi" w:hAnsiTheme="majorBidi" w:cstheme="majorBidi"/>
          <w:vertAlign w:val="superscript"/>
        </w:rPr>
        <w:t>st</w:t>
      </w:r>
      <w:r>
        <w:rPr>
          <w:rFonts w:asciiTheme="majorBidi" w:hAnsiTheme="majorBidi" w:cstheme="majorBidi"/>
        </w:rPr>
        <w:t>). T</w:t>
      </w:r>
      <w:r w:rsidRPr="00D50AF7">
        <w:rPr>
          <w:rFonts w:asciiTheme="majorBidi" w:hAnsiTheme="majorBidi" w:cstheme="majorBidi"/>
        </w:rPr>
        <w:t xml:space="preserve">he 1990s aerial mapping benchmark </w:t>
      </w:r>
      <w:r>
        <w:rPr>
          <w:rFonts w:asciiTheme="majorBidi" w:hAnsiTheme="majorBidi" w:cstheme="majorBidi"/>
        </w:rPr>
        <w:t xml:space="preserve">used </w:t>
      </w:r>
      <w:r w:rsidRPr="00D50AF7">
        <w:rPr>
          <w:rFonts w:asciiTheme="majorBidi" w:hAnsiTheme="majorBidi" w:cstheme="majorBidi"/>
        </w:rPr>
        <w:t>in Figure 2</w:t>
      </w:r>
      <w:r>
        <w:rPr>
          <w:rFonts w:asciiTheme="majorBidi" w:hAnsiTheme="majorBidi" w:cstheme="majorBidi"/>
        </w:rPr>
        <w:t xml:space="preserve"> and the original and reconstructed 1997 NTL data from satellite F12 are used to show estimates of the</w:t>
      </w:r>
      <w:r w:rsidR="000E48E9">
        <w:rPr>
          <w:rFonts w:asciiTheme="majorBidi" w:hAnsiTheme="majorBidi" w:cstheme="majorBidi"/>
        </w:rPr>
        <w:t xml:space="preserve"> </w:t>
      </w:r>
      <w:r>
        <w:rPr>
          <w:rFonts w:asciiTheme="majorBidi" w:hAnsiTheme="majorBidi" w:cstheme="majorBidi"/>
        </w:rPr>
        <w:t>urban area</w:t>
      </w:r>
      <w:r w:rsidRPr="00D50AF7">
        <w:rPr>
          <w:rFonts w:asciiTheme="majorBidi" w:hAnsiTheme="majorBidi" w:cstheme="majorBidi"/>
        </w:rPr>
        <w:t xml:space="preserve">. </w:t>
      </w:r>
      <w:r>
        <w:rPr>
          <w:rFonts w:asciiTheme="majorBidi" w:hAnsiTheme="majorBidi" w:cstheme="majorBidi"/>
        </w:rPr>
        <w:t xml:space="preserve">For both places, </w:t>
      </w:r>
      <w:r w:rsidRPr="00D50AF7">
        <w:rPr>
          <w:rFonts w:asciiTheme="majorBidi" w:hAnsiTheme="majorBidi" w:cstheme="majorBidi"/>
        </w:rPr>
        <w:t xml:space="preserve">DMSP substantially overstates the spatial footprint of urban development relative to </w:t>
      </w:r>
      <w:r>
        <w:rPr>
          <w:rFonts w:asciiTheme="majorBidi" w:hAnsiTheme="majorBidi" w:cstheme="majorBidi"/>
        </w:rPr>
        <w:t xml:space="preserve">what </w:t>
      </w:r>
      <w:r w:rsidRPr="00D50AF7">
        <w:rPr>
          <w:rFonts w:asciiTheme="majorBidi" w:hAnsiTheme="majorBidi" w:cstheme="majorBidi"/>
        </w:rPr>
        <w:t>both aerial mapping and the reconstructed DeepNTL data</w:t>
      </w:r>
      <w:r>
        <w:rPr>
          <w:rFonts w:asciiTheme="majorBidi" w:hAnsiTheme="majorBidi" w:cstheme="majorBidi"/>
        </w:rPr>
        <w:t xml:space="preserve"> show</w:t>
      </w:r>
      <w:r w:rsidRPr="00D50AF7">
        <w:rPr>
          <w:rFonts w:asciiTheme="majorBidi" w:hAnsiTheme="majorBidi" w:cstheme="majorBidi"/>
        </w:rPr>
        <w:t xml:space="preserve">. However, the exaggeration is proportionately much larger for Amberley than for Timaru, causing the relative size difference between the two urban areas to be </w:t>
      </w:r>
      <w:r>
        <w:rPr>
          <w:rFonts w:asciiTheme="majorBidi" w:hAnsiTheme="majorBidi" w:cstheme="majorBidi"/>
        </w:rPr>
        <w:t xml:space="preserve">greatly </w:t>
      </w:r>
      <w:r w:rsidRPr="00D50AF7">
        <w:rPr>
          <w:rFonts w:asciiTheme="majorBidi" w:hAnsiTheme="majorBidi" w:cstheme="majorBidi"/>
        </w:rPr>
        <w:t xml:space="preserve">understated. </w:t>
      </w:r>
      <w:r>
        <w:rPr>
          <w:rFonts w:asciiTheme="majorBidi" w:hAnsiTheme="majorBidi" w:cstheme="majorBidi"/>
        </w:rPr>
        <w:t xml:space="preserve">With </w:t>
      </w:r>
      <w:r w:rsidRPr="00D50AF7">
        <w:rPr>
          <w:rFonts w:asciiTheme="majorBidi" w:hAnsiTheme="majorBidi" w:cstheme="majorBidi"/>
        </w:rPr>
        <w:t xml:space="preserve">aerial mapping, Timaru was </w:t>
      </w:r>
      <w:r>
        <w:rPr>
          <w:rFonts w:asciiTheme="majorBidi" w:hAnsiTheme="majorBidi" w:cstheme="majorBidi"/>
        </w:rPr>
        <w:t xml:space="preserve">about </w:t>
      </w:r>
      <w:r w:rsidRPr="00D50AF7">
        <w:rPr>
          <w:rFonts w:asciiTheme="majorBidi" w:hAnsiTheme="majorBidi" w:cstheme="majorBidi"/>
        </w:rPr>
        <w:t>eleven times larger than Amberley in the late 1990s, while DeepNTL closely reproduces this ratio at roughly ten-to-one. In contrast,</w:t>
      </w:r>
      <w:r>
        <w:rPr>
          <w:rFonts w:asciiTheme="majorBidi" w:hAnsiTheme="majorBidi" w:cstheme="majorBidi"/>
        </w:rPr>
        <w:t xml:space="preserve"> the original</w:t>
      </w:r>
      <w:r w:rsidRPr="00D50AF7">
        <w:rPr>
          <w:rFonts w:asciiTheme="majorBidi" w:hAnsiTheme="majorBidi" w:cstheme="majorBidi"/>
        </w:rPr>
        <w:t xml:space="preserve"> DMSP </w:t>
      </w:r>
      <w:r>
        <w:rPr>
          <w:rFonts w:asciiTheme="majorBidi" w:hAnsiTheme="majorBidi" w:cstheme="majorBidi"/>
        </w:rPr>
        <w:t xml:space="preserve">data </w:t>
      </w:r>
      <w:r w:rsidRPr="00D50AF7">
        <w:rPr>
          <w:rFonts w:asciiTheme="majorBidi" w:hAnsiTheme="majorBidi" w:cstheme="majorBidi"/>
        </w:rPr>
        <w:t xml:space="preserve">suggests a ratio of only around five-to-one. This </w:t>
      </w:r>
      <w:r>
        <w:rPr>
          <w:rFonts w:asciiTheme="majorBidi" w:hAnsiTheme="majorBidi" w:cstheme="majorBidi"/>
        </w:rPr>
        <w:t xml:space="preserve">bias matters </w:t>
      </w:r>
      <w:r w:rsidRPr="00D50AF7">
        <w:rPr>
          <w:rFonts w:asciiTheme="majorBidi" w:hAnsiTheme="majorBidi" w:cstheme="majorBidi"/>
        </w:rPr>
        <w:t>for studies of long-run urban change because smaller towns often experience faster percentage growth in area than larger cities. If the initial footprint of smaller towns is disproportionately exaggerated by DMSP blurring, subsequent rates of expansion will tend to</w:t>
      </w:r>
      <w:r w:rsidR="000E48E9">
        <w:rPr>
          <w:rFonts w:asciiTheme="majorBidi" w:hAnsiTheme="majorBidi" w:cstheme="majorBidi"/>
        </w:rPr>
        <w:t xml:space="preserve"> </w:t>
      </w:r>
      <w:r w:rsidR="00D50AF7" w:rsidRPr="00D50AF7">
        <w:rPr>
          <w:rFonts w:asciiTheme="majorBidi" w:hAnsiTheme="majorBidi" w:cstheme="majorBidi"/>
        </w:rPr>
        <w:t>be understated relative to larger urban areas where the proportional measurement error is smaller.</w:t>
      </w:r>
    </w:p>
    <w:p w14:paraId="513EE96E" w14:textId="3858CD18" w:rsidR="00E6283E" w:rsidRDefault="00E6283E" w:rsidP="00C81A70">
      <w:pPr>
        <w:spacing w:after="120" w:line="240" w:lineRule="auto"/>
        <w:ind w:left="720" w:hanging="720"/>
        <w:jc w:val="center"/>
        <w:rPr>
          <w:rFonts w:asciiTheme="majorBidi" w:hAnsiTheme="majorBidi" w:cstheme="majorBidi"/>
          <w:sz w:val="22"/>
          <w:szCs w:val="22"/>
        </w:rPr>
      </w:pPr>
      <w:r w:rsidRPr="0063797D">
        <w:rPr>
          <w:rFonts w:asciiTheme="majorBidi" w:hAnsiTheme="majorBidi" w:cstheme="majorBidi"/>
          <w:sz w:val="22"/>
          <w:szCs w:val="22"/>
        </w:rPr>
        <w:lastRenderedPageBreak/>
        <w:t xml:space="preserve">Figure 2: DMSP Blurring Causes Light </w:t>
      </w:r>
      <w:r w:rsidR="00935EAC" w:rsidRPr="0063797D">
        <w:rPr>
          <w:rFonts w:asciiTheme="majorBidi" w:hAnsiTheme="majorBidi" w:cstheme="majorBidi"/>
          <w:sz w:val="22"/>
          <w:szCs w:val="22"/>
        </w:rPr>
        <w:t>from</w:t>
      </w:r>
      <w:r w:rsidRPr="0063797D">
        <w:rPr>
          <w:rFonts w:asciiTheme="majorBidi" w:hAnsiTheme="majorBidi" w:cstheme="majorBidi"/>
          <w:sz w:val="22"/>
          <w:szCs w:val="22"/>
        </w:rPr>
        <w:t xml:space="preserve"> Separate Towns to Merge</w:t>
      </w:r>
    </w:p>
    <w:p w14:paraId="63FD1C2C" w14:textId="47E742F5" w:rsidR="00DB4BC2" w:rsidRDefault="006F5E96" w:rsidP="00C81A70">
      <w:pPr>
        <w:spacing w:after="120" w:line="240" w:lineRule="auto"/>
        <w:ind w:left="720" w:hanging="720"/>
        <w:jc w:val="center"/>
        <w:rPr>
          <w:rFonts w:asciiTheme="majorBidi" w:hAnsiTheme="majorBidi" w:cstheme="majorBidi"/>
          <w:sz w:val="22"/>
          <w:szCs w:val="22"/>
        </w:rPr>
      </w:pPr>
      <w:r>
        <w:rPr>
          <w:rFonts w:asciiTheme="majorBidi" w:hAnsiTheme="majorBidi" w:cstheme="majorBidi"/>
          <w:noProof/>
        </w:rPr>
        <w:drawing>
          <wp:inline distT="0" distB="0" distL="0" distR="0" wp14:anchorId="764D0094" wp14:editId="52B56E5D">
            <wp:extent cx="5731510" cy="8107045"/>
            <wp:effectExtent l="0" t="0" r="2540" b="8255"/>
            <wp:docPr id="1295015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61872" name="Picture 8580618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0E009676" w14:textId="38095258" w:rsidR="00DB4BC2" w:rsidRDefault="00DB4BC2">
      <w:pPr>
        <w:rPr>
          <w:rFonts w:asciiTheme="majorBidi" w:hAnsiTheme="majorBidi" w:cstheme="majorBidi"/>
          <w:sz w:val="22"/>
          <w:szCs w:val="22"/>
        </w:rPr>
      </w:pPr>
    </w:p>
    <w:p w14:paraId="2032BF2A" w14:textId="77777777" w:rsidR="00C03062" w:rsidRPr="00C03062" w:rsidRDefault="00C03062" w:rsidP="00B95B95">
      <w:pPr>
        <w:spacing w:after="120" w:line="240" w:lineRule="auto"/>
        <w:ind w:left="720" w:hanging="720"/>
        <w:rPr>
          <w:rFonts w:asciiTheme="majorBidi" w:hAnsiTheme="majorBidi" w:cstheme="majorBidi"/>
          <w:sz w:val="6"/>
          <w:szCs w:val="6"/>
        </w:rPr>
      </w:pPr>
    </w:p>
    <w:p w14:paraId="33BE5E65" w14:textId="7544AF6C" w:rsidR="00C33263" w:rsidRDefault="00C33263" w:rsidP="00E6283E">
      <w:pPr>
        <w:jc w:val="both"/>
        <w:rPr>
          <w:rFonts w:asciiTheme="majorBidi" w:hAnsiTheme="majorBidi" w:cstheme="majorBidi"/>
        </w:rPr>
        <w:sectPr w:rsidR="00C33263" w:rsidSect="00B22B2C">
          <w:pgSz w:w="11906" w:h="16838"/>
          <w:pgMar w:top="1440" w:right="1440" w:bottom="1440" w:left="1440" w:header="708" w:footer="708" w:gutter="0"/>
          <w:pgNumType w:start="1"/>
          <w:cols w:space="708"/>
          <w:docGrid w:linePitch="360"/>
        </w:sectPr>
      </w:pPr>
    </w:p>
    <w:p w14:paraId="4EEA3297" w14:textId="77777777" w:rsidR="00F32060" w:rsidRPr="0063797D" w:rsidRDefault="00F32060" w:rsidP="001B620D">
      <w:pPr>
        <w:spacing w:after="120" w:line="240" w:lineRule="auto"/>
        <w:ind w:left="720" w:hanging="720"/>
        <w:jc w:val="center"/>
        <w:rPr>
          <w:rFonts w:asciiTheme="majorBidi" w:hAnsiTheme="majorBidi" w:cstheme="majorBidi"/>
          <w:sz w:val="22"/>
          <w:szCs w:val="22"/>
        </w:rPr>
      </w:pPr>
      <w:r w:rsidRPr="0063797D">
        <w:rPr>
          <w:rFonts w:asciiTheme="majorBidi" w:hAnsiTheme="majorBidi" w:cstheme="majorBidi"/>
          <w:sz w:val="22"/>
          <w:szCs w:val="22"/>
        </w:rPr>
        <w:lastRenderedPageBreak/>
        <w:t>Figure 3: Area Exaggeration in DMSP is Proportionately Larger for Smaller Towns</w:t>
      </w:r>
    </w:p>
    <w:tbl>
      <w:tblPr>
        <w:tblStyle w:val="TableGrid"/>
        <w:tblW w:w="0" w:type="auto"/>
        <w:tblInd w:w="720" w:type="dxa"/>
        <w:tblCellMar>
          <w:left w:w="0" w:type="dxa"/>
          <w:right w:w="0" w:type="dxa"/>
        </w:tblCellMar>
        <w:tblLook w:val="04A0" w:firstRow="1" w:lastRow="0" w:firstColumn="1" w:lastColumn="0" w:noHBand="0" w:noVBand="1"/>
      </w:tblPr>
      <w:tblGrid>
        <w:gridCol w:w="6614"/>
        <w:gridCol w:w="6614"/>
      </w:tblGrid>
      <w:tr w:rsidR="00F32060" w14:paraId="072DD125" w14:textId="77777777" w:rsidTr="00B04A8E">
        <w:trPr>
          <w:trHeight w:val="5159"/>
        </w:trPr>
        <w:tc>
          <w:tcPr>
            <w:tcW w:w="6974" w:type="dxa"/>
          </w:tcPr>
          <w:p w14:paraId="09A39962" w14:textId="77777777" w:rsidR="00F32060" w:rsidRDefault="00F32060" w:rsidP="00B04A8E">
            <w:pPr>
              <w:jc w:val="center"/>
              <w:rPr>
                <w:rFonts w:asciiTheme="majorBidi" w:hAnsiTheme="majorBidi" w:cstheme="majorBidi"/>
              </w:rPr>
            </w:pPr>
            <w:r>
              <w:rPr>
                <w:rFonts w:asciiTheme="majorBidi" w:hAnsiTheme="majorBidi" w:cstheme="majorBidi"/>
                <w:noProof/>
              </w:rPr>
              <w:drawing>
                <wp:inline distT="0" distB="0" distL="0" distR="0" wp14:anchorId="03BD3477" wp14:editId="0C92594E">
                  <wp:extent cx="3794400" cy="5364000"/>
                  <wp:effectExtent l="0" t="0" r="0" b="8255"/>
                  <wp:docPr id="429635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5375" name="Picture 14732553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4400" cy="5364000"/>
                          </a:xfrm>
                          <a:prstGeom prst="rect">
                            <a:avLst/>
                          </a:prstGeom>
                        </pic:spPr>
                      </pic:pic>
                    </a:graphicData>
                  </a:graphic>
                </wp:inline>
              </w:drawing>
            </w:r>
          </w:p>
        </w:tc>
        <w:tc>
          <w:tcPr>
            <w:tcW w:w="6974" w:type="dxa"/>
          </w:tcPr>
          <w:p w14:paraId="644005DD" w14:textId="77777777" w:rsidR="00F32060" w:rsidRDefault="00F32060" w:rsidP="00B04A8E">
            <w:pPr>
              <w:jc w:val="center"/>
              <w:rPr>
                <w:rFonts w:asciiTheme="majorBidi" w:hAnsiTheme="majorBidi" w:cstheme="majorBidi"/>
              </w:rPr>
            </w:pPr>
            <w:r>
              <w:rPr>
                <w:rFonts w:asciiTheme="majorBidi" w:hAnsiTheme="majorBidi" w:cstheme="majorBidi"/>
                <w:noProof/>
              </w:rPr>
              <w:drawing>
                <wp:inline distT="0" distB="0" distL="0" distR="0" wp14:anchorId="6578AEEB" wp14:editId="61DB664E">
                  <wp:extent cx="3794400" cy="5364000"/>
                  <wp:effectExtent l="0" t="0" r="0" b="8255"/>
                  <wp:docPr id="1661027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36736" name="Picture 3811367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94400" cy="5364000"/>
                          </a:xfrm>
                          <a:prstGeom prst="rect">
                            <a:avLst/>
                          </a:prstGeom>
                        </pic:spPr>
                      </pic:pic>
                    </a:graphicData>
                  </a:graphic>
                </wp:inline>
              </w:drawing>
            </w:r>
          </w:p>
        </w:tc>
      </w:tr>
    </w:tbl>
    <w:p w14:paraId="29380AEE" w14:textId="77777777" w:rsidR="00F32060" w:rsidRDefault="00F32060" w:rsidP="00E6283E">
      <w:pPr>
        <w:jc w:val="both"/>
        <w:rPr>
          <w:rFonts w:asciiTheme="majorBidi" w:hAnsiTheme="majorBidi" w:cstheme="majorBidi"/>
        </w:rPr>
        <w:sectPr w:rsidR="00F32060" w:rsidSect="00F32060">
          <w:pgSz w:w="16838" w:h="11906" w:orient="landscape"/>
          <w:pgMar w:top="1440" w:right="1440" w:bottom="1440" w:left="1440" w:header="708" w:footer="708" w:gutter="0"/>
          <w:cols w:space="708"/>
          <w:docGrid w:linePitch="360"/>
        </w:sectPr>
      </w:pPr>
    </w:p>
    <w:p w14:paraId="09F0CF97" w14:textId="54F3E1EF" w:rsidR="003F03DA" w:rsidRDefault="001F168C" w:rsidP="00E44F40">
      <w:pPr>
        <w:ind w:firstLine="720"/>
        <w:jc w:val="both"/>
        <w:rPr>
          <w:rFonts w:asciiTheme="majorBidi" w:hAnsiTheme="majorBidi" w:cstheme="majorBidi"/>
        </w:rPr>
      </w:pPr>
      <w:r w:rsidRPr="001F168C">
        <w:rPr>
          <w:rFonts w:asciiTheme="majorBidi" w:hAnsiTheme="majorBidi" w:cstheme="majorBidi"/>
        </w:rPr>
        <w:lastRenderedPageBreak/>
        <w:t xml:space="preserve">In addition to these spatial problems, the original DMSP series </w:t>
      </w:r>
      <w:r>
        <w:rPr>
          <w:rFonts w:asciiTheme="majorBidi" w:hAnsiTheme="majorBidi" w:cstheme="majorBidi"/>
        </w:rPr>
        <w:t xml:space="preserve">has </w:t>
      </w:r>
      <w:r w:rsidRPr="001F168C">
        <w:rPr>
          <w:rFonts w:asciiTheme="majorBidi" w:hAnsiTheme="majorBidi" w:cstheme="majorBidi"/>
        </w:rPr>
        <w:t>several time-series inconsistencies that complicate estimation of long-run urban growth trends. The sensors lacked on-board calibration</w:t>
      </w:r>
      <w:r>
        <w:rPr>
          <w:rFonts w:asciiTheme="majorBidi" w:hAnsiTheme="majorBidi" w:cstheme="majorBidi"/>
        </w:rPr>
        <w:t xml:space="preserve"> (amplification varied over the lunar cycle with no record kept of </w:t>
      </w:r>
      <w:r w:rsidR="00897EE2">
        <w:rPr>
          <w:rFonts w:asciiTheme="majorBidi" w:hAnsiTheme="majorBidi" w:cstheme="majorBidi"/>
        </w:rPr>
        <w:t xml:space="preserve">setting </w:t>
      </w:r>
      <w:r>
        <w:rPr>
          <w:rFonts w:asciiTheme="majorBidi" w:hAnsiTheme="majorBidi" w:cstheme="majorBidi"/>
        </w:rPr>
        <w:t>change</w:t>
      </w:r>
      <w:r w:rsidR="00D74581">
        <w:rPr>
          <w:rFonts w:asciiTheme="majorBidi" w:hAnsiTheme="majorBidi" w:cstheme="majorBidi"/>
        </w:rPr>
        <w:t>s</w:t>
      </w:r>
      <w:r>
        <w:rPr>
          <w:rFonts w:asciiTheme="majorBidi" w:hAnsiTheme="majorBidi" w:cstheme="majorBidi"/>
        </w:rPr>
        <w:t>)</w:t>
      </w:r>
      <w:r w:rsidRPr="001F168C">
        <w:rPr>
          <w:rFonts w:asciiTheme="majorBidi" w:hAnsiTheme="majorBidi" w:cstheme="majorBidi"/>
        </w:rPr>
        <w:t xml:space="preserve">, so </w:t>
      </w:r>
      <w:r>
        <w:rPr>
          <w:rFonts w:asciiTheme="majorBidi" w:hAnsiTheme="majorBidi" w:cstheme="majorBidi"/>
        </w:rPr>
        <w:t xml:space="preserve">the same </w:t>
      </w:r>
      <w:r w:rsidRPr="001F168C">
        <w:rPr>
          <w:rFonts w:asciiTheme="majorBidi" w:hAnsiTheme="majorBidi" w:cstheme="majorBidi"/>
        </w:rPr>
        <w:t xml:space="preserve">digital number (DN) </w:t>
      </w:r>
      <w:r>
        <w:rPr>
          <w:rFonts w:asciiTheme="majorBidi" w:hAnsiTheme="majorBidi" w:cstheme="majorBidi"/>
        </w:rPr>
        <w:t xml:space="preserve">across different satellites or years </w:t>
      </w:r>
      <w:r w:rsidRPr="001F168C">
        <w:rPr>
          <w:rFonts w:asciiTheme="majorBidi" w:hAnsiTheme="majorBidi" w:cstheme="majorBidi"/>
        </w:rPr>
        <w:t>do</w:t>
      </w:r>
      <w:r>
        <w:rPr>
          <w:rFonts w:asciiTheme="majorBidi" w:hAnsiTheme="majorBidi" w:cstheme="majorBidi"/>
        </w:rPr>
        <w:t>es</w:t>
      </w:r>
      <w:r w:rsidRPr="001F168C">
        <w:rPr>
          <w:rFonts w:asciiTheme="majorBidi" w:hAnsiTheme="majorBidi" w:cstheme="majorBidi"/>
        </w:rPr>
        <w:t xml:space="preserve"> not necessarily correspond to the same underlying radiance </w:t>
      </w:r>
      <w:r>
        <w:rPr>
          <w:rFonts w:asciiTheme="majorBidi" w:hAnsiTheme="majorBidi" w:cstheme="majorBidi"/>
        </w:rPr>
        <w:t>(Gibson et al., 2020).</w:t>
      </w:r>
      <w:r w:rsidR="00D74581">
        <w:rPr>
          <w:rFonts w:asciiTheme="majorBidi" w:hAnsiTheme="majorBidi" w:cstheme="majorBidi"/>
        </w:rPr>
        <w:t xml:space="preserve"> Also, </w:t>
      </w:r>
      <w:r w:rsidRPr="001F168C">
        <w:rPr>
          <w:rFonts w:asciiTheme="majorBidi" w:hAnsiTheme="majorBidi" w:cstheme="majorBidi"/>
        </w:rPr>
        <w:t xml:space="preserve">orbital decay caused overpass times to drift progressively </w:t>
      </w:r>
      <w:r>
        <w:rPr>
          <w:rFonts w:asciiTheme="majorBidi" w:hAnsiTheme="majorBidi" w:cstheme="majorBidi"/>
        </w:rPr>
        <w:t xml:space="preserve">earlier </w:t>
      </w:r>
      <w:r w:rsidRPr="001F168C">
        <w:rPr>
          <w:rFonts w:asciiTheme="majorBidi" w:hAnsiTheme="majorBidi" w:cstheme="majorBidi"/>
        </w:rPr>
        <w:t>as satellites aged. Th</w:t>
      </w:r>
      <w:r>
        <w:rPr>
          <w:rFonts w:asciiTheme="majorBidi" w:hAnsiTheme="majorBidi" w:cstheme="majorBidi"/>
        </w:rPr>
        <w:t>us,</w:t>
      </w:r>
      <w:r w:rsidRPr="001F168C">
        <w:rPr>
          <w:rFonts w:asciiTheme="majorBidi" w:hAnsiTheme="majorBidi" w:cstheme="majorBidi"/>
        </w:rPr>
        <w:t xml:space="preserve"> </w:t>
      </w:r>
      <w:r>
        <w:rPr>
          <w:rFonts w:asciiTheme="majorBidi" w:hAnsiTheme="majorBidi" w:cstheme="majorBidi"/>
        </w:rPr>
        <w:t xml:space="preserve">some </w:t>
      </w:r>
      <w:r w:rsidRPr="001F168C">
        <w:rPr>
          <w:rFonts w:asciiTheme="majorBidi" w:hAnsiTheme="majorBidi" w:cstheme="majorBidi"/>
        </w:rPr>
        <w:t xml:space="preserve">apparent changes in lit area may </w:t>
      </w:r>
      <w:r>
        <w:rPr>
          <w:rFonts w:asciiTheme="majorBidi" w:hAnsiTheme="majorBidi" w:cstheme="majorBidi"/>
        </w:rPr>
        <w:t xml:space="preserve">be due to </w:t>
      </w:r>
      <w:r w:rsidRPr="001F168C">
        <w:rPr>
          <w:rFonts w:asciiTheme="majorBidi" w:hAnsiTheme="majorBidi" w:cstheme="majorBidi"/>
        </w:rPr>
        <w:t xml:space="preserve">instability in the measurement system itself rather than genuine urban expansion or contraction. Together with the spatial problems discussed above, these limitations motivate the use of reconstructed DeepNTL </w:t>
      </w:r>
      <w:r w:rsidR="00897EE2">
        <w:rPr>
          <w:rFonts w:asciiTheme="majorBidi" w:hAnsiTheme="majorBidi" w:cstheme="majorBidi"/>
        </w:rPr>
        <w:t xml:space="preserve">radiance estimates </w:t>
      </w:r>
      <w:r w:rsidRPr="001F168C">
        <w:rPr>
          <w:rFonts w:asciiTheme="majorBidi" w:hAnsiTheme="majorBidi" w:cstheme="majorBidi"/>
        </w:rPr>
        <w:t>that attempt to recover a more spatially and temporally consistent long-run series.</w:t>
      </w:r>
    </w:p>
    <w:p w14:paraId="6A79A1E0" w14:textId="6C1EAF8D" w:rsidR="00917582" w:rsidRPr="0038761C" w:rsidRDefault="00917582" w:rsidP="00322295">
      <w:pPr>
        <w:jc w:val="both"/>
        <w:rPr>
          <w:rFonts w:asciiTheme="majorBidi" w:hAnsiTheme="majorBidi" w:cstheme="majorBidi"/>
        </w:rPr>
      </w:pPr>
      <w:r>
        <w:rPr>
          <w:rFonts w:asciiTheme="majorBidi" w:hAnsiTheme="majorBidi" w:cstheme="majorBidi"/>
        </w:rPr>
        <w:t>2.2</w:t>
      </w:r>
      <w:r>
        <w:rPr>
          <w:rFonts w:asciiTheme="majorBidi" w:hAnsiTheme="majorBidi" w:cstheme="majorBidi"/>
        </w:rPr>
        <w:tab/>
        <w:t>Validation of DeepNTL data</w:t>
      </w:r>
    </w:p>
    <w:p w14:paraId="23D89939" w14:textId="47C3C999" w:rsidR="0038761C" w:rsidRPr="0038761C" w:rsidRDefault="0038761C" w:rsidP="00322295">
      <w:pPr>
        <w:jc w:val="both"/>
        <w:rPr>
          <w:rFonts w:asciiTheme="majorBidi" w:hAnsiTheme="majorBidi" w:cstheme="majorBidi"/>
        </w:rPr>
      </w:pPr>
      <w:r w:rsidRPr="0038761C">
        <w:rPr>
          <w:rFonts w:asciiTheme="majorBidi" w:hAnsiTheme="majorBidi" w:cstheme="majorBidi"/>
        </w:rPr>
        <w:t>A concern with using harmoniz</w:t>
      </w:r>
      <w:r>
        <w:rPr>
          <w:rFonts w:asciiTheme="majorBidi" w:hAnsiTheme="majorBidi" w:cstheme="majorBidi"/>
        </w:rPr>
        <w:t xml:space="preserve">ation processes </w:t>
      </w:r>
      <w:r w:rsidRPr="0038761C">
        <w:rPr>
          <w:rFonts w:asciiTheme="majorBidi" w:hAnsiTheme="majorBidi" w:cstheme="majorBidi"/>
        </w:rPr>
        <w:t xml:space="preserve">to reconstruct </w:t>
      </w:r>
      <w:r>
        <w:rPr>
          <w:rFonts w:asciiTheme="majorBidi" w:hAnsiTheme="majorBidi" w:cstheme="majorBidi"/>
        </w:rPr>
        <w:t xml:space="preserve">NTL </w:t>
      </w:r>
      <w:r w:rsidRPr="0038761C">
        <w:rPr>
          <w:rFonts w:asciiTheme="majorBidi" w:hAnsiTheme="majorBidi" w:cstheme="majorBidi"/>
        </w:rPr>
        <w:t xml:space="preserve">data from the DMSP era is that </w:t>
      </w:r>
      <w:r>
        <w:rPr>
          <w:rFonts w:asciiTheme="majorBidi" w:hAnsiTheme="majorBidi" w:cstheme="majorBidi"/>
        </w:rPr>
        <w:t>attempt</w:t>
      </w:r>
      <w:r w:rsidR="00A5412D">
        <w:rPr>
          <w:rFonts w:asciiTheme="majorBidi" w:hAnsiTheme="majorBidi" w:cstheme="majorBidi"/>
        </w:rPr>
        <w:t>s</w:t>
      </w:r>
      <w:r>
        <w:rPr>
          <w:rFonts w:asciiTheme="majorBidi" w:hAnsiTheme="majorBidi" w:cstheme="majorBidi"/>
        </w:rPr>
        <w:t xml:space="preserve"> to </w:t>
      </w:r>
      <w:r w:rsidRPr="0038761C">
        <w:rPr>
          <w:rFonts w:asciiTheme="majorBidi" w:hAnsiTheme="majorBidi" w:cstheme="majorBidi"/>
        </w:rPr>
        <w:t xml:space="preserve">make VIIRS and DMSP data more alike may inadvertently transfer artefacts from the coarse DMSP imagery into the higher-quality VIIRS era. For example, Gibson et al. (2024) </w:t>
      </w:r>
      <w:r w:rsidR="00A5412D">
        <w:rPr>
          <w:rFonts w:asciiTheme="majorBidi" w:hAnsiTheme="majorBidi" w:cstheme="majorBidi"/>
        </w:rPr>
        <w:t>find</w:t>
      </w:r>
      <w:r w:rsidRPr="0038761C">
        <w:rPr>
          <w:rFonts w:asciiTheme="majorBidi" w:hAnsiTheme="majorBidi" w:cstheme="majorBidi"/>
        </w:rPr>
        <w:t xml:space="preserve"> that harmonized NTL products exaggerate spatial autocorrelation relative to </w:t>
      </w:r>
      <w:r w:rsidR="00A5412D">
        <w:rPr>
          <w:rFonts w:asciiTheme="majorBidi" w:hAnsiTheme="majorBidi" w:cstheme="majorBidi"/>
        </w:rPr>
        <w:t xml:space="preserve">what </w:t>
      </w:r>
      <w:r w:rsidR="00A86043">
        <w:rPr>
          <w:rFonts w:asciiTheme="majorBidi" w:hAnsiTheme="majorBidi" w:cstheme="majorBidi"/>
        </w:rPr>
        <w:t xml:space="preserve">original </w:t>
      </w:r>
      <w:r w:rsidRPr="0038761C">
        <w:rPr>
          <w:rFonts w:asciiTheme="majorBidi" w:hAnsiTheme="majorBidi" w:cstheme="majorBidi"/>
        </w:rPr>
        <w:t>VIIRS observations</w:t>
      </w:r>
      <w:r w:rsidR="00A5412D">
        <w:rPr>
          <w:rFonts w:asciiTheme="majorBidi" w:hAnsiTheme="majorBidi" w:cstheme="majorBidi"/>
        </w:rPr>
        <w:t xml:space="preserve"> show</w:t>
      </w:r>
      <w:r w:rsidRPr="0038761C">
        <w:rPr>
          <w:rFonts w:asciiTheme="majorBidi" w:hAnsiTheme="majorBidi" w:cstheme="majorBidi"/>
        </w:rPr>
        <w:t xml:space="preserve">, </w:t>
      </w:r>
      <w:r w:rsidR="004D300A">
        <w:rPr>
          <w:rFonts w:asciiTheme="majorBidi" w:hAnsiTheme="majorBidi" w:cstheme="majorBidi"/>
        </w:rPr>
        <w:t xml:space="preserve">giving </w:t>
      </w:r>
      <w:r w:rsidRPr="0038761C">
        <w:rPr>
          <w:rFonts w:asciiTheme="majorBidi" w:hAnsiTheme="majorBidi" w:cstheme="majorBidi"/>
        </w:rPr>
        <w:t>larger apparent spillovers in their study of typhoon damages</w:t>
      </w:r>
      <w:r w:rsidR="00A5412D">
        <w:rPr>
          <w:rFonts w:asciiTheme="majorBidi" w:hAnsiTheme="majorBidi" w:cstheme="majorBidi"/>
        </w:rPr>
        <w:t xml:space="preserve"> in the Philippines</w:t>
      </w:r>
      <w:r w:rsidR="004D300A">
        <w:rPr>
          <w:rFonts w:asciiTheme="majorBidi" w:hAnsiTheme="majorBidi" w:cstheme="majorBidi"/>
        </w:rPr>
        <w:t>. R</w:t>
      </w:r>
      <w:r w:rsidRPr="0038761C">
        <w:rPr>
          <w:rFonts w:asciiTheme="majorBidi" w:hAnsiTheme="majorBidi" w:cstheme="majorBidi"/>
        </w:rPr>
        <w:t>elated</w:t>
      </w:r>
      <w:r>
        <w:rPr>
          <w:rFonts w:asciiTheme="majorBidi" w:hAnsiTheme="majorBidi" w:cstheme="majorBidi"/>
        </w:rPr>
        <w:t>ly</w:t>
      </w:r>
      <w:r w:rsidR="004D300A">
        <w:rPr>
          <w:rFonts w:asciiTheme="majorBidi" w:hAnsiTheme="majorBidi" w:cstheme="majorBidi"/>
        </w:rPr>
        <w:t>,</w:t>
      </w:r>
      <w:r w:rsidRPr="0038761C">
        <w:rPr>
          <w:rFonts w:asciiTheme="majorBidi" w:hAnsiTheme="majorBidi" w:cstheme="majorBidi"/>
        </w:rPr>
        <w:t xml:space="preserve"> </w:t>
      </w:r>
      <w:r w:rsidR="000E214C">
        <w:rPr>
          <w:rFonts w:asciiTheme="majorBidi" w:hAnsiTheme="majorBidi" w:cstheme="majorBidi"/>
        </w:rPr>
        <w:t>Zhang</w:t>
      </w:r>
      <w:r w:rsidRPr="0038761C">
        <w:rPr>
          <w:rFonts w:asciiTheme="majorBidi" w:hAnsiTheme="majorBidi" w:cstheme="majorBidi"/>
        </w:rPr>
        <w:t xml:space="preserve"> et al. (2023) show </w:t>
      </w:r>
      <w:r>
        <w:rPr>
          <w:rFonts w:asciiTheme="majorBidi" w:hAnsiTheme="majorBidi" w:cstheme="majorBidi"/>
        </w:rPr>
        <w:t xml:space="preserve">that </w:t>
      </w:r>
      <w:r w:rsidRPr="0038761C">
        <w:rPr>
          <w:rFonts w:asciiTheme="majorBidi" w:hAnsiTheme="majorBidi" w:cstheme="majorBidi"/>
        </w:rPr>
        <w:t xml:space="preserve">a common artefact in DMSP data is to </w:t>
      </w:r>
      <w:r w:rsidR="00A5412D">
        <w:rPr>
          <w:rFonts w:asciiTheme="majorBidi" w:hAnsiTheme="majorBidi" w:cstheme="majorBidi"/>
        </w:rPr>
        <w:t xml:space="preserve">understate </w:t>
      </w:r>
      <w:r w:rsidRPr="0038761C">
        <w:rPr>
          <w:rFonts w:asciiTheme="majorBidi" w:hAnsiTheme="majorBidi" w:cstheme="majorBidi"/>
        </w:rPr>
        <w:t xml:space="preserve">spatial inequality </w:t>
      </w:r>
      <w:r>
        <w:rPr>
          <w:rFonts w:asciiTheme="majorBidi" w:hAnsiTheme="majorBidi" w:cstheme="majorBidi"/>
        </w:rPr>
        <w:t xml:space="preserve">due to </w:t>
      </w:r>
      <w:r w:rsidR="00A5412D">
        <w:rPr>
          <w:rFonts w:asciiTheme="majorBidi" w:hAnsiTheme="majorBidi" w:cstheme="majorBidi"/>
        </w:rPr>
        <w:t xml:space="preserve">the </w:t>
      </w:r>
      <w:r w:rsidRPr="0038761C">
        <w:rPr>
          <w:rFonts w:asciiTheme="majorBidi" w:hAnsiTheme="majorBidi" w:cstheme="majorBidi"/>
        </w:rPr>
        <w:t xml:space="preserve">smoothing </w:t>
      </w:r>
      <w:r w:rsidR="00A5412D">
        <w:rPr>
          <w:rFonts w:asciiTheme="majorBidi" w:hAnsiTheme="majorBidi" w:cstheme="majorBidi"/>
        </w:rPr>
        <w:t xml:space="preserve">of </w:t>
      </w:r>
      <w:r w:rsidRPr="0038761C">
        <w:rPr>
          <w:rFonts w:asciiTheme="majorBidi" w:hAnsiTheme="majorBidi" w:cstheme="majorBidi"/>
        </w:rPr>
        <w:t>luminosity differences across nearby areas. Such effects would be especially problematic for analysing trends in urban growth (including shrinkage) because blur</w:t>
      </w:r>
      <w:r>
        <w:rPr>
          <w:rFonts w:asciiTheme="majorBidi" w:hAnsiTheme="majorBidi" w:cstheme="majorBidi"/>
        </w:rPr>
        <w:t>red</w:t>
      </w:r>
      <w:r w:rsidRPr="0038761C">
        <w:rPr>
          <w:rFonts w:asciiTheme="majorBidi" w:hAnsiTheme="majorBidi" w:cstheme="majorBidi"/>
        </w:rPr>
        <w:t xml:space="preserve"> urban boundaries</w:t>
      </w:r>
      <w:r>
        <w:rPr>
          <w:rFonts w:asciiTheme="majorBidi" w:hAnsiTheme="majorBidi" w:cstheme="majorBidi"/>
        </w:rPr>
        <w:t xml:space="preserve"> and apparent</w:t>
      </w:r>
      <w:r w:rsidRPr="0038761C">
        <w:rPr>
          <w:rFonts w:asciiTheme="majorBidi" w:hAnsiTheme="majorBidi" w:cstheme="majorBidi"/>
        </w:rPr>
        <w:t xml:space="preserve"> merg</w:t>
      </w:r>
      <w:r>
        <w:rPr>
          <w:rFonts w:asciiTheme="majorBidi" w:hAnsiTheme="majorBidi" w:cstheme="majorBidi"/>
        </w:rPr>
        <w:t>ing</w:t>
      </w:r>
      <w:r w:rsidRPr="0038761C">
        <w:rPr>
          <w:rFonts w:asciiTheme="majorBidi" w:hAnsiTheme="majorBidi" w:cstheme="majorBidi"/>
        </w:rPr>
        <w:t xml:space="preserve"> </w:t>
      </w:r>
      <w:r>
        <w:rPr>
          <w:rFonts w:asciiTheme="majorBidi" w:hAnsiTheme="majorBidi" w:cstheme="majorBidi"/>
        </w:rPr>
        <w:t xml:space="preserve">of </w:t>
      </w:r>
      <w:r w:rsidRPr="0038761C">
        <w:rPr>
          <w:rFonts w:asciiTheme="majorBidi" w:hAnsiTheme="majorBidi" w:cstheme="majorBidi"/>
        </w:rPr>
        <w:t>nearby settlements</w:t>
      </w:r>
      <w:r>
        <w:rPr>
          <w:rFonts w:asciiTheme="majorBidi" w:hAnsiTheme="majorBidi" w:cstheme="majorBidi"/>
        </w:rPr>
        <w:t xml:space="preserve"> </w:t>
      </w:r>
      <w:r w:rsidR="00A5412D">
        <w:rPr>
          <w:rFonts w:asciiTheme="majorBidi" w:hAnsiTheme="majorBidi" w:cstheme="majorBidi"/>
        </w:rPr>
        <w:t>may</w:t>
      </w:r>
      <w:r w:rsidRPr="0038761C">
        <w:rPr>
          <w:rFonts w:asciiTheme="majorBidi" w:hAnsiTheme="majorBidi" w:cstheme="majorBidi"/>
        </w:rPr>
        <w:t xml:space="preserve"> attenuate differences in local growth trajectories. At the same time, relying solely on the post-2012 VIIRS period</w:t>
      </w:r>
      <w:r w:rsidR="00A5412D">
        <w:rPr>
          <w:rFonts w:asciiTheme="majorBidi" w:hAnsiTheme="majorBidi" w:cstheme="majorBidi"/>
        </w:rPr>
        <w:t>, to avoid the need for any data harmonization,</w:t>
      </w:r>
      <w:r w:rsidRPr="0038761C">
        <w:rPr>
          <w:rFonts w:asciiTheme="majorBidi" w:hAnsiTheme="majorBidi" w:cstheme="majorBidi"/>
        </w:rPr>
        <w:t xml:space="preserve"> is </w:t>
      </w:r>
      <w:r w:rsidR="00A5412D">
        <w:rPr>
          <w:rFonts w:asciiTheme="majorBidi" w:hAnsiTheme="majorBidi" w:cstheme="majorBidi"/>
        </w:rPr>
        <w:t xml:space="preserve">also </w:t>
      </w:r>
      <w:r w:rsidRPr="0038761C">
        <w:rPr>
          <w:rFonts w:asciiTheme="majorBidi" w:hAnsiTheme="majorBidi" w:cstheme="majorBidi"/>
        </w:rPr>
        <w:t xml:space="preserve">unsatisfactory because the time-series is </w:t>
      </w:r>
      <w:r w:rsidR="00A5412D">
        <w:rPr>
          <w:rFonts w:asciiTheme="majorBidi" w:hAnsiTheme="majorBidi" w:cstheme="majorBidi"/>
        </w:rPr>
        <w:t xml:space="preserve">then </w:t>
      </w:r>
      <w:r w:rsidRPr="0038761C">
        <w:rPr>
          <w:rFonts w:asciiTheme="majorBidi" w:hAnsiTheme="majorBidi" w:cstheme="majorBidi"/>
        </w:rPr>
        <w:t xml:space="preserve">too short for analysing long-run urban change. Consequently, </w:t>
      </w:r>
      <w:r>
        <w:rPr>
          <w:rFonts w:asciiTheme="majorBidi" w:hAnsiTheme="majorBidi" w:cstheme="majorBidi"/>
        </w:rPr>
        <w:t>an</w:t>
      </w:r>
      <w:r w:rsidRPr="0038761C">
        <w:rPr>
          <w:rFonts w:asciiTheme="majorBidi" w:hAnsiTheme="majorBidi" w:cstheme="majorBidi"/>
        </w:rPr>
        <w:t xml:space="preserve"> important </w:t>
      </w:r>
      <w:r>
        <w:rPr>
          <w:rFonts w:asciiTheme="majorBidi" w:hAnsiTheme="majorBidi" w:cstheme="majorBidi"/>
        </w:rPr>
        <w:t xml:space="preserve">first step in our analysis is </w:t>
      </w:r>
      <w:r w:rsidRPr="0038761C">
        <w:rPr>
          <w:rFonts w:asciiTheme="majorBidi" w:hAnsiTheme="majorBidi" w:cstheme="majorBidi"/>
        </w:rPr>
        <w:t xml:space="preserve">to assess whether the DeepNTL harmonized data </w:t>
      </w:r>
      <w:r w:rsidR="00A5412D">
        <w:rPr>
          <w:rFonts w:asciiTheme="majorBidi" w:hAnsiTheme="majorBidi" w:cstheme="majorBidi"/>
        </w:rPr>
        <w:t xml:space="preserve">that we use </w:t>
      </w:r>
      <w:r w:rsidRPr="0038761C">
        <w:rPr>
          <w:rFonts w:asciiTheme="majorBidi" w:hAnsiTheme="majorBidi" w:cstheme="majorBidi"/>
        </w:rPr>
        <w:t>reproduce the spatial structure and temporal evolution observed in actual VIIRS data</w:t>
      </w:r>
      <w:r w:rsidR="00A5412D">
        <w:rPr>
          <w:rFonts w:asciiTheme="majorBidi" w:hAnsiTheme="majorBidi" w:cstheme="majorBidi"/>
        </w:rPr>
        <w:t xml:space="preserve"> in the period from 2012</w:t>
      </w:r>
      <w:r>
        <w:rPr>
          <w:rFonts w:asciiTheme="majorBidi" w:hAnsiTheme="majorBidi" w:cstheme="majorBidi"/>
        </w:rPr>
        <w:t>,</w:t>
      </w:r>
      <w:r w:rsidRPr="0038761C">
        <w:rPr>
          <w:rFonts w:asciiTheme="majorBidi" w:hAnsiTheme="majorBidi" w:cstheme="majorBidi"/>
        </w:rPr>
        <w:t xml:space="preserve"> before using </w:t>
      </w:r>
      <w:r>
        <w:rPr>
          <w:rFonts w:asciiTheme="majorBidi" w:hAnsiTheme="majorBidi" w:cstheme="majorBidi"/>
        </w:rPr>
        <w:t>the DeepNTL data</w:t>
      </w:r>
      <w:r w:rsidRPr="0038761C">
        <w:rPr>
          <w:rFonts w:asciiTheme="majorBidi" w:hAnsiTheme="majorBidi" w:cstheme="majorBidi"/>
        </w:rPr>
        <w:t xml:space="preserve"> to extend </w:t>
      </w:r>
      <w:r>
        <w:rPr>
          <w:rFonts w:asciiTheme="majorBidi" w:hAnsiTheme="majorBidi" w:cstheme="majorBidi"/>
        </w:rPr>
        <w:t xml:space="preserve">the study </w:t>
      </w:r>
      <w:r w:rsidRPr="0038761C">
        <w:rPr>
          <w:rFonts w:asciiTheme="majorBidi" w:hAnsiTheme="majorBidi" w:cstheme="majorBidi"/>
        </w:rPr>
        <w:t>back to the early 1990s.</w:t>
      </w:r>
    </w:p>
    <w:p w14:paraId="477AE012" w14:textId="62CAB32E" w:rsidR="0038761C" w:rsidRDefault="00A5412D" w:rsidP="00E44F40">
      <w:pPr>
        <w:ind w:firstLine="720"/>
        <w:jc w:val="both"/>
        <w:rPr>
          <w:rFonts w:asciiTheme="majorBidi" w:hAnsiTheme="majorBidi" w:cstheme="majorBidi"/>
        </w:rPr>
      </w:pPr>
      <w:r>
        <w:rPr>
          <w:rFonts w:asciiTheme="majorBidi" w:hAnsiTheme="majorBidi" w:cstheme="majorBidi"/>
        </w:rPr>
        <w:t>Specifically, t</w:t>
      </w:r>
      <w:r w:rsidR="0038761C" w:rsidRPr="0038761C">
        <w:rPr>
          <w:rFonts w:asciiTheme="majorBidi" w:hAnsiTheme="majorBidi" w:cstheme="majorBidi"/>
        </w:rPr>
        <w:t xml:space="preserve">o </w:t>
      </w:r>
      <w:r w:rsidR="00917582">
        <w:rPr>
          <w:rFonts w:asciiTheme="majorBidi" w:hAnsiTheme="majorBidi" w:cstheme="majorBidi"/>
        </w:rPr>
        <w:t xml:space="preserve">validate </w:t>
      </w:r>
      <w:r w:rsidR="0038761C" w:rsidRPr="0038761C">
        <w:rPr>
          <w:rFonts w:asciiTheme="majorBidi" w:hAnsiTheme="majorBidi" w:cstheme="majorBidi"/>
        </w:rPr>
        <w:t xml:space="preserve">whether DeepNTL provides a credible basis for analysing long-run changes in </w:t>
      </w:r>
      <w:r>
        <w:rPr>
          <w:rFonts w:asciiTheme="majorBidi" w:hAnsiTheme="majorBidi" w:cstheme="majorBidi"/>
        </w:rPr>
        <w:t>urban</w:t>
      </w:r>
      <w:r w:rsidR="0038761C" w:rsidRPr="0038761C">
        <w:rPr>
          <w:rFonts w:asciiTheme="majorBidi" w:hAnsiTheme="majorBidi" w:cstheme="majorBidi"/>
        </w:rPr>
        <w:t xml:space="preserve"> extent, we compare estimates of lit urban area derived from DeepNTL with those obtained from Version 2 VIIRS night-time lights (VNL) during the 2012–2021 overlap period.</w:t>
      </w:r>
      <w:r w:rsidR="00E30D9E">
        <w:rPr>
          <w:rStyle w:val="FootnoteReference"/>
          <w:rFonts w:asciiTheme="majorBidi" w:hAnsiTheme="majorBidi" w:cstheme="majorBidi"/>
        </w:rPr>
        <w:footnoteReference w:id="6"/>
      </w:r>
      <w:r w:rsidR="0038761C" w:rsidRPr="0038761C">
        <w:rPr>
          <w:rFonts w:asciiTheme="majorBidi" w:hAnsiTheme="majorBidi" w:cstheme="majorBidi"/>
        </w:rPr>
        <w:t xml:space="preserve"> The correspondence is extremely close. For the average of 2012–13</w:t>
      </w:r>
      <w:r>
        <w:rPr>
          <w:rFonts w:asciiTheme="majorBidi" w:hAnsiTheme="majorBidi" w:cstheme="majorBidi"/>
        </w:rPr>
        <w:t xml:space="preserve"> and </w:t>
      </w:r>
      <w:r w:rsidR="00E30D9E">
        <w:rPr>
          <w:rFonts w:asciiTheme="majorBidi" w:hAnsiTheme="majorBidi" w:cstheme="majorBidi"/>
        </w:rPr>
        <w:t xml:space="preserve">across </w:t>
      </w:r>
      <w:r>
        <w:rPr>
          <w:rFonts w:asciiTheme="majorBidi" w:hAnsiTheme="majorBidi" w:cstheme="majorBidi"/>
        </w:rPr>
        <w:t>our sample of 133 urban areas</w:t>
      </w:r>
      <w:r w:rsidR="0038761C" w:rsidRPr="0038761C">
        <w:rPr>
          <w:rFonts w:asciiTheme="majorBidi" w:hAnsiTheme="majorBidi" w:cstheme="majorBidi"/>
        </w:rPr>
        <w:t xml:space="preserve">, the Pearson correlation between </w:t>
      </w:r>
      <w:r>
        <w:rPr>
          <w:rFonts w:asciiTheme="majorBidi" w:hAnsiTheme="majorBidi" w:cstheme="majorBidi"/>
        </w:rPr>
        <w:t xml:space="preserve">lit </w:t>
      </w:r>
      <w:r w:rsidR="0038761C" w:rsidRPr="0038761C">
        <w:rPr>
          <w:rFonts w:asciiTheme="majorBidi" w:hAnsiTheme="majorBidi" w:cstheme="majorBidi"/>
        </w:rPr>
        <w:t xml:space="preserve">areas estimated from VNL and DeepNTL is 0.999, while for 2020–21 it is 0.998. </w:t>
      </w:r>
      <w:r>
        <w:rPr>
          <w:rFonts w:asciiTheme="majorBidi" w:hAnsiTheme="majorBidi" w:cstheme="majorBidi"/>
        </w:rPr>
        <w:t xml:space="preserve">It is more </w:t>
      </w:r>
      <w:r w:rsidR="0038761C" w:rsidRPr="0038761C">
        <w:rPr>
          <w:rFonts w:asciiTheme="majorBidi" w:hAnsiTheme="majorBidi" w:cstheme="majorBidi"/>
        </w:rPr>
        <w:t xml:space="preserve">demanding </w:t>
      </w:r>
      <w:r>
        <w:rPr>
          <w:rFonts w:asciiTheme="majorBidi" w:hAnsiTheme="majorBidi" w:cstheme="majorBidi"/>
        </w:rPr>
        <w:t xml:space="preserve">to compare </w:t>
      </w:r>
      <w:r w:rsidR="0038761C" w:rsidRPr="0038761C">
        <w:rPr>
          <w:rFonts w:asciiTheme="majorBidi" w:hAnsiTheme="majorBidi" w:cstheme="majorBidi"/>
        </w:rPr>
        <w:t>temporal change</w:t>
      </w:r>
      <w:r>
        <w:rPr>
          <w:rFonts w:asciiTheme="majorBidi" w:hAnsiTheme="majorBidi" w:cstheme="majorBidi"/>
        </w:rPr>
        <w:t>s</w:t>
      </w:r>
      <w:r w:rsidR="0038761C" w:rsidRPr="0038761C">
        <w:rPr>
          <w:rFonts w:asciiTheme="majorBidi" w:hAnsiTheme="majorBidi" w:cstheme="majorBidi"/>
        </w:rPr>
        <w:t xml:space="preserve"> rather than levels, </w:t>
      </w:r>
      <w:r>
        <w:rPr>
          <w:rFonts w:asciiTheme="majorBidi" w:hAnsiTheme="majorBidi" w:cstheme="majorBidi"/>
        </w:rPr>
        <w:t xml:space="preserve">and </w:t>
      </w:r>
      <w:r w:rsidR="00897299">
        <w:rPr>
          <w:rFonts w:asciiTheme="majorBidi" w:hAnsiTheme="majorBidi" w:cstheme="majorBidi"/>
        </w:rPr>
        <w:t xml:space="preserve">is </w:t>
      </w:r>
      <w:r>
        <w:rPr>
          <w:rFonts w:asciiTheme="majorBidi" w:hAnsiTheme="majorBidi" w:cstheme="majorBidi"/>
        </w:rPr>
        <w:t xml:space="preserve">also more salient given that </w:t>
      </w:r>
      <w:r w:rsidR="004D300A">
        <w:rPr>
          <w:rFonts w:asciiTheme="majorBidi" w:hAnsiTheme="majorBidi" w:cstheme="majorBidi"/>
        </w:rPr>
        <w:t xml:space="preserve">our </w:t>
      </w:r>
      <w:r w:rsidR="0038761C" w:rsidRPr="0038761C">
        <w:rPr>
          <w:rFonts w:asciiTheme="majorBidi" w:hAnsiTheme="majorBidi" w:cstheme="majorBidi"/>
        </w:rPr>
        <w:t xml:space="preserve">interest is </w:t>
      </w:r>
      <w:r w:rsidR="001768CC">
        <w:rPr>
          <w:rFonts w:asciiTheme="majorBidi" w:hAnsiTheme="majorBidi" w:cstheme="majorBidi"/>
        </w:rPr>
        <w:t xml:space="preserve">in </w:t>
      </w:r>
      <w:r w:rsidR="0038761C" w:rsidRPr="0038761C">
        <w:rPr>
          <w:rFonts w:asciiTheme="majorBidi" w:hAnsiTheme="majorBidi" w:cstheme="majorBidi"/>
        </w:rPr>
        <w:t xml:space="preserve">whether towns expand or contract over time. The correlation </w:t>
      </w:r>
      <w:r w:rsidR="00E30D9E">
        <w:rPr>
          <w:rFonts w:asciiTheme="majorBidi" w:hAnsiTheme="majorBidi" w:cstheme="majorBidi"/>
        </w:rPr>
        <w:t>for</w:t>
      </w:r>
      <w:r w:rsidR="0038761C" w:rsidRPr="0038761C">
        <w:rPr>
          <w:rFonts w:asciiTheme="majorBidi" w:hAnsiTheme="majorBidi" w:cstheme="majorBidi"/>
        </w:rPr>
        <w:t xml:space="preserve"> </w:t>
      </w:r>
      <w:r w:rsidR="00E30D9E">
        <w:rPr>
          <w:rFonts w:asciiTheme="majorBidi" w:hAnsiTheme="majorBidi" w:cstheme="majorBidi"/>
        </w:rPr>
        <w:t xml:space="preserve">long differences </w:t>
      </w:r>
      <w:r w:rsidR="0038761C" w:rsidRPr="0038761C">
        <w:rPr>
          <w:rFonts w:asciiTheme="majorBidi" w:hAnsiTheme="majorBidi" w:cstheme="majorBidi"/>
        </w:rPr>
        <w:t xml:space="preserve">in lit area </w:t>
      </w:r>
      <w:r>
        <w:rPr>
          <w:rFonts w:asciiTheme="majorBidi" w:hAnsiTheme="majorBidi" w:cstheme="majorBidi"/>
        </w:rPr>
        <w:t>(</w:t>
      </w:r>
      <w:r w:rsidR="00E30D9E">
        <w:rPr>
          <w:rFonts w:asciiTheme="majorBidi" w:hAnsiTheme="majorBidi" w:cstheme="majorBidi"/>
        </w:rPr>
        <w:t xml:space="preserve">for </w:t>
      </w:r>
      <w:r>
        <w:rPr>
          <w:rFonts w:asciiTheme="majorBidi" w:hAnsiTheme="majorBidi" w:cstheme="majorBidi"/>
        </w:rPr>
        <w:t>2012</w:t>
      </w:r>
      <w:r w:rsidR="00897EE2" w:rsidRPr="0038761C">
        <w:rPr>
          <w:rFonts w:asciiTheme="majorBidi" w:hAnsiTheme="majorBidi" w:cstheme="majorBidi"/>
        </w:rPr>
        <w:t>–</w:t>
      </w:r>
      <w:r w:rsidR="00E30D9E">
        <w:rPr>
          <w:rFonts w:asciiTheme="majorBidi" w:hAnsiTheme="majorBidi" w:cstheme="majorBidi"/>
        </w:rPr>
        <w:t>13 to</w:t>
      </w:r>
      <w:r>
        <w:rPr>
          <w:rFonts w:asciiTheme="majorBidi" w:hAnsiTheme="majorBidi" w:cstheme="majorBidi"/>
        </w:rPr>
        <w:t xml:space="preserve"> </w:t>
      </w:r>
      <w:r w:rsidR="00E30D9E">
        <w:rPr>
          <w:rFonts w:asciiTheme="majorBidi" w:hAnsiTheme="majorBidi" w:cstheme="majorBidi"/>
        </w:rPr>
        <w:t>2020</w:t>
      </w:r>
      <w:r w:rsidR="00E30D9E" w:rsidRPr="0038761C">
        <w:rPr>
          <w:rFonts w:asciiTheme="majorBidi" w:hAnsiTheme="majorBidi" w:cstheme="majorBidi"/>
        </w:rPr>
        <w:t>–</w:t>
      </w:r>
      <w:r w:rsidR="00E30D9E">
        <w:rPr>
          <w:rFonts w:asciiTheme="majorBidi" w:hAnsiTheme="majorBidi" w:cstheme="majorBidi"/>
        </w:rPr>
        <w:t>21</w:t>
      </w:r>
      <w:r>
        <w:rPr>
          <w:rFonts w:asciiTheme="majorBidi" w:hAnsiTheme="majorBidi" w:cstheme="majorBidi"/>
        </w:rPr>
        <w:t xml:space="preserve">) </w:t>
      </w:r>
      <w:r w:rsidR="0038761C" w:rsidRPr="0038761C">
        <w:rPr>
          <w:rFonts w:asciiTheme="majorBidi" w:hAnsiTheme="majorBidi" w:cstheme="majorBidi"/>
        </w:rPr>
        <w:t xml:space="preserve">between the </w:t>
      </w:r>
      <w:r>
        <w:rPr>
          <w:rFonts w:asciiTheme="majorBidi" w:hAnsiTheme="majorBidi" w:cstheme="majorBidi"/>
        </w:rPr>
        <w:t xml:space="preserve">VNL and DeepNTL </w:t>
      </w:r>
      <w:r w:rsidR="0038761C" w:rsidRPr="0038761C">
        <w:rPr>
          <w:rFonts w:asciiTheme="majorBidi" w:hAnsiTheme="majorBidi" w:cstheme="majorBidi"/>
        </w:rPr>
        <w:t>series is 0.8</w:t>
      </w:r>
      <w:r w:rsidR="00C50CCB">
        <w:rPr>
          <w:rFonts w:asciiTheme="majorBidi" w:hAnsiTheme="majorBidi" w:cstheme="majorBidi"/>
        </w:rPr>
        <w:t>55</w:t>
      </w:r>
      <w:r w:rsidR="0038761C" w:rsidRPr="0038761C">
        <w:rPr>
          <w:rFonts w:asciiTheme="majorBidi" w:hAnsiTheme="majorBidi" w:cstheme="majorBidi"/>
        </w:rPr>
        <w:t xml:space="preserve">. Thus, </w:t>
      </w:r>
      <w:r>
        <w:rPr>
          <w:rFonts w:asciiTheme="majorBidi" w:hAnsiTheme="majorBidi" w:cstheme="majorBidi"/>
        </w:rPr>
        <w:t xml:space="preserve">based on these exercises, </w:t>
      </w:r>
      <w:r w:rsidR="0038761C" w:rsidRPr="0038761C">
        <w:rPr>
          <w:rFonts w:asciiTheme="majorBidi" w:hAnsiTheme="majorBidi" w:cstheme="majorBidi"/>
        </w:rPr>
        <w:t xml:space="preserve">DeepNTL closely reproduces both the spatial extent and temporal evolution of urban areas observed in the higher-quality VIIRS data. This provides support for using DeepNTL to extend analysis of town growth and decline back to the pre-VIIRS era from </w:t>
      </w:r>
      <w:r w:rsidR="00E524FB">
        <w:rPr>
          <w:rFonts w:asciiTheme="majorBidi" w:hAnsiTheme="majorBidi" w:cstheme="majorBidi"/>
        </w:rPr>
        <w:t>1993</w:t>
      </w:r>
      <w:r w:rsidR="0038761C" w:rsidRPr="0038761C">
        <w:rPr>
          <w:rFonts w:asciiTheme="majorBidi" w:hAnsiTheme="majorBidi" w:cstheme="majorBidi"/>
        </w:rPr>
        <w:t xml:space="preserve"> onwards.</w:t>
      </w:r>
    </w:p>
    <w:p w14:paraId="5A683D9B" w14:textId="3E540C21" w:rsidR="00E63D76" w:rsidRPr="0052733D" w:rsidRDefault="00E63D76" w:rsidP="00322295">
      <w:pPr>
        <w:jc w:val="both"/>
        <w:rPr>
          <w:rFonts w:asciiTheme="majorBidi" w:hAnsiTheme="majorBidi" w:cstheme="majorBidi"/>
          <w:b/>
          <w:bCs/>
        </w:rPr>
      </w:pPr>
      <w:r>
        <w:rPr>
          <w:rFonts w:asciiTheme="majorBidi" w:hAnsiTheme="majorBidi" w:cstheme="majorBidi"/>
          <w:b/>
          <w:bCs/>
        </w:rPr>
        <w:lastRenderedPageBreak/>
        <w:t>3.</w:t>
      </w:r>
      <w:r>
        <w:rPr>
          <w:rFonts w:asciiTheme="majorBidi" w:hAnsiTheme="majorBidi" w:cstheme="majorBidi"/>
          <w:b/>
          <w:bCs/>
        </w:rPr>
        <w:tab/>
        <w:t>Data and Estimation Strategy</w:t>
      </w:r>
    </w:p>
    <w:p w14:paraId="50E79548" w14:textId="4C28B872" w:rsidR="00BA5265" w:rsidRDefault="00E63D76" w:rsidP="00322295">
      <w:pPr>
        <w:jc w:val="both"/>
        <w:rPr>
          <w:rFonts w:asciiTheme="majorBidi" w:hAnsiTheme="majorBidi" w:cstheme="majorBidi"/>
        </w:rPr>
      </w:pPr>
      <w:r>
        <w:rPr>
          <w:rFonts w:asciiTheme="majorBidi" w:hAnsiTheme="majorBidi" w:cstheme="majorBidi"/>
        </w:rPr>
        <w:t>3.1</w:t>
      </w:r>
      <w:r>
        <w:rPr>
          <w:rFonts w:asciiTheme="majorBidi" w:hAnsiTheme="majorBidi" w:cstheme="majorBidi"/>
        </w:rPr>
        <w:tab/>
        <w:t>Sample of Urban Areas</w:t>
      </w:r>
    </w:p>
    <w:p w14:paraId="18B4CB28" w14:textId="3AEAF29B" w:rsidR="00E30D9E" w:rsidRDefault="00646484" w:rsidP="00322295">
      <w:pPr>
        <w:jc w:val="both"/>
        <w:rPr>
          <w:rFonts w:asciiTheme="majorBidi" w:hAnsiTheme="majorBidi" w:cstheme="majorBidi"/>
        </w:rPr>
      </w:pPr>
      <w:r w:rsidRPr="00646484">
        <w:rPr>
          <w:rFonts w:asciiTheme="majorBidi" w:hAnsiTheme="majorBidi" w:cstheme="majorBidi"/>
        </w:rPr>
        <w:t>The starting point for the analysis is the 150 most populous urban places in New Zealand as of June 2025.</w:t>
      </w:r>
      <w:r w:rsidR="00820457">
        <w:rPr>
          <w:rStyle w:val="FootnoteReference"/>
          <w:rFonts w:asciiTheme="majorBidi" w:hAnsiTheme="majorBidi" w:cstheme="majorBidi"/>
        </w:rPr>
        <w:footnoteReference w:id="7"/>
      </w:r>
      <w:r w:rsidR="003A7389">
        <w:rPr>
          <w:rFonts w:asciiTheme="majorBidi" w:hAnsiTheme="majorBidi" w:cstheme="majorBidi"/>
        </w:rPr>
        <w:t xml:space="preserve"> The most populated of these is Auckland, with over 1.5 million people, while the least populous s</w:t>
      </w:r>
      <w:r w:rsidR="00171D2C">
        <w:rPr>
          <w:rFonts w:asciiTheme="majorBidi" w:hAnsiTheme="majorBidi" w:cstheme="majorBidi"/>
        </w:rPr>
        <w:t>ettlement</w:t>
      </w:r>
      <w:r w:rsidR="003A7389">
        <w:rPr>
          <w:rFonts w:asciiTheme="majorBidi" w:hAnsiTheme="majorBidi" w:cstheme="majorBidi"/>
        </w:rPr>
        <w:t xml:space="preserve"> ha</w:t>
      </w:r>
      <w:r w:rsidR="00171D2C">
        <w:rPr>
          <w:rFonts w:asciiTheme="majorBidi" w:hAnsiTheme="majorBidi" w:cstheme="majorBidi"/>
        </w:rPr>
        <w:t>s</w:t>
      </w:r>
      <w:r w:rsidR="003A7389">
        <w:rPr>
          <w:rFonts w:asciiTheme="majorBidi" w:hAnsiTheme="majorBidi" w:cstheme="majorBidi"/>
        </w:rPr>
        <w:t xml:space="preserve"> fewer than 2000 people.</w:t>
      </w:r>
      <w:r w:rsidRPr="00646484">
        <w:rPr>
          <w:rFonts w:asciiTheme="majorBidi" w:hAnsiTheme="majorBidi" w:cstheme="majorBidi"/>
        </w:rPr>
        <w:t xml:space="preserve"> </w:t>
      </w:r>
      <w:r w:rsidR="003A7389">
        <w:rPr>
          <w:rFonts w:asciiTheme="majorBidi" w:hAnsiTheme="majorBidi" w:cstheme="majorBidi"/>
        </w:rPr>
        <w:t>In a few cases, individually listed urban areas</w:t>
      </w:r>
      <w:r w:rsidRPr="00646484">
        <w:rPr>
          <w:rFonts w:asciiTheme="majorBidi" w:hAnsiTheme="majorBidi" w:cstheme="majorBidi"/>
        </w:rPr>
        <w:t xml:space="preserve"> form part of </w:t>
      </w:r>
      <w:r w:rsidR="003A7389">
        <w:rPr>
          <w:rFonts w:asciiTheme="majorBidi" w:hAnsiTheme="majorBidi" w:cstheme="majorBidi"/>
        </w:rPr>
        <w:t xml:space="preserve">a </w:t>
      </w:r>
      <w:r w:rsidRPr="00646484">
        <w:rPr>
          <w:rFonts w:asciiTheme="majorBidi" w:hAnsiTheme="majorBidi" w:cstheme="majorBidi"/>
        </w:rPr>
        <w:t xml:space="preserve">larger continuous urban system and </w:t>
      </w:r>
      <w:r w:rsidR="00171D2C">
        <w:rPr>
          <w:rFonts w:asciiTheme="majorBidi" w:hAnsiTheme="majorBidi" w:cstheme="majorBidi"/>
        </w:rPr>
        <w:t>therefore a</w:t>
      </w:r>
      <w:r w:rsidR="00897299">
        <w:rPr>
          <w:rFonts w:asciiTheme="majorBidi" w:hAnsiTheme="majorBidi" w:cstheme="majorBidi"/>
        </w:rPr>
        <w:t>r</w:t>
      </w:r>
      <w:r w:rsidR="00171D2C">
        <w:rPr>
          <w:rFonts w:asciiTheme="majorBidi" w:hAnsiTheme="majorBidi" w:cstheme="majorBidi"/>
        </w:rPr>
        <w:t xml:space="preserve">e not able to </w:t>
      </w:r>
      <w:r w:rsidR="00597873">
        <w:rPr>
          <w:rFonts w:asciiTheme="majorBidi" w:hAnsiTheme="majorBidi" w:cstheme="majorBidi"/>
        </w:rPr>
        <w:t xml:space="preserve">be detected </w:t>
      </w:r>
      <w:r w:rsidRPr="00646484">
        <w:rPr>
          <w:rFonts w:asciiTheme="majorBidi" w:hAnsiTheme="majorBidi" w:cstheme="majorBidi"/>
        </w:rPr>
        <w:t>as independent settlements</w:t>
      </w:r>
      <w:r w:rsidR="003A7389">
        <w:rPr>
          <w:rFonts w:asciiTheme="majorBidi" w:hAnsiTheme="majorBidi" w:cstheme="majorBidi"/>
        </w:rPr>
        <w:t xml:space="preserve">, even using DeepNTL or VIIRS. </w:t>
      </w:r>
      <w:r w:rsidRPr="00646484">
        <w:rPr>
          <w:rFonts w:asciiTheme="majorBidi" w:hAnsiTheme="majorBidi" w:cstheme="majorBidi"/>
        </w:rPr>
        <w:t xml:space="preserve">The largest examples </w:t>
      </w:r>
      <w:r w:rsidR="003A7389">
        <w:rPr>
          <w:rFonts w:asciiTheme="majorBidi" w:hAnsiTheme="majorBidi" w:cstheme="majorBidi"/>
        </w:rPr>
        <w:t xml:space="preserve">are </w:t>
      </w:r>
      <w:r w:rsidRPr="00646484">
        <w:rPr>
          <w:rFonts w:asciiTheme="majorBidi" w:hAnsiTheme="majorBidi" w:cstheme="majorBidi"/>
        </w:rPr>
        <w:t xml:space="preserve">within the Wellington region, where Lower Hutt, Porirua and Upper Hutt form part of the wider Wellington urban footprint. </w:t>
      </w:r>
      <w:r w:rsidR="00DE25FA">
        <w:rPr>
          <w:rFonts w:asciiTheme="majorBidi" w:hAnsiTheme="majorBidi" w:cstheme="majorBidi"/>
        </w:rPr>
        <w:t xml:space="preserve">For </w:t>
      </w:r>
      <w:r w:rsidR="003A7389">
        <w:rPr>
          <w:rFonts w:asciiTheme="majorBidi" w:hAnsiTheme="majorBidi" w:cstheme="majorBidi"/>
        </w:rPr>
        <w:t xml:space="preserve">smaller towns in that region, </w:t>
      </w:r>
      <w:r w:rsidRPr="00646484">
        <w:rPr>
          <w:rFonts w:asciiTheme="majorBidi" w:hAnsiTheme="majorBidi" w:cstheme="majorBidi"/>
        </w:rPr>
        <w:t xml:space="preserve">Waikanae </w:t>
      </w:r>
      <w:r w:rsidR="003A7389">
        <w:rPr>
          <w:rFonts w:asciiTheme="majorBidi" w:hAnsiTheme="majorBidi" w:cstheme="majorBidi"/>
        </w:rPr>
        <w:t>is not</w:t>
      </w:r>
      <w:r w:rsidR="00DE25FA">
        <w:rPr>
          <w:rFonts w:asciiTheme="majorBidi" w:hAnsiTheme="majorBidi" w:cstheme="majorBidi"/>
        </w:rPr>
        <w:t xml:space="preserve"> </w:t>
      </w:r>
      <w:r w:rsidR="00171D2C">
        <w:rPr>
          <w:rFonts w:asciiTheme="majorBidi" w:hAnsiTheme="majorBidi" w:cstheme="majorBidi"/>
        </w:rPr>
        <w:t xml:space="preserve">able to be </w:t>
      </w:r>
      <w:r w:rsidR="00DE25FA">
        <w:rPr>
          <w:rFonts w:asciiTheme="majorBidi" w:hAnsiTheme="majorBidi" w:cstheme="majorBidi"/>
        </w:rPr>
        <w:t xml:space="preserve">distinguished from </w:t>
      </w:r>
      <w:r w:rsidR="00597873">
        <w:rPr>
          <w:rFonts w:asciiTheme="majorBidi" w:hAnsiTheme="majorBidi" w:cstheme="majorBidi"/>
        </w:rPr>
        <w:t xml:space="preserve">the adjacent (and </w:t>
      </w:r>
      <w:r w:rsidRPr="00646484">
        <w:rPr>
          <w:rFonts w:asciiTheme="majorBidi" w:hAnsiTheme="majorBidi" w:cstheme="majorBidi"/>
        </w:rPr>
        <w:t>larger</w:t>
      </w:r>
      <w:r w:rsidR="00597873">
        <w:rPr>
          <w:rFonts w:asciiTheme="majorBidi" w:hAnsiTheme="majorBidi" w:cstheme="majorBidi"/>
        </w:rPr>
        <w:t>)</w:t>
      </w:r>
      <w:r w:rsidRPr="00646484">
        <w:rPr>
          <w:rFonts w:asciiTheme="majorBidi" w:hAnsiTheme="majorBidi" w:cstheme="majorBidi"/>
        </w:rPr>
        <w:t xml:space="preserve"> Paraparaumu urban area.</w:t>
      </w:r>
      <w:r w:rsidR="00DE25FA">
        <w:rPr>
          <w:rStyle w:val="FootnoteReference"/>
          <w:rFonts w:asciiTheme="majorBidi" w:hAnsiTheme="majorBidi" w:cstheme="majorBidi"/>
        </w:rPr>
        <w:footnoteReference w:id="8"/>
      </w:r>
      <w:r w:rsidR="00597873">
        <w:rPr>
          <w:rFonts w:asciiTheme="majorBidi" w:hAnsiTheme="majorBidi" w:cstheme="majorBidi"/>
        </w:rPr>
        <w:t xml:space="preserve"> A few of the least populated and dimly lit places, such as Lake Hawea, </w:t>
      </w:r>
      <w:r w:rsidR="000A241E">
        <w:rPr>
          <w:rFonts w:asciiTheme="majorBidi" w:hAnsiTheme="majorBidi" w:cstheme="majorBidi"/>
        </w:rPr>
        <w:t>can</w:t>
      </w:r>
      <w:r w:rsidR="00597873">
        <w:rPr>
          <w:rFonts w:asciiTheme="majorBidi" w:hAnsiTheme="majorBidi" w:cstheme="majorBidi"/>
        </w:rPr>
        <w:t>not be detected in a majority of the years, and so are dropped from the sample. Overall, we have 133 urban areas that are able to be independently detected in almost all of the 4</w:t>
      </w:r>
      <w:r w:rsidR="00C50CCB">
        <w:rPr>
          <w:rFonts w:asciiTheme="majorBidi" w:hAnsiTheme="majorBidi" w:cstheme="majorBidi"/>
        </w:rPr>
        <w:t>6</w:t>
      </w:r>
      <w:r w:rsidR="00597873">
        <w:rPr>
          <w:rFonts w:asciiTheme="majorBidi" w:hAnsiTheme="majorBidi" w:cstheme="majorBidi"/>
        </w:rPr>
        <w:t xml:space="preserve"> satellite-year </w:t>
      </w:r>
      <w:r w:rsidR="001B6175">
        <w:rPr>
          <w:rFonts w:asciiTheme="majorBidi" w:hAnsiTheme="majorBidi" w:cstheme="majorBidi"/>
        </w:rPr>
        <w:t>images.</w:t>
      </w:r>
    </w:p>
    <w:p w14:paraId="7BEA2EE3" w14:textId="0A432698" w:rsidR="001B6175" w:rsidRDefault="001B6175" w:rsidP="00E44F40">
      <w:pPr>
        <w:ind w:firstLine="720"/>
        <w:jc w:val="both"/>
        <w:rPr>
          <w:rFonts w:asciiTheme="majorBidi" w:hAnsiTheme="majorBidi" w:cstheme="majorBidi"/>
        </w:rPr>
      </w:pPr>
      <w:r w:rsidRPr="001B6175">
        <w:rPr>
          <w:rFonts w:asciiTheme="majorBidi" w:hAnsiTheme="majorBidi" w:cstheme="majorBidi"/>
        </w:rPr>
        <w:t xml:space="preserve">Figure 4 maps the 133 urban areas included in the analysis. Each urban area is numbered according to its population rank, from Auckland (1) to the least populous settlement in the sample (133), with corresponding names </w:t>
      </w:r>
      <w:r>
        <w:rPr>
          <w:rFonts w:asciiTheme="majorBidi" w:hAnsiTheme="majorBidi" w:cstheme="majorBidi"/>
        </w:rPr>
        <w:t xml:space="preserve">and regions </w:t>
      </w:r>
      <w:r w:rsidRPr="001B6175">
        <w:rPr>
          <w:rFonts w:asciiTheme="majorBidi" w:hAnsiTheme="majorBidi" w:cstheme="majorBidi"/>
        </w:rPr>
        <w:t>reported in Appendix Table A1.</w:t>
      </w:r>
      <w:r>
        <w:rPr>
          <w:rStyle w:val="FootnoteReference"/>
          <w:rFonts w:asciiTheme="majorBidi" w:hAnsiTheme="majorBidi" w:cstheme="majorBidi"/>
        </w:rPr>
        <w:footnoteReference w:id="9"/>
      </w:r>
      <w:r w:rsidRPr="001B6175">
        <w:rPr>
          <w:rFonts w:asciiTheme="majorBidi" w:hAnsiTheme="majorBidi" w:cstheme="majorBidi"/>
        </w:rPr>
        <w:t xml:space="preserve"> The map uses urban footprints estimated from the F16 satellite in 2007, </w:t>
      </w:r>
      <w:r>
        <w:rPr>
          <w:rFonts w:asciiTheme="majorBidi" w:hAnsiTheme="majorBidi" w:cstheme="majorBidi"/>
        </w:rPr>
        <w:t xml:space="preserve">which is </w:t>
      </w:r>
      <w:r w:rsidRPr="001B6175">
        <w:rPr>
          <w:rFonts w:asciiTheme="majorBidi" w:hAnsiTheme="majorBidi" w:cstheme="majorBidi"/>
        </w:rPr>
        <w:t>approximately the midpoint of the study period. T</w:t>
      </w:r>
      <w:r>
        <w:rPr>
          <w:rFonts w:asciiTheme="majorBidi" w:hAnsiTheme="majorBidi" w:cstheme="majorBidi"/>
        </w:rPr>
        <w:t>he overall</w:t>
      </w:r>
      <w:r w:rsidRPr="001B6175">
        <w:rPr>
          <w:rFonts w:asciiTheme="majorBidi" w:hAnsiTheme="majorBidi" w:cstheme="majorBidi"/>
        </w:rPr>
        <w:t xml:space="preserve"> illuminated urban area cover</w:t>
      </w:r>
      <w:r>
        <w:rPr>
          <w:rFonts w:asciiTheme="majorBidi" w:hAnsiTheme="majorBidi" w:cstheme="majorBidi"/>
        </w:rPr>
        <w:t>s</w:t>
      </w:r>
      <w:r w:rsidRPr="001B6175">
        <w:rPr>
          <w:rFonts w:asciiTheme="majorBidi" w:hAnsiTheme="majorBidi" w:cstheme="majorBidi"/>
        </w:rPr>
        <w:t xml:space="preserve"> about 2,</w:t>
      </w:r>
      <w:r w:rsidR="00A26973">
        <w:rPr>
          <w:rFonts w:asciiTheme="majorBidi" w:hAnsiTheme="majorBidi" w:cstheme="majorBidi"/>
        </w:rPr>
        <w:t>3</w:t>
      </w:r>
      <w:r w:rsidRPr="001B6175">
        <w:rPr>
          <w:rFonts w:asciiTheme="majorBidi" w:hAnsiTheme="majorBidi" w:cstheme="majorBidi"/>
        </w:rPr>
        <w:t xml:space="preserve">00 km², equivalent to just under one percent of New Zealand's land area. Even a cursory inspection of Figure 4 suggests </w:t>
      </w:r>
      <w:r>
        <w:rPr>
          <w:rFonts w:asciiTheme="majorBidi" w:hAnsiTheme="majorBidi" w:cstheme="majorBidi"/>
        </w:rPr>
        <w:t xml:space="preserve">that there is </w:t>
      </w:r>
      <w:r w:rsidRPr="001B6175">
        <w:rPr>
          <w:rFonts w:asciiTheme="majorBidi" w:hAnsiTheme="majorBidi" w:cstheme="majorBidi"/>
        </w:rPr>
        <w:t xml:space="preserve">substantial variation in both the size and spatial distribution of </w:t>
      </w:r>
      <w:r>
        <w:rPr>
          <w:rFonts w:asciiTheme="majorBidi" w:hAnsiTheme="majorBidi" w:cstheme="majorBidi"/>
        </w:rPr>
        <w:t xml:space="preserve">the </w:t>
      </w:r>
      <w:r w:rsidRPr="001B6175">
        <w:rPr>
          <w:rFonts w:asciiTheme="majorBidi" w:hAnsiTheme="majorBidi" w:cstheme="majorBidi"/>
        </w:rPr>
        <w:t>urban settlements</w:t>
      </w:r>
      <w:r>
        <w:rPr>
          <w:rFonts w:asciiTheme="majorBidi" w:hAnsiTheme="majorBidi" w:cstheme="majorBidi"/>
        </w:rPr>
        <w:t xml:space="preserve"> in New Zealand</w:t>
      </w:r>
      <w:r w:rsidRPr="001B6175">
        <w:rPr>
          <w:rFonts w:asciiTheme="majorBidi" w:hAnsiTheme="majorBidi" w:cstheme="majorBidi"/>
        </w:rPr>
        <w:t xml:space="preserve">, motivating the </w:t>
      </w:r>
      <w:r>
        <w:rPr>
          <w:rFonts w:asciiTheme="majorBidi" w:hAnsiTheme="majorBidi" w:cstheme="majorBidi"/>
        </w:rPr>
        <w:t xml:space="preserve">estimation of </w:t>
      </w:r>
      <w:r w:rsidRPr="001B6175">
        <w:rPr>
          <w:rFonts w:asciiTheme="majorBidi" w:hAnsiTheme="majorBidi" w:cstheme="majorBidi"/>
        </w:rPr>
        <w:t>town-specific trend</w:t>
      </w:r>
      <w:r>
        <w:rPr>
          <w:rFonts w:asciiTheme="majorBidi" w:hAnsiTheme="majorBidi" w:cstheme="majorBidi"/>
        </w:rPr>
        <w:t>s.</w:t>
      </w:r>
      <w:r w:rsidRPr="001B6175">
        <w:rPr>
          <w:rFonts w:asciiTheme="majorBidi" w:hAnsiTheme="majorBidi" w:cstheme="majorBidi"/>
        </w:rPr>
        <w:t xml:space="preserve"> </w:t>
      </w:r>
    </w:p>
    <w:p w14:paraId="04109F8F" w14:textId="6C20612D" w:rsidR="006C3DE1" w:rsidRDefault="006C3DE1" w:rsidP="00322295">
      <w:pPr>
        <w:jc w:val="both"/>
        <w:rPr>
          <w:rFonts w:asciiTheme="majorBidi" w:hAnsiTheme="majorBidi" w:cstheme="majorBidi"/>
        </w:rPr>
      </w:pPr>
      <w:r>
        <w:rPr>
          <w:rFonts w:asciiTheme="majorBidi" w:hAnsiTheme="majorBidi" w:cstheme="majorBidi"/>
        </w:rPr>
        <w:t>3.2</w:t>
      </w:r>
      <w:r>
        <w:rPr>
          <w:rFonts w:asciiTheme="majorBidi" w:hAnsiTheme="majorBidi" w:cstheme="majorBidi"/>
        </w:rPr>
        <w:tab/>
        <w:t>Constructing Urban Footprints</w:t>
      </w:r>
    </w:p>
    <w:p w14:paraId="696876D0" w14:textId="37879279" w:rsidR="006C3DE1" w:rsidRPr="006C3DE1" w:rsidRDefault="006C3DE1" w:rsidP="00322295">
      <w:pPr>
        <w:jc w:val="both"/>
        <w:rPr>
          <w:rFonts w:asciiTheme="majorBidi" w:hAnsiTheme="majorBidi" w:cstheme="majorBidi"/>
        </w:rPr>
      </w:pPr>
      <w:r>
        <w:rPr>
          <w:rFonts w:asciiTheme="majorBidi" w:hAnsiTheme="majorBidi" w:cstheme="majorBidi"/>
        </w:rPr>
        <w:t>For each of the urban areas shown in Figure 4, u</w:t>
      </w:r>
      <w:r w:rsidRPr="006C3DE1">
        <w:rPr>
          <w:rFonts w:asciiTheme="majorBidi" w:hAnsiTheme="majorBidi" w:cstheme="majorBidi"/>
        </w:rPr>
        <w:t xml:space="preserve">rban footprints are constructed using a city-growing algorithm that expands outward from a predefined settlement centre until luminosity falls below a specified threshold. </w:t>
      </w:r>
      <w:r>
        <w:rPr>
          <w:rFonts w:asciiTheme="majorBidi" w:hAnsiTheme="majorBidi" w:cstheme="majorBidi"/>
        </w:rPr>
        <w:t>T</w:t>
      </w:r>
      <w:r w:rsidRPr="006C3DE1">
        <w:rPr>
          <w:rFonts w:asciiTheme="majorBidi" w:hAnsiTheme="majorBidi" w:cstheme="majorBidi"/>
        </w:rPr>
        <w:t xml:space="preserve">he starting point is a centrally located landmark, </w:t>
      </w:r>
      <w:r>
        <w:rPr>
          <w:rFonts w:asciiTheme="majorBidi" w:hAnsiTheme="majorBidi" w:cstheme="majorBidi"/>
        </w:rPr>
        <w:t>such as the town hall or a major intersection</w:t>
      </w:r>
      <w:r w:rsidRPr="006C3DE1">
        <w:rPr>
          <w:rFonts w:asciiTheme="majorBidi" w:hAnsiTheme="majorBidi" w:cstheme="majorBidi"/>
        </w:rPr>
        <w:t xml:space="preserve">. Contiguous pixels are then added recursively provided that their luminosity exceeds 2 nW cm⁻² sr⁻¹. This </w:t>
      </w:r>
      <w:r>
        <w:rPr>
          <w:rFonts w:asciiTheme="majorBidi" w:hAnsiTheme="majorBidi" w:cstheme="majorBidi"/>
        </w:rPr>
        <w:t xml:space="preserve">luminosity </w:t>
      </w:r>
      <w:r w:rsidRPr="006C3DE1">
        <w:rPr>
          <w:rFonts w:asciiTheme="majorBidi" w:hAnsiTheme="majorBidi" w:cstheme="majorBidi"/>
        </w:rPr>
        <w:t xml:space="preserve">threshold has previously been </w:t>
      </w:r>
      <w:r>
        <w:rPr>
          <w:rFonts w:asciiTheme="majorBidi" w:hAnsiTheme="majorBidi" w:cstheme="majorBidi"/>
        </w:rPr>
        <w:t xml:space="preserve">used to distinguish urban from non-urban area by Elvidge et al. (2024) and gives estimates for New Zealand that correspond with other independent measures, such as aerial mapping. </w:t>
      </w:r>
    </w:p>
    <w:p w14:paraId="759A9300" w14:textId="7C122934" w:rsidR="004126D2" w:rsidRDefault="004126D2" w:rsidP="00E44F40">
      <w:pPr>
        <w:ind w:firstLine="720"/>
        <w:jc w:val="both"/>
        <w:rPr>
          <w:rFonts w:asciiTheme="majorBidi" w:hAnsiTheme="majorBidi" w:cstheme="majorBidi"/>
        </w:rPr>
      </w:pPr>
      <w:r w:rsidRPr="004126D2">
        <w:rPr>
          <w:rFonts w:asciiTheme="majorBidi" w:hAnsiTheme="majorBidi" w:cstheme="majorBidi"/>
        </w:rPr>
        <w:t xml:space="preserve">The procedure is repeated separately for each satellite-year image, allowing urban </w:t>
      </w:r>
      <w:r w:rsidR="001768CC">
        <w:rPr>
          <w:rFonts w:asciiTheme="majorBidi" w:hAnsiTheme="majorBidi" w:cstheme="majorBidi"/>
        </w:rPr>
        <w:t>footprint</w:t>
      </w:r>
      <w:r w:rsidRPr="004126D2">
        <w:rPr>
          <w:rFonts w:asciiTheme="majorBidi" w:hAnsiTheme="majorBidi" w:cstheme="majorBidi"/>
        </w:rPr>
        <w:t xml:space="preserve">s to evolve through time in response to expansion or contraction. In other words, this approach contrasts with </w:t>
      </w:r>
      <w:r>
        <w:rPr>
          <w:rFonts w:asciiTheme="majorBidi" w:hAnsiTheme="majorBidi" w:cstheme="majorBidi"/>
        </w:rPr>
        <w:t xml:space="preserve">using </w:t>
      </w:r>
      <w:r w:rsidRPr="004126D2">
        <w:rPr>
          <w:rFonts w:asciiTheme="majorBidi" w:hAnsiTheme="majorBidi" w:cstheme="majorBidi"/>
        </w:rPr>
        <w:t xml:space="preserve">administrative boundaries, which may change only slowly, if at all, as settlement patterns evolve. </w:t>
      </w:r>
      <w:r>
        <w:rPr>
          <w:rFonts w:asciiTheme="majorBidi" w:hAnsiTheme="majorBidi" w:cstheme="majorBidi"/>
        </w:rPr>
        <w:t>A s</w:t>
      </w:r>
      <w:r w:rsidRPr="004126D2">
        <w:rPr>
          <w:rFonts w:asciiTheme="majorBidi" w:hAnsiTheme="majorBidi" w:cstheme="majorBidi"/>
        </w:rPr>
        <w:t>imilar approach ha</w:t>
      </w:r>
      <w:r>
        <w:rPr>
          <w:rFonts w:asciiTheme="majorBidi" w:hAnsiTheme="majorBidi" w:cstheme="majorBidi"/>
        </w:rPr>
        <w:t>s</w:t>
      </w:r>
      <w:r w:rsidRPr="004126D2">
        <w:rPr>
          <w:rFonts w:asciiTheme="majorBidi" w:hAnsiTheme="majorBidi" w:cstheme="majorBidi"/>
        </w:rPr>
        <w:t xml:space="preserve"> previously been used to study urban </w:t>
      </w:r>
      <w:r w:rsidRPr="004126D2">
        <w:rPr>
          <w:rFonts w:asciiTheme="majorBidi" w:hAnsiTheme="majorBidi" w:cstheme="majorBidi"/>
        </w:rPr>
        <w:lastRenderedPageBreak/>
        <w:t xml:space="preserve">expansion in Indonesia (Olivia et al., 2018), where much of the growth occurred beyond the administrative limits of cities. However, that earlier application focused on urban areas with an average population of almost one million. By contrast, the improved spatial fidelity of DeepNTL allows the same city-growing algorithm to be applied to much smaller settlements. As illustrated in Figures 2 and 3, the original DMSP imagery frequently merges neighbouring settlements and disproportionately exaggerates the area of smaller towns, </w:t>
      </w:r>
      <w:r w:rsidR="00930F9F">
        <w:rPr>
          <w:rFonts w:asciiTheme="majorBidi" w:hAnsiTheme="majorBidi" w:cstheme="majorBidi"/>
        </w:rPr>
        <w:t xml:space="preserve">making </w:t>
      </w:r>
      <w:r w:rsidR="003539CC">
        <w:rPr>
          <w:rFonts w:asciiTheme="majorBidi" w:hAnsiTheme="majorBidi" w:cstheme="majorBidi"/>
        </w:rPr>
        <w:t>DMSP a</w:t>
      </w:r>
      <w:r w:rsidR="00930F9F">
        <w:rPr>
          <w:rFonts w:asciiTheme="majorBidi" w:hAnsiTheme="majorBidi" w:cstheme="majorBidi"/>
        </w:rPr>
        <w:t xml:space="preserve"> </w:t>
      </w:r>
      <w:r>
        <w:rPr>
          <w:rFonts w:asciiTheme="majorBidi" w:hAnsiTheme="majorBidi" w:cstheme="majorBidi"/>
        </w:rPr>
        <w:t xml:space="preserve">less suitable </w:t>
      </w:r>
      <w:r w:rsidR="003539CC">
        <w:rPr>
          <w:rFonts w:asciiTheme="majorBidi" w:hAnsiTheme="majorBidi" w:cstheme="majorBidi"/>
        </w:rPr>
        <w:t xml:space="preserve">source </w:t>
      </w:r>
      <w:r w:rsidRPr="004126D2">
        <w:rPr>
          <w:rFonts w:asciiTheme="majorBidi" w:hAnsiTheme="majorBidi" w:cstheme="majorBidi"/>
        </w:rPr>
        <w:t>for estimating long-run trends in urban extent outside of the largest cities.</w:t>
      </w:r>
    </w:p>
    <w:p w14:paraId="71CF177F" w14:textId="486A3067" w:rsidR="006C3DE1" w:rsidRPr="006C3DE1" w:rsidRDefault="006C3DE1" w:rsidP="00E44F40">
      <w:pPr>
        <w:ind w:firstLine="720"/>
        <w:jc w:val="both"/>
        <w:rPr>
          <w:rFonts w:asciiTheme="majorBidi" w:hAnsiTheme="majorBidi" w:cstheme="majorBidi"/>
        </w:rPr>
      </w:pPr>
      <w:r w:rsidRPr="006C3DE1">
        <w:rPr>
          <w:rFonts w:asciiTheme="majorBidi" w:hAnsiTheme="majorBidi" w:cstheme="majorBidi"/>
        </w:rPr>
        <w:t xml:space="preserve">For each urban area and satellite-year image, total urban area is calculated as the sum of all contiguous illuminated pixels above the threshold. The resulting panel </w:t>
      </w:r>
      <w:r w:rsidR="004126D2">
        <w:rPr>
          <w:rFonts w:asciiTheme="majorBidi" w:hAnsiTheme="majorBidi" w:cstheme="majorBidi"/>
        </w:rPr>
        <w:t>ha</w:t>
      </w:r>
      <w:r w:rsidRPr="006C3DE1">
        <w:rPr>
          <w:rFonts w:asciiTheme="majorBidi" w:hAnsiTheme="majorBidi" w:cstheme="majorBidi"/>
        </w:rPr>
        <w:t xml:space="preserve">s </w:t>
      </w:r>
      <w:r w:rsidR="00A26973">
        <w:rPr>
          <w:rFonts w:asciiTheme="majorBidi" w:hAnsiTheme="majorBidi" w:cstheme="majorBidi"/>
        </w:rPr>
        <w:t>5</w:t>
      </w:r>
      <w:r w:rsidRPr="006C3DE1">
        <w:rPr>
          <w:rFonts w:asciiTheme="majorBidi" w:hAnsiTheme="majorBidi" w:cstheme="majorBidi"/>
        </w:rPr>
        <w:t>,</w:t>
      </w:r>
      <w:r w:rsidR="00A26973">
        <w:rPr>
          <w:rFonts w:asciiTheme="majorBidi" w:hAnsiTheme="majorBidi" w:cstheme="majorBidi"/>
        </w:rPr>
        <w:t>985</w:t>
      </w:r>
      <w:r w:rsidRPr="006C3DE1">
        <w:rPr>
          <w:rFonts w:asciiTheme="majorBidi" w:hAnsiTheme="majorBidi" w:cstheme="majorBidi"/>
        </w:rPr>
        <w:t xml:space="preserve"> observations spanning 133 urban areas over the period </w:t>
      </w:r>
      <w:r w:rsidR="00E524FB">
        <w:rPr>
          <w:rFonts w:asciiTheme="majorBidi" w:hAnsiTheme="majorBidi" w:cstheme="majorBidi"/>
        </w:rPr>
        <w:t>1993</w:t>
      </w:r>
      <w:r w:rsidRPr="006C3DE1">
        <w:rPr>
          <w:rFonts w:asciiTheme="majorBidi" w:hAnsiTheme="majorBidi" w:cstheme="majorBidi"/>
        </w:rPr>
        <w:t>–2021. These annual measures of illuminated urban area form the basis for estimating long-run rates of expansion and contraction.</w:t>
      </w:r>
    </w:p>
    <w:p w14:paraId="1D96EA68" w14:textId="5898A463" w:rsidR="00BA5265" w:rsidRPr="00BA5265" w:rsidRDefault="00E63D76" w:rsidP="00322295">
      <w:pPr>
        <w:jc w:val="both"/>
        <w:rPr>
          <w:rFonts w:asciiTheme="majorBidi" w:hAnsiTheme="majorBidi" w:cstheme="majorBidi"/>
        </w:rPr>
      </w:pPr>
      <w:r>
        <w:rPr>
          <w:rFonts w:asciiTheme="majorBidi" w:hAnsiTheme="majorBidi" w:cstheme="majorBidi"/>
        </w:rPr>
        <w:t>3.</w:t>
      </w:r>
      <w:r w:rsidR="004E4711">
        <w:rPr>
          <w:rFonts w:asciiTheme="majorBidi" w:hAnsiTheme="majorBidi" w:cstheme="majorBidi"/>
        </w:rPr>
        <w:t>3</w:t>
      </w:r>
      <w:r>
        <w:rPr>
          <w:rFonts w:asciiTheme="majorBidi" w:hAnsiTheme="majorBidi" w:cstheme="majorBidi"/>
        </w:rPr>
        <w:tab/>
        <w:t>Estimation of Long-Run Rates</w:t>
      </w:r>
      <w:r w:rsidR="00730B46">
        <w:rPr>
          <w:rFonts w:asciiTheme="majorBidi" w:hAnsiTheme="majorBidi" w:cstheme="majorBidi"/>
        </w:rPr>
        <w:t xml:space="preserve"> of Change in Urban Footprints</w:t>
      </w:r>
    </w:p>
    <w:p w14:paraId="3F518F3B" w14:textId="39BA7BA9" w:rsidR="00E63D76" w:rsidRDefault="00E63D76" w:rsidP="00322295">
      <w:pPr>
        <w:widowControl w:val="0"/>
        <w:spacing w:after="0"/>
        <w:jc w:val="both"/>
        <w:rPr>
          <w:rFonts w:asciiTheme="majorBidi" w:hAnsiTheme="majorBidi" w:cstheme="majorBidi"/>
        </w:rPr>
      </w:pPr>
      <w:r w:rsidRPr="00E63D76">
        <w:rPr>
          <w:rFonts w:asciiTheme="majorBidi" w:hAnsiTheme="majorBidi" w:cstheme="majorBidi"/>
        </w:rPr>
        <w:t xml:space="preserve">To estimate </w:t>
      </w:r>
      <w:r w:rsidR="003A65C8">
        <w:rPr>
          <w:rFonts w:asciiTheme="majorBidi" w:hAnsiTheme="majorBidi" w:cstheme="majorBidi"/>
        </w:rPr>
        <w:t xml:space="preserve">town-specific </w:t>
      </w:r>
      <w:r w:rsidR="00930F9F">
        <w:rPr>
          <w:rFonts w:asciiTheme="majorBidi" w:hAnsiTheme="majorBidi" w:cstheme="majorBidi"/>
        </w:rPr>
        <w:t xml:space="preserve">trend </w:t>
      </w:r>
      <w:r w:rsidRPr="00E63D76">
        <w:rPr>
          <w:rFonts w:asciiTheme="majorBidi" w:hAnsiTheme="majorBidi" w:cstheme="majorBidi"/>
        </w:rPr>
        <w:t>rates of</w:t>
      </w:r>
      <w:r w:rsidR="00930F9F">
        <w:rPr>
          <w:rFonts w:asciiTheme="majorBidi" w:hAnsiTheme="majorBidi" w:cstheme="majorBidi"/>
        </w:rPr>
        <w:t xml:space="preserve"> area expansion (or contraction)</w:t>
      </w:r>
      <w:r w:rsidRPr="00E63D76">
        <w:rPr>
          <w:rFonts w:asciiTheme="majorBidi" w:hAnsiTheme="majorBidi" w:cstheme="majorBidi"/>
        </w:rPr>
        <w:t>, the logarithm of urban area is modelled as a function of a linear time trend</w:t>
      </w:r>
      <w:r w:rsidR="003A65C8">
        <w:rPr>
          <w:rFonts w:asciiTheme="majorBidi" w:hAnsiTheme="majorBidi" w:cstheme="majorBidi"/>
        </w:rPr>
        <w:t xml:space="preserve"> interacted with</w:t>
      </w:r>
      <w:r w:rsidRPr="00E63D76">
        <w:rPr>
          <w:rFonts w:asciiTheme="majorBidi" w:hAnsiTheme="majorBidi" w:cstheme="majorBidi"/>
        </w:rPr>
        <w:t xml:space="preserve"> </w:t>
      </w:r>
      <w:r w:rsidR="003A65C8" w:rsidRPr="00E63D76">
        <w:rPr>
          <w:rFonts w:asciiTheme="majorBidi" w:hAnsiTheme="majorBidi" w:cstheme="majorBidi"/>
        </w:rPr>
        <w:t>urban-area fixed effects</w:t>
      </w:r>
      <w:r w:rsidR="003A65C8">
        <w:rPr>
          <w:rFonts w:asciiTheme="majorBidi" w:hAnsiTheme="majorBidi" w:cstheme="majorBidi"/>
        </w:rPr>
        <w:t xml:space="preserve">, and </w:t>
      </w:r>
      <w:r w:rsidR="00131EBF">
        <w:rPr>
          <w:rFonts w:asciiTheme="majorBidi" w:hAnsiTheme="majorBidi" w:cstheme="majorBidi"/>
        </w:rPr>
        <w:t xml:space="preserve">also as a function of </w:t>
      </w:r>
      <w:r w:rsidR="003A65C8">
        <w:rPr>
          <w:rFonts w:asciiTheme="majorBidi" w:hAnsiTheme="majorBidi" w:cstheme="majorBidi"/>
        </w:rPr>
        <w:t>an additional set of</w:t>
      </w:r>
      <w:r w:rsidR="003A65C8" w:rsidRPr="00E63D76">
        <w:rPr>
          <w:rFonts w:asciiTheme="majorBidi" w:hAnsiTheme="majorBidi" w:cstheme="majorBidi"/>
        </w:rPr>
        <w:t xml:space="preserve"> </w:t>
      </w:r>
      <w:r w:rsidRPr="00E63D76">
        <w:rPr>
          <w:rFonts w:asciiTheme="majorBidi" w:hAnsiTheme="majorBidi" w:cstheme="majorBidi"/>
        </w:rPr>
        <w:t>satellite fixed effects:</w:t>
      </w:r>
    </w:p>
    <w:p w14:paraId="4A493858" w14:textId="2977CF57" w:rsidR="003A65C8" w:rsidRPr="00131EBF" w:rsidRDefault="003A65C8" w:rsidP="00131EBF">
      <w:pPr>
        <w:spacing w:before="40" w:after="40"/>
        <w:jc w:val="right"/>
        <w:rPr>
          <w:rFonts w:asciiTheme="majorBidi" w:hAnsiTheme="majorBidi" w:cstheme="majorBidi"/>
        </w:rPr>
      </w:pPr>
      <m:oMath>
        <m:r>
          <w:rPr>
            <w:rFonts w:ascii="Cambria Math" w:hAnsi="Cambria Math" w:cstheme="majorBidi"/>
          </w:rPr>
          <m:t>ln</m:t>
        </m:r>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its</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δ</m:t>
            </m:r>
          </m:e>
          <m:sub>
            <m:r>
              <w:rPr>
                <w:rFonts w:ascii="Cambria Math" w:hAnsi="Cambria Math" w:cstheme="majorBidi"/>
              </w:rPr>
              <m:t>s</m:t>
            </m:r>
          </m:sub>
        </m:sSub>
        <m:r>
          <w:rPr>
            <w:rFonts w:ascii="Cambria Math" w:hAnsi="Cambria Math" w:cstheme="majorBidi"/>
          </w:rPr>
          <m:t>+</m:t>
        </m:r>
        <m:nary>
          <m:naryPr>
            <m:chr m:val="∑"/>
            <m:limLoc m:val="undOvr"/>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i</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Area</m:t>
                    </m:r>
                  </m:e>
                  <m:sub>
                    <m:r>
                      <w:rPr>
                        <w:rFonts w:ascii="Cambria Math" w:hAnsi="Cambria Math" w:cstheme="majorBidi"/>
                      </w:rPr>
                      <m:t>i</m:t>
                    </m:r>
                  </m:sub>
                </m:sSub>
                <m:r>
                  <w:rPr>
                    <w:rFonts w:ascii="Cambria Math" w:hAnsi="Cambria Math" w:cstheme="majorBidi"/>
                  </w:rPr>
                  <m:t>×t</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ε</m:t>
                </m:r>
              </m:e>
              <m:sub>
                <m:r>
                  <w:rPr>
                    <w:rFonts w:ascii="Cambria Math" w:hAnsi="Cambria Math" w:cstheme="majorBidi"/>
                  </w:rPr>
                  <m:t>its</m:t>
                </m:r>
              </m:sub>
            </m:sSub>
          </m:e>
        </m:nary>
      </m:oMath>
      <w:r w:rsidR="00131EBF">
        <w:rPr>
          <w:rFonts w:asciiTheme="majorBidi" w:hAnsiTheme="majorBidi" w:cstheme="majorBidi"/>
        </w:rPr>
        <w:tab/>
      </w:r>
      <w:r w:rsidR="00131EBF">
        <w:rPr>
          <w:rFonts w:asciiTheme="majorBidi" w:hAnsiTheme="majorBidi" w:cstheme="majorBidi"/>
        </w:rPr>
        <w:tab/>
      </w:r>
      <w:r w:rsidR="00131EBF">
        <w:rPr>
          <w:rFonts w:asciiTheme="majorBidi" w:hAnsiTheme="majorBidi" w:cstheme="majorBidi"/>
        </w:rPr>
        <w:tab/>
      </w:r>
      <w:r w:rsidR="00131EBF">
        <w:rPr>
          <w:rFonts w:asciiTheme="majorBidi" w:hAnsiTheme="majorBidi" w:cstheme="majorBidi"/>
        </w:rPr>
        <w:tab/>
        <w:t>(1)</w:t>
      </w:r>
    </w:p>
    <w:p w14:paraId="4A126D38" w14:textId="47F995D3" w:rsidR="00E63D76" w:rsidRDefault="00E63D76" w:rsidP="00322295">
      <w:pPr>
        <w:jc w:val="both"/>
        <w:rPr>
          <w:rFonts w:asciiTheme="majorBidi" w:hAnsiTheme="majorBidi" w:cstheme="majorBidi"/>
        </w:rPr>
      </w:pPr>
      <w:r w:rsidRPr="00E63D76">
        <w:rPr>
          <w:rFonts w:asciiTheme="majorBidi" w:hAnsiTheme="majorBidi" w:cstheme="majorBidi"/>
        </w:rPr>
        <w:t xml:space="preserve">where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its</m:t>
            </m:r>
          </m:sub>
        </m:sSub>
      </m:oMath>
      <w:r w:rsidR="00930F9F">
        <w:rPr>
          <w:rFonts w:asciiTheme="majorBidi" w:hAnsiTheme="majorBidi" w:cstheme="majorBidi"/>
        </w:rPr>
        <w:t xml:space="preserve"> </w:t>
      </w:r>
      <w:r w:rsidRPr="00E63D76">
        <w:rPr>
          <w:rFonts w:asciiTheme="majorBidi" w:hAnsiTheme="majorBidi" w:cstheme="majorBidi"/>
        </w:rPr>
        <w:t xml:space="preserve">is the urban area of settlement </w:t>
      </w:r>
      <m:oMath>
        <m:r>
          <w:rPr>
            <w:rFonts w:ascii="Cambria Math" w:hAnsi="Cambria Math" w:cstheme="majorBidi"/>
          </w:rPr>
          <m:t xml:space="preserve">i </m:t>
        </m:r>
      </m:oMath>
      <w:r w:rsidRPr="00E63D76">
        <w:rPr>
          <w:rFonts w:asciiTheme="majorBidi" w:hAnsiTheme="majorBidi" w:cstheme="majorBidi"/>
        </w:rPr>
        <w:t xml:space="preserve">in year </w:t>
      </w:r>
      <m:oMath>
        <m:r>
          <w:rPr>
            <w:rFonts w:ascii="Cambria Math" w:hAnsi="Cambria Math" w:cstheme="majorBidi"/>
          </w:rPr>
          <m:t>t</m:t>
        </m:r>
      </m:oMath>
      <w:r w:rsidR="00187AE9">
        <w:rPr>
          <w:rFonts w:asciiTheme="majorBidi" w:hAnsiTheme="majorBidi" w:cstheme="majorBidi"/>
        </w:rPr>
        <w:t xml:space="preserve"> </w:t>
      </w:r>
      <w:r w:rsidR="00131EBF">
        <w:rPr>
          <w:rFonts w:asciiTheme="majorBidi" w:hAnsiTheme="majorBidi" w:cstheme="majorBidi"/>
        </w:rPr>
        <w:t xml:space="preserve">as </w:t>
      </w:r>
      <w:r w:rsidRPr="00E63D76">
        <w:rPr>
          <w:rFonts w:asciiTheme="majorBidi" w:hAnsiTheme="majorBidi" w:cstheme="majorBidi"/>
        </w:rPr>
        <w:t xml:space="preserve">measured by satellite </w:t>
      </w:r>
      <m:oMath>
        <m:r>
          <w:rPr>
            <w:rFonts w:ascii="Cambria Math" w:hAnsi="Cambria Math" w:cstheme="majorBidi"/>
          </w:rPr>
          <m:t>s</m:t>
        </m:r>
      </m:oMath>
      <w:r w:rsidRPr="00E63D76">
        <w:rPr>
          <w:rFonts w:asciiTheme="majorBidi" w:hAnsiTheme="majorBidi" w:cstheme="majorBidi"/>
        </w:rPr>
        <w:t xml:space="preserve">, </w:t>
      </w:r>
      <w:r w:rsidR="00131EBF">
        <w:rPr>
          <w:rFonts w:asciiTheme="majorBidi" w:hAnsiTheme="majorBidi" w:cstheme="majorBidi"/>
        </w:rPr>
        <w:t xml:space="preserve">the </w:t>
      </w:r>
      <m:oMath>
        <m:sSub>
          <m:sSubPr>
            <m:ctrlPr>
              <w:rPr>
                <w:rFonts w:ascii="Cambria Math" w:hAnsi="Cambria Math" w:cstheme="majorBidi"/>
              </w:rPr>
            </m:ctrlPr>
          </m:sSubPr>
          <m:e>
            <m:r>
              <w:rPr>
                <w:rFonts w:ascii="Cambria Math" w:hAnsi="Cambria Math" w:cstheme="majorBidi"/>
              </w:rPr>
              <m:t>α</m:t>
            </m:r>
          </m:e>
          <m:sub>
            <m:r>
              <w:rPr>
                <w:rFonts w:ascii="Cambria Math" w:hAnsi="Cambria Math" w:cstheme="majorBidi"/>
              </w:rPr>
              <m:t>i</m:t>
            </m:r>
          </m:sub>
        </m:sSub>
      </m:oMath>
      <w:r w:rsidR="00131EBF">
        <w:rPr>
          <w:rFonts w:asciiTheme="majorBidi" w:hAnsiTheme="majorBidi" w:cstheme="majorBidi"/>
        </w:rPr>
        <w:t xml:space="preserve"> </w:t>
      </w:r>
      <w:r w:rsidR="00131EBF" w:rsidRPr="00E63D76">
        <w:rPr>
          <w:rFonts w:asciiTheme="majorBidi" w:hAnsiTheme="majorBidi" w:cstheme="majorBidi"/>
        </w:rPr>
        <w:t>are urban-area fixed effects</w:t>
      </w:r>
      <w:r w:rsidR="00131EBF">
        <w:rPr>
          <w:rFonts w:asciiTheme="majorBidi" w:hAnsiTheme="majorBidi" w:cstheme="majorBidi"/>
        </w:rPr>
        <w:t xml:space="preserve">, the </w:t>
      </w:r>
      <m:oMath>
        <m:sSub>
          <m:sSubPr>
            <m:ctrlPr>
              <w:rPr>
                <w:rFonts w:ascii="Cambria Math" w:hAnsi="Cambria Math" w:cstheme="majorBidi"/>
              </w:rPr>
            </m:ctrlPr>
          </m:sSubPr>
          <m:e>
            <m:r>
              <w:rPr>
                <w:rFonts w:ascii="Cambria Math" w:hAnsi="Cambria Math" w:cstheme="majorBidi"/>
              </w:rPr>
              <m:t>δ</m:t>
            </m:r>
          </m:e>
          <m:sub>
            <m:r>
              <w:rPr>
                <w:rFonts w:ascii="Cambria Math" w:hAnsi="Cambria Math" w:cstheme="majorBidi"/>
              </w:rPr>
              <m:t>s</m:t>
            </m:r>
          </m:sub>
        </m:sSub>
      </m:oMath>
      <w:r>
        <w:rPr>
          <w:rFonts w:asciiTheme="majorBidi" w:hAnsiTheme="majorBidi" w:cstheme="majorBidi"/>
        </w:rPr>
        <w:t xml:space="preserve"> </w:t>
      </w:r>
      <w:r w:rsidRPr="00E63D76">
        <w:rPr>
          <w:rFonts w:asciiTheme="majorBidi" w:hAnsiTheme="majorBidi" w:cstheme="majorBidi"/>
        </w:rPr>
        <w:t xml:space="preserve">are satellite fixed effects, and </w:t>
      </w:r>
      <m:oMath>
        <m:sSub>
          <m:sSubPr>
            <m:ctrlPr>
              <w:rPr>
                <w:rFonts w:ascii="Cambria Math" w:hAnsi="Cambria Math" w:cstheme="majorBidi"/>
              </w:rPr>
            </m:ctrlPr>
          </m:sSubPr>
          <m:e>
            <m:r>
              <w:rPr>
                <w:rFonts w:ascii="Cambria Math" w:hAnsi="Cambria Math" w:cstheme="majorBidi"/>
              </w:rPr>
              <m:t>ε</m:t>
            </m:r>
          </m:e>
          <m:sub>
            <m:r>
              <w:rPr>
                <w:rFonts w:ascii="Cambria Math" w:hAnsi="Cambria Math" w:cstheme="majorBidi"/>
              </w:rPr>
              <m:t>its</m:t>
            </m:r>
          </m:sub>
        </m:sSub>
      </m:oMath>
      <w:r>
        <w:rPr>
          <w:rFonts w:asciiTheme="majorBidi" w:hAnsiTheme="majorBidi" w:cstheme="majorBidi"/>
        </w:rPr>
        <w:t xml:space="preserve"> </w:t>
      </w:r>
      <w:r w:rsidRPr="00E63D76">
        <w:rPr>
          <w:rFonts w:asciiTheme="majorBidi" w:hAnsiTheme="majorBidi" w:cstheme="majorBidi"/>
        </w:rPr>
        <w:t>is a</w:t>
      </w:r>
      <w:r w:rsidR="00131EBF">
        <w:rPr>
          <w:rFonts w:asciiTheme="majorBidi" w:hAnsiTheme="majorBidi" w:cstheme="majorBidi"/>
        </w:rPr>
        <w:t xml:space="preserve"> random</w:t>
      </w:r>
      <w:r w:rsidRPr="00E63D76">
        <w:rPr>
          <w:rFonts w:asciiTheme="majorBidi" w:hAnsiTheme="majorBidi" w:cstheme="majorBidi"/>
        </w:rPr>
        <w:t xml:space="preserve"> error term. The coefficient </w:t>
      </w:r>
      <m:oMath>
        <m:sSub>
          <m:sSubPr>
            <m:ctrlPr>
              <w:rPr>
                <w:rFonts w:ascii="Cambria Math" w:hAnsi="Cambria Math" w:cstheme="majorBidi"/>
              </w:rPr>
            </m:ctrlPr>
          </m:sSubPr>
          <m:e>
            <m:r>
              <w:rPr>
                <w:rFonts w:ascii="Cambria Math" w:hAnsi="Cambria Math" w:cstheme="majorBidi"/>
              </w:rPr>
              <m:t>β</m:t>
            </m:r>
          </m:e>
          <m:sub>
            <m:r>
              <w:rPr>
                <w:rFonts w:ascii="Cambria Math" w:hAnsi="Cambria Math" w:cstheme="majorBidi"/>
              </w:rPr>
              <m:t>i</m:t>
            </m:r>
          </m:sub>
        </m:sSub>
      </m:oMath>
      <w:r>
        <w:rPr>
          <w:rFonts w:asciiTheme="majorBidi" w:hAnsiTheme="majorBidi" w:cstheme="majorBidi"/>
        </w:rPr>
        <w:t xml:space="preserve"> </w:t>
      </w:r>
      <w:r w:rsidRPr="00E63D76">
        <w:rPr>
          <w:rFonts w:asciiTheme="majorBidi" w:hAnsiTheme="majorBidi" w:cstheme="majorBidi"/>
        </w:rPr>
        <w:t xml:space="preserve">measures </w:t>
      </w:r>
      <w:r w:rsidR="003A65C8">
        <w:rPr>
          <w:rFonts w:asciiTheme="majorBidi" w:hAnsiTheme="majorBidi" w:cstheme="majorBidi"/>
        </w:rPr>
        <w:t xml:space="preserve">town-specific </w:t>
      </w:r>
      <w:r w:rsidRPr="00E63D76">
        <w:rPr>
          <w:rFonts w:asciiTheme="majorBidi" w:hAnsiTheme="majorBidi" w:cstheme="majorBidi"/>
        </w:rPr>
        <w:t>annual percentage rate</w:t>
      </w:r>
      <w:r w:rsidR="00D55F8F">
        <w:rPr>
          <w:rFonts w:asciiTheme="majorBidi" w:hAnsiTheme="majorBidi" w:cstheme="majorBidi"/>
        </w:rPr>
        <w:t>s</w:t>
      </w:r>
      <w:r w:rsidRPr="00E63D76">
        <w:rPr>
          <w:rFonts w:asciiTheme="majorBidi" w:hAnsiTheme="majorBidi" w:cstheme="majorBidi"/>
        </w:rPr>
        <w:t xml:space="preserve"> of expansion (or contraction) of urban area after controlling for persistent differences across settlements and systematic differences across satellites.</w:t>
      </w:r>
      <w:r w:rsidR="0039364B">
        <w:rPr>
          <w:rFonts w:asciiTheme="majorBidi" w:hAnsiTheme="majorBidi" w:cstheme="majorBidi"/>
        </w:rPr>
        <w:t xml:space="preserve"> </w:t>
      </w:r>
      <w:r w:rsidR="0039364B" w:rsidRPr="0039364B">
        <w:rPr>
          <w:rFonts w:asciiTheme="majorBidi" w:hAnsiTheme="majorBidi" w:cstheme="majorBidi"/>
        </w:rPr>
        <w:t xml:space="preserve">The model is estimated using weighted least squares, with observations receiving weight 0.5 when two satellites observe the same calendar year </w:t>
      </w:r>
      <w:r w:rsidR="0039364B">
        <w:rPr>
          <w:rFonts w:asciiTheme="majorBidi" w:hAnsiTheme="majorBidi" w:cstheme="majorBidi"/>
        </w:rPr>
        <w:t xml:space="preserve">(see Figure 1 for the years with these overlaps amongst the F10, F12, F14, F15, F16 and F18 satellites) </w:t>
      </w:r>
      <w:r w:rsidR="0039364B" w:rsidRPr="0039364B">
        <w:rPr>
          <w:rFonts w:asciiTheme="majorBidi" w:hAnsiTheme="majorBidi" w:cstheme="majorBidi"/>
        </w:rPr>
        <w:t>and weight 1.0 otherwise. Standard errors are clustered at the urban-area level.</w:t>
      </w:r>
    </w:p>
    <w:p w14:paraId="69C32212" w14:textId="77777777" w:rsidR="004A7D6A" w:rsidRDefault="004A7D6A">
      <w:pPr>
        <w:rPr>
          <w:rFonts w:asciiTheme="majorBidi" w:hAnsiTheme="majorBidi" w:cstheme="majorBidi"/>
          <w:b/>
          <w:bCs/>
        </w:rPr>
      </w:pPr>
      <w:r>
        <w:rPr>
          <w:rFonts w:asciiTheme="majorBidi" w:hAnsiTheme="majorBidi" w:cstheme="majorBidi"/>
          <w:b/>
          <w:bCs/>
        </w:rPr>
        <w:br w:type="page"/>
      </w:r>
    </w:p>
    <w:p w14:paraId="63F4185F" w14:textId="5ACF0138" w:rsidR="004A7D6A" w:rsidRPr="0063797D" w:rsidRDefault="004A7D6A" w:rsidP="004A7D6A">
      <w:pPr>
        <w:snapToGrid w:val="0"/>
        <w:spacing w:after="80" w:line="240" w:lineRule="auto"/>
        <w:jc w:val="center"/>
        <w:rPr>
          <w:rFonts w:asciiTheme="majorBidi" w:hAnsiTheme="majorBidi" w:cstheme="majorBidi"/>
          <w:sz w:val="22"/>
          <w:szCs w:val="22"/>
        </w:rPr>
      </w:pPr>
      <w:r w:rsidRPr="0063797D">
        <w:rPr>
          <w:rFonts w:asciiTheme="majorBidi" w:hAnsiTheme="majorBidi" w:cstheme="majorBidi"/>
          <w:sz w:val="22"/>
          <w:szCs w:val="22"/>
        </w:rPr>
        <w:lastRenderedPageBreak/>
        <w:t>Figure 4: Location of the 133 Urban Areas (see Appendix Table A1 for names)</w:t>
      </w:r>
    </w:p>
    <w:p w14:paraId="07670C18" w14:textId="34F91E9A" w:rsidR="00722C7F" w:rsidRDefault="00A13718" w:rsidP="00322295">
      <w:pPr>
        <w:keepNext/>
        <w:jc w:val="both"/>
        <w:rPr>
          <w:rFonts w:asciiTheme="majorBidi" w:hAnsiTheme="majorBidi" w:cstheme="majorBidi"/>
          <w:b/>
          <w:bCs/>
        </w:rPr>
      </w:pPr>
      <w:r>
        <w:rPr>
          <w:rFonts w:asciiTheme="majorBidi" w:hAnsiTheme="majorBidi" w:cstheme="majorBidi"/>
          <w:b/>
          <w:bCs/>
          <w:noProof/>
        </w:rPr>
        <w:drawing>
          <wp:inline distT="0" distB="0" distL="0" distR="0" wp14:anchorId="73F66BD5" wp14:editId="0CF6E51A">
            <wp:extent cx="5724525" cy="8093623"/>
            <wp:effectExtent l="0" t="0" r="0" b="3175"/>
            <wp:docPr id="1323433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0595" cy="8116344"/>
                    </a:xfrm>
                    <a:prstGeom prst="rect">
                      <a:avLst/>
                    </a:prstGeom>
                    <a:noFill/>
                  </pic:spPr>
                </pic:pic>
              </a:graphicData>
            </a:graphic>
          </wp:inline>
        </w:drawing>
      </w:r>
    </w:p>
    <w:p w14:paraId="7BE9CC05" w14:textId="77777777" w:rsidR="00A13718" w:rsidRDefault="00A13718">
      <w:pPr>
        <w:rPr>
          <w:rFonts w:asciiTheme="majorBidi" w:hAnsiTheme="majorBidi" w:cstheme="majorBidi"/>
          <w:b/>
          <w:bCs/>
        </w:rPr>
      </w:pPr>
      <w:r>
        <w:rPr>
          <w:rFonts w:asciiTheme="majorBidi" w:hAnsiTheme="majorBidi" w:cstheme="majorBidi"/>
          <w:b/>
          <w:bCs/>
        </w:rPr>
        <w:br w:type="page"/>
      </w:r>
    </w:p>
    <w:p w14:paraId="6775267A" w14:textId="3199FF74" w:rsidR="00BA5265" w:rsidRDefault="00897299" w:rsidP="00322295">
      <w:pPr>
        <w:keepNext/>
        <w:jc w:val="both"/>
        <w:rPr>
          <w:rFonts w:asciiTheme="majorBidi" w:hAnsiTheme="majorBidi" w:cstheme="majorBidi"/>
        </w:rPr>
      </w:pPr>
      <w:r>
        <w:rPr>
          <w:rFonts w:asciiTheme="majorBidi" w:hAnsiTheme="majorBidi" w:cstheme="majorBidi"/>
          <w:b/>
          <w:bCs/>
        </w:rPr>
        <w:lastRenderedPageBreak/>
        <w:t>4.</w:t>
      </w:r>
      <w:r>
        <w:rPr>
          <w:rFonts w:asciiTheme="majorBidi" w:hAnsiTheme="majorBidi" w:cstheme="majorBidi"/>
          <w:b/>
          <w:bCs/>
        </w:rPr>
        <w:tab/>
        <w:t>Results</w:t>
      </w:r>
    </w:p>
    <w:p w14:paraId="72521E8A" w14:textId="2280435A" w:rsidR="00220D9F" w:rsidRPr="00220D9F" w:rsidRDefault="00220D9F" w:rsidP="00322295">
      <w:pPr>
        <w:jc w:val="both"/>
        <w:rPr>
          <w:rFonts w:asciiTheme="majorBidi" w:hAnsiTheme="majorBidi" w:cstheme="majorBidi"/>
        </w:rPr>
      </w:pPr>
      <w:r w:rsidRPr="00220D9F">
        <w:rPr>
          <w:rFonts w:asciiTheme="majorBidi" w:hAnsiTheme="majorBidi" w:cstheme="majorBidi"/>
        </w:rPr>
        <w:t xml:space="preserve">The measurement issues documented in Section 2 </w:t>
      </w:r>
      <w:r>
        <w:rPr>
          <w:rFonts w:asciiTheme="majorBidi" w:hAnsiTheme="majorBidi" w:cstheme="majorBidi"/>
        </w:rPr>
        <w:t xml:space="preserve">matter </w:t>
      </w:r>
      <w:r w:rsidRPr="00220D9F">
        <w:rPr>
          <w:rFonts w:asciiTheme="majorBidi" w:hAnsiTheme="majorBidi" w:cstheme="majorBidi"/>
        </w:rPr>
        <w:t>only if they affect conclusions about long-run urban change. To assess importance</w:t>
      </w:r>
      <w:r>
        <w:rPr>
          <w:rFonts w:asciiTheme="majorBidi" w:hAnsiTheme="majorBidi" w:cstheme="majorBidi"/>
        </w:rPr>
        <w:t xml:space="preserve"> of these issues (or equivalently, </w:t>
      </w:r>
      <w:r w:rsidR="003672EA">
        <w:rPr>
          <w:rFonts w:asciiTheme="majorBidi" w:hAnsiTheme="majorBidi" w:cstheme="majorBidi"/>
        </w:rPr>
        <w:t xml:space="preserve">the </w:t>
      </w:r>
      <w:r>
        <w:rPr>
          <w:rFonts w:asciiTheme="majorBidi" w:hAnsiTheme="majorBidi" w:cstheme="majorBidi"/>
        </w:rPr>
        <w:t>value-added from using reconstructed DMSP data rather than the original DMSP data)</w:t>
      </w:r>
      <w:r w:rsidRPr="00220D9F">
        <w:rPr>
          <w:rFonts w:asciiTheme="majorBidi" w:hAnsiTheme="majorBidi" w:cstheme="majorBidi"/>
        </w:rPr>
        <w:t xml:space="preserve">, we first compare the distribution of estimated urban growth rates obtained from the </w:t>
      </w:r>
      <w:r>
        <w:rPr>
          <w:rFonts w:asciiTheme="majorBidi" w:hAnsiTheme="majorBidi" w:cstheme="majorBidi"/>
        </w:rPr>
        <w:t xml:space="preserve">DeepNTL </w:t>
      </w:r>
      <w:r w:rsidRPr="00220D9F">
        <w:rPr>
          <w:rFonts w:asciiTheme="majorBidi" w:hAnsiTheme="majorBidi" w:cstheme="majorBidi"/>
        </w:rPr>
        <w:t>series with those obtained from DMSP imagery. Because some towns cannot be independently identified i</w:t>
      </w:r>
      <w:r w:rsidR="00730B46">
        <w:rPr>
          <w:rFonts w:asciiTheme="majorBidi" w:hAnsiTheme="majorBidi" w:cstheme="majorBidi"/>
        </w:rPr>
        <w:t>f</w:t>
      </w:r>
      <w:r w:rsidRPr="00220D9F">
        <w:rPr>
          <w:rFonts w:asciiTheme="majorBidi" w:hAnsiTheme="majorBidi" w:cstheme="majorBidi"/>
        </w:rPr>
        <w:t xml:space="preserve"> the </w:t>
      </w:r>
      <w:r w:rsidR="00730B46">
        <w:rPr>
          <w:rFonts w:asciiTheme="majorBidi" w:hAnsiTheme="majorBidi" w:cstheme="majorBidi"/>
        </w:rPr>
        <w:t xml:space="preserve">original (coarse and blurred) </w:t>
      </w:r>
      <w:r w:rsidRPr="00220D9F">
        <w:rPr>
          <w:rFonts w:asciiTheme="majorBidi" w:hAnsiTheme="majorBidi" w:cstheme="majorBidi"/>
        </w:rPr>
        <w:t>DMSP data</w:t>
      </w:r>
      <w:r w:rsidR="00730B46">
        <w:rPr>
          <w:rFonts w:asciiTheme="majorBidi" w:hAnsiTheme="majorBidi" w:cstheme="majorBidi"/>
        </w:rPr>
        <w:t xml:space="preserve"> are used</w:t>
      </w:r>
      <w:r w:rsidRPr="00220D9F">
        <w:rPr>
          <w:rFonts w:asciiTheme="majorBidi" w:hAnsiTheme="majorBidi" w:cstheme="majorBidi"/>
        </w:rPr>
        <w:t xml:space="preserve">, the </w:t>
      </w:r>
      <w:r>
        <w:rPr>
          <w:rFonts w:asciiTheme="majorBidi" w:hAnsiTheme="majorBidi" w:cstheme="majorBidi"/>
        </w:rPr>
        <w:t xml:space="preserve">tabular </w:t>
      </w:r>
      <w:r w:rsidRPr="00220D9F">
        <w:rPr>
          <w:rFonts w:asciiTheme="majorBidi" w:hAnsiTheme="majorBidi" w:cstheme="majorBidi"/>
        </w:rPr>
        <w:t xml:space="preserve">comparison </w:t>
      </w:r>
      <w:r>
        <w:rPr>
          <w:rFonts w:asciiTheme="majorBidi" w:hAnsiTheme="majorBidi" w:cstheme="majorBidi"/>
        </w:rPr>
        <w:t xml:space="preserve">has results for both the full sample of 133 areas and for the </w:t>
      </w:r>
      <w:r w:rsidRPr="00220D9F">
        <w:rPr>
          <w:rFonts w:asciiTheme="majorBidi" w:hAnsiTheme="majorBidi" w:cstheme="majorBidi"/>
        </w:rPr>
        <w:t>123 urban areas</w:t>
      </w:r>
      <w:r>
        <w:rPr>
          <w:rFonts w:asciiTheme="majorBidi" w:hAnsiTheme="majorBidi" w:cstheme="majorBidi"/>
        </w:rPr>
        <w:t xml:space="preserve"> </w:t>
      </w:r>
      <w:r w:rsidR="00730B46">
        <w:rPr>
          <w:rFonts w:asciiTheme="majorBidi" w:hAnsiTheme="majorBidi" w:cstheme="majorBidi"/>
        </w:rPr>
        <w:t xml:space="preserve">that had </w:t>
      </w:r>
      <w:r>
        <w:rPr>
          <w:rFonts w:asciiTheme="majorBidi" w:hAnsiTheme="majorBidi" w:cstheme="majorBidi"/>
        </w:rPr>
        <w:t xml:space="preserve">expansion rates </w:t>
      </w:r>
      <w:r w:rsidR="00730B46">
        <w:rPr>
          <w:rFonts w:asciiTheme="majorBidi" w:hAnsiTheme="majorBidi" w:cstheme="majorBidi"/>
        </w:rPr>
        <w:t xml:space="preserve">that </w:t>
      </w:r>
      <w:r w:rsidR="003672EA">
        <w:rPr>
          <w:rFonts w:asciiTheme="majorBidi" w:hAnsiTheme="majorBidi" w:cstheme="majorBidi"/>
        </w:rPr>
        <w:t>could</w:t>
      </w:r>
      <w:r>
        <w:rPr>
          <w:rFonts w:asciiTheme="majorBidi" w:hAnsiTheme="majorBidi" w:cstheme="majorBidi"/>
        </w:rPr>
        <w:t xml:space="preserve"> be estimated with </w:t>
      </w:r>
      <w:r w:rsidR="00730B46">
        <w:rPr>
          <w:rFonts w:asciiTheme="majorBidi" w:hAnsiTheme="majorBidi" w:cstheme="majorBidi"/>
        </w:rPr>
        <w:t xml:space="preserve">the </w:t>
      </w:r>
      <w:r>
        <w:rPr>
          <w:rFonts w:asciiTheme="majorBidi" w:hAnsiTheme="majorBidi" w:cstheme="majorBidi"/>
        </w:rPr>
        <w:t>DMSP data</w:t>
      </w:r>
      <w:r w:rsidRPr="00220D9F">
        <w:rPr>
          <w:rFonts w:asciiTheme="majorBidi" w:hAnsiTheme="majorBidi" w:cstheme="majorBidi"/>
        </w:rPr>
        <w:t>.</w:t>
      </w:r>
      <w:r>
        <w:rPr>
          <w:rFonts w:asciiTheme="majorBidi" w:hAnsiTheme="majorBidi" w:cstheme="majorBidi"/>
        </w:rPr>
        <w:t xml:space="preserve"> </w:t>
      </w:r>
      <w:r w:rsidR="003672EA">
        <w:rPr>
          <w:rFonts w:asciiTheme="majorBidi" w:hAnsiTheme="majorBidi" w:cstheme="majorBidi"/>
        </w:rPr>
        <w:t xml:space="preserve">The </w:t>
      </w:r>
      <w:r>
        <w:rPr>
          <w:rFonts w:asciiTheme="majorBidi" w:hAnsiTheme="majorBidi" w:cstheme="majorBidi"/>
        </w:rPr>
        <w:t xml:space="preserve">summary statistics for the estimated trend expansion rates </w:t>
      </w:r>
      <w:r w:rsidR="003672EA">
        <w:rPr>
          <w:rFonts w:asciiTheme="majorBidi" w:hAnsiTheme="majorBidi" w:cstheme="majorBidi"/>
        </w:rPr>
        <w:t xml:space="preserve">are supplemented with </w:t>
      </w:r>
      <w:r w:rsidR="002B2E67">
        <w:rPr>
          <w:rFonts w:asciiTheme="majorBidi" w:hAnsiTheme="majorBidi" w:cstheme="majorBidi"/>
        </w:rPr>
        <w:t xml:space="preserve">a </w:t>
      </w:r>
      <w:r w:rsidR="003672EA">
        <w:rPr>
          <w:rFonts w:asciiTheme="majorBidi" w:hAnsiTheme="majorBidi" w:cstheme="majorBidi"/>
        </w:rPr>
        <w:t>distribution</w:t>
      </w:r>
      <w:r w:rsidR="00730B46">
        <w:rPr>
          <w:rFonts w:asciiTheme="majorBidi" w:hAnsiTheme="majorBidi" w:cstheme="majorBidi"/>
        </w:rPr>
        <w:t>al</w:t>
      </w:r>
      <w:r w:rsidR="003672EA">
        <w:rPr>
          <w:rFonts w:asciiTheme="majorBidi" w:hAnsiTheme="majorBidi" w:cstheme="majorBidi"/>
        </w:rPr>
        <w:t xml:space="preserve"> indicator</w:t>
      </w:r>
      <w:r w:rsidR="002B2E67">
        <w:rPr>
          <w:rFonts w:asciiTheme="majorBidi" w:hAnsiTheme="majorBidi" w:cstheme="majorBidi"/>
        </w:rPr>
        <w:t xml:space="preserve"> in the form of </w:t>
      </w:r>
      <w:r>
        <w:rPr>
          <w:rFonts w:asciiTheme="majorBidi" w:hAnsiTheme="majorBidi" w:cstheme="majorBidi"/>
        </w:rPr>
        <w:t>smoothed density plots (</w:t>
      </w:r>
      <w:r w:rsidR="00730B46">
        <w:rPr>
          <w:rFonts w:asciiTheme="majorBidi" w:hAnsiTheme="majorBidi" w:cstheme="majorBidi"/>
        </w:rPr>
        <w:t xml:space="preserve">this is </w:t>
      </w:r>
      <w:r>
        <w:rPr>
          <w:rFonts w:asciiTheme="majorBidi" w:hAnsiTheme="majorBidi" w:cstheme="majorBidi"/>
        </w:rPr>
        <w:t>only for the common sample of 123 urban areas).</w:t>
      </w:r>
      <w:r w:rsidRPr="00220D9F">
        <w:rPr>
          <w:rFonts w:asciiTheme="majorBidi" w:hAnsiTheme="majorBidi" w:cstheme="majorBidi"/>
        </w:rPr>
        <w:t xml:space="preserve"> </w:t>
      </w:r>
    </w:p>
    <w:p w14:paraId="63E4AE42" w14:textId="4223E2CE" w:rsidR="00082E70" w:rsidRDefault="00220D9F" w:rsidP="00E44F40">
      <w:pPr>
        <w:ind w:firstLine="720"/>
        <w:jc w:val="both"/>
        <w:rPr>
          <w:rFonts w:asciiTheme="majorBidi" w:hAnsiTheme="majorBidi" w:cstheme="majorBidi"/>
        </w:rPr>
      </w:pPr>
      <w:r w:rsidRPr="00220D9F">
        <w:rPr>
          <w:rFonts w:asciiTheme="majorBidi" w:hAnsiTheme="majorBidi" w:cstheme="majorBidi"/>
        </w:rPr>
        <w:t xml:space="preserve">Figure 5 and Table 1 show that the choice of night-time lights dataset has a substantial effect on estimated urban growth rates. The mean estimated trend using the reconstructed </w:t>
      </w:r>
      <w:r w:rsidR="002B2E67">
        <w:rPr>
          <w:rFonts w:asciiTheme="majorBidi" w:hAnsiTheme="majorBidi" w:cstheme="majorBidi"/>
        </w:rPr>
        <w:t xml:space="preserve">DeepNTL </w:t>
      </w:r>
      <w:r w:rsidRPr="00220D9F">
        <w:rPr>
          <w:rFonts w:asciiTheme="majorBidi" w:hAnsiTheme="majorBidi" w:cstheme="majorBidi"/>
        </w:rPr>
        <w:t>data is positive</w:t>
      </w:r>
      <w:r>
        <w:rPr>
          <w:rFonts w:asciiTheme="majorBidi" w:hAnsiTheme="majorBidi" w:cstheme="majorBidi"/>
        </w:rPr>
        <w:t xml:space="preserve"> (0.</w:t>
      </w:r>
      <w:r w:rsidR="00C50CCB">
        <w:rPr>
          <w:rFonts w:asciiTheme="majorBidi" w:hAnsiTheme="majorBidi" w:cstheme="majorBidi"/>
        </w:rPr>
        <w:t>6</w:t>
      </w:r>
      <w:r>
        <w:rPr>
          <w:rFonts w:asciiTheme="majorBidi" w:hAnsiTheme="majorBidi" w:cstheme="majorBidi"/>
        </w:rPr>
        <w:t>7% for the n=133 sample and 0.80% for the n=123 sample)</w:t>
      </w:r>
      <w:r w:rsidRPr="00220D9F">
        <w:rPr>
          <w:rFonts w:asciiTheme="majorBidi" w:hAnsiTheme="majorBidi" w:cstheme="majorBidi"/>
        </w:rPr>
        <w:t xml:space="preserve">, </w:t>
      </w:r>
      <w:r>
        <w:rPr>
          <w:rFonts w:asciiTheme="majorBidi" w:hAnsiTheme="majorBidi" w:cstheme="majorBidi"/>
        </w:rPr>
        <w:t xml:space="preserve">so </w:t>
      </w:r>
      <w:r w:rsidR="002B2E67">
        <w:rPr>
          <w:rFonts w:asciiTheme="majorBidi" w:hAnsiTheme="majorBidi" w:cstheme="majorBidi"/>
        </w:rPr>
        <w:t xml:space="preserve">the lit </w:t>
      </w:r>
      <w:r>
        <w:rPr>
          <w:rFonts w:asciiTheme="majorBidi" w:hAnsiTheme="majorBidi" w:cstheme="majorBidi"/>
        </w:rPr>
        <w:t xml:space="preserve">area of </w:t>
      </w:r>
      <w:r w:rsidRPr="00220D9F">
        <w:rPr>
          <w:rFonts w:asciiTheme="majorBidi" w:hAnsiTheme="majorBidi" w:cstheme="majorBidi"/>
        </w:rPr>
        <w:t>the average New Zealand town expanded over the study period</w:t>
      </w:r>
      <w:r w:rsidR="00730B46">
        <w:rPr>
          <w:rFonts w:asciiTheme="majorBidi" w:hAnsiTheme="majorBidi" w:cstheme="majorBidi"/>
        </w:rPr>
        <w:t xml:space="preserve"> at a rate consistent with a doubling time of </w:t>
      </w:r>
      <w:r w:rsidR="00C50CCB">
        <w:rPr>
          <w:rFonts w:asciiTheme="majorBidi" w:hAnsiTheme="majorBidi" w:cstheme="majorBidi"/>
        </w:rPr>
        <w:t xml:space="preserve">about </w:t>
      </w:r>
      <w:r w:rsidR="00730B46">
        <w:rPr>
          <w:rFonts w:asciiTheme="majorBidi" w:hAnsiTheme="majorBidi" w:cstheme="majorBidi"/>
        </w:rPr>
        <w:t>one century</w:t>
      </w:r>
      <w:r>
        <w:rPr>
          <w:rFonts w:asciiTheme="majorBidi" w:hAnsiTheme="majorBidi" w:cstheme="majorBidi"/>
        </w:rPr>
        <w:t>.</w:t>
      </w:r>
      <w:r w:rsidRPr="00220D9F">
        <w:rPr>
          <w:rFonts w:asciiTheme="majorBidi" w:hAnsiTheme="majorBidi" w:cstheme="majorBidi"/>
        </w:rPr>
        <w:t xml:space="preserve"> </w:t>
      </w:r>
      <w:r w:rsidR="00082E70" w:rsidRPr="00082E70">
        <w:rPr>
          <w:rFonts w:asciiTheme="majorBidi" w:hAnsiTheme="majorBidi" w:cstheme="majorBidi"/>
        </w:rPr>
        <w:t>Auckland, despite accounting for a large share of New Zealand's absolute urban expansion, recorded an estimated growth rate of only 0.</w:t>
      </w:r>
      <w:r w:rsidR="00C50CCB">
        <w:rPr>
          <w:rFonts w:asciiTheme="majorBidi" w:hAnsiTheme="majorBidi" w:cstheme="majorBidi"/>
        </w:rPr>
        <w:t>35</w:t>
      </w:r>
      <w:r w:rsidR="00082E70" w:rsidRPr="00082E70">
        <w:rPr>
          <w:rFonts w:asciiTheme="majorBidi" w:hAnsiTheme="majorBidi" w:cstheme="majorBidi"/>
        </w:rPr>
        <w:t xml:space="preserve"> percent per annum</w:t>
      </w:r>
      <w:r w:rsidR="00082E70">
        <w:rPr>
          <w:rFonts w:asciiTheme="majorBidi" w:hAnsiTheme="majorBidi" w:cstheme="majorBidi"/>
        </w:rPr>
        <w:t xml:space="preserve"> (</w:t>
      </w:r>
      <w:r w:rsidR="00082E70">
        <w:rPr>
          <w:rFonts w:asciiTheme="majorBidi" w:hAnsiTheme="majorBidi" w:cstheme="majorBidi"/>
          <w:i/>
          <w:iCs/>
        </w:rPr>
        <w:t>p</w:t>
      </w:r>
      <w:r w:rsidR="00082E70">
        <w:rPr>
          <w:rFonts w:asciiTheme="majorBidi" w:hAnsiTheme="majorBidi" w:cstheme="majorBidi"/>
        </w:rPr>
        <w:t>&lt;0.0</w:t>
      </w:r>
      <w:r w:rsidR="00C50CCB">
        <w:rPr>
          <w:rFonts w:asciiTheme="majorBidi" w:hAnsiTheme="majorBidi" w:cstheme="majorBidi"/>
        </w:rPr>
        <w:t>1</w:t>
      </w:r>
      <w:r w:rsidR="00082E70">
        <w:rPr>
          <w:rFonts w:asciiTheme="majorBidi" w:hAnsiTheme="majorBidi" w:cstheme="majorBidi"/>
        </w:rPr>
        <w:t>)</w:t>
      </w:r>
      <w:r w:rsidR="00082E70" w:rsidRPr="00082E70">
        <w:rPr>
          <w:rFonts w:asciiTheme="majorBidi" w:hAnsiTheme="majorBidi" w:cstheme="majorBidi"/>
        </w:rPr>
        <w:t>.</w:t>
      </w:r>
      <w:r w:rsidR="00082E70">
        <w:rPr>
          <w:rStyle w:val="FootnoteReference"/>
          <w:rFonts w:asciiTheme="majorBidi" w:hAnsiTheme="majorBidi" w:cstheme="majorBidi"/>
        </w:rPr>
        <w:footnoteReference w:id="10"/>
      </w:r>
      <w:r w:rsidR="00082E70" w:rsidRPr="00082E70">
        <w:rPr>
          <w:rFonts w:asciiTheme="majorBidi" w:hAnsiTheme="majorBidi" w:cstheme="majorBidi"/>
        </w:rPr>
        <w:t xml:space="preserve"> Thus, the most rapid growth in proportional terms occurred elsewhere, particularly in smaller commuter and amenity towns.</w:t>
      </w:r>
      <w:r w:rsidR="00082E70">
        <w:rPr>
          <w:rFonts w:asciiTheme="majorBidi" w:hAnsiTheme="majorBidi" w:cstheme="majorBidi"/>
        </w:rPr>
        <w:t xml:space="preserve"> </w:t>
      </w:r>
    </w:p>
    <w:p w14:paraId="09475E14" w14:textId="650049EF" w:rsidR="00356C85" w:rsidRDefault="00356C85" w:rsidP="00E44F40">
      <w:pPr>
        <w:ind w:firstLine="720"/>
        <w:jc w:val="both"/>
        <w:rPr>
          <w:rFonts w:asciiTheme="majorBidi" w:hAnsiTheme="majorBidi" w:cstheme="majorBidi"/>
        </w:rPr>
      </w:pPr>
      <w:r w:rsidRPr="00356C85">
        <w:rPr>
          <w:rFonts w:asciiTheme="majorBidi" w:hAnsiTheme="majorBidi" w:cstheme="majorBidi"/>
        </w:rPr>
        <w:t xml:space="preserve">In contrast to what the DeepNTL data show, the trends estimated with the uncorrected DMSP imagery suggest that the average town or city experienced declining illuminated area. This difference </w:t>
      </w:r>
      <w:r>
        <w:rPr>
          <w:rFonts w:asciiTheme="majorBidi" w:hAnsiTheme="majorBidi" w:cstheme="majorBidi"/>
        </w:rPr>
        <w:t>i</w:t>
      </w:r>
      <w:r w:rsidRPr="00356C85">
        <w:rPr>
          <w:rFonts w:asciiTheme="majorBidi" w:hAnsiTheme="majorBidi" w:cstheme="majorBidi"/>
        </w:rPr>
        <w:t xml:space="preserve">s not because the DMSP estimates are less precise. Indeed, a higher proportion of </w:t>
      </w:r>
      <w:r>
        <w:rPr>
          <w:rFonts w:asciiTheme="majorBidi" w:hAnsiTheme="majorBidi" w:cstheme="majorBidi"/>
        </w:rPr>
        <w:t xml:space="preserve">the </w:t>
      </w:r>
      <w:r w:rsidRPr="00356C85">
        <w:rPr>
          <w:rFonts w:asciiTheme="majorBidi" w:hAnsiTheme="majorBidi" w:cstheme="majorBidi"/>
        </w:rPr>
        <w:t xml:space="preserve">DMSP-based trends are statistically significant at the 5 percent level than is the case for </w:t>
      </w:r>
      <w:r>
        <w:rPr>
          <w:rFonts w:asciiTheme="majorBidi" w:hAnsiTheme="majorBidi" w:cstheme="majorBidi"/>
        </w:rPr>
        <w:t xml:space="preserve">when </w:t>
      </w:r>
      <w:r w:rsidRPr="00356C85">
        <w:rPr>
          <w:rFonts w:asciiTheme="majorBidi" w:hAnsiTheme="majorBidi" w:cstheme="majorBidi"/>
        </w:rPr>
        <w:t>DeepNTL</w:t>
      </w:r>
      <w:r>
        <w:rPr>
          <w:rFonts w:asciiTheme="majorBidi" w:hAnsiTheme="majorBidi" w:cstheme="majorBidi"/>
        </w:rPr>
        <w:t xml:space="preserve"> data are used</w:t>
      </w:r>
      <w:r w:rsidRPr="00356C85">
        <w:rPr>
          <w:rFonts w:asciiTheme="majorBidi" w:hAnsiTheme="majorBidi" w:cstheme="majorBidi"/>
        </w:rPr>
        <w:t>.</w:t>
      </w:r>
      <w:r>
        <w:rPr>
          <w:rStyle w:val="FootnoteReference"/>
          <w:rFonts w:asciiTheme="majorBidi" w:hAnsiTheme="majorBidi" w:cstheme="majorBidi"/>
        </w:rPr>
        <w:footnoteReference w:id="11"/>
      </w:r>
      <w:r w:rsidRPr="00356C85">
        <w:rPr>
          <w:rFonts w:asciiTheme="majorBidi" w:hAnsiTheme="majorBidi" w:cstheme="majorBidi"/>
        </w:rPr>
        <w:t xml:space="preserve"> Instead, the principal effect of the DMSP measurement problems appears to be a systematic downward bias in estimated rates of urban expansion, consistent with the overstatement of illuminated area being proportionately larger when towns were smaller. The complete set of town-specific trend estimates, together with their standard errors, t-statistics and p-values, is reported in Appendix Table A1.</w:t>
      </w:r>
    </w:p>
    <w:p w14:paraId="6BDEE0BA" w14:textId="17EC6B27" w:rsidR="00897299" w:rsidRDefault="00084A1C" w:rsidP="00E44F40">
      <w:pPr>
        <w:ind w:firstLine="720"/>
        <w:jc w:val="both"/>
        <w:rPr>
          <w:rFonts w:asciiTheme="majorBidi" w:hAnsiTheme="majorBidi" w:cstheme="majorBidi"/>
        </w:rPr>
      </w:pPr>
      <w:r w:rsidRPr="00084A1C">
        <w:rPr>
          <w:rFonts w:asciiTheme="majorBidi" w:hAnsiTheme="majorBidi" w:cstheme="majorBidi"/>
        </w:rPr>
        <w:t xml:space="preserve">While Figure 5 and Table 1 </w:t>
      </w:r>
      <w:r w:rsidR="002D0452">
        <w:rPr>
          <w:rFonts w:asciiTheme="majorBidi" w:hAnsiTheme="majorBidi" w:cstheme="majorBidi"/>
        </w:rPr>
        <w:t xml:space="preserve">establish </w:t>
      </w:r>
      <w:r w:rsidRPr="00084A1C">
        <w:rPr>
          <w:rFonts w:asciiTheme="majorBidi" w:hAnsiTheme="majorBidi" w:cstheme="majorBidi"/>
        </w:rPr>
        <w:t xml:space="preserve">that the distribution of estimated growth rates differs </w:t>
      </w:r>
      <w:r w:rsidR="002D0452">
        <w:rPr>
          <w:rFonts w:asciiTheme="majorBidi" w:hAnsiTheme="majorBidi" w:cstheme="majorBidi"/>
        </w:rPr>
        <w:t xml:space="preserve">markedly </w:t>
      </w:r>
      <w:r w:rsidRPr="00084A1C">
        <w:rPr>
          <w:rFonts w:asciiTheme="majorBidi" w:hAnsiTheme="majorBidi" w:cstheme="majorBidi"/>
        </w:rPr>
        <w:t xml:space="preserve">between the reconstructed and original night-time lights data, aggregate statistics conceal considerable variation across individual towns. Some settlements expanded at rates far above the national average, while others experienced sustained contraction over the three decades of observation. Examining these tails of the distribution helps </w:t>
      </w:r>
      <w:r w:rsidR="002D0452">
        <w:rPr>
          <w:rFonts w:asciiTheme="majorBidi" w:hAnsiTheme="majorBidi" w:cstheme="majorBidi"/>
        </w:rPr>
        <w:t xml:space="preserve">to clarify some of </w:t>
      </w:r>
      <w:r w:rsidRPr="00084A1C">
        <w:rPr>
          <w:rFonts w:asciiTheme="majorBidi" w:hAnsiTheme="majorBidi" w:cstheme="majorBidi"/>
        </w:rPr>
        <w:t>the factors associated with long-run urban growth and decline.</w:t>
      </w:r>
    </w:p>
    <w:p w14:paraId="098AD4D8" w14:textId="77777777" w:rsidR="00493054" w:rsidRPr="0063797D" w:rsidRDefault="00493054" w:rsidP="00493054">
      <w:pPr>
        <w:spacing w:after="60" w:line="240" w:lineRule="auto"/>
        <w:ind w:left="720" w:hanging="720"/>
        <w:jc w:val="center"/>
        <w:rPr>
          <w:rFonts w:asciiTheme="majorBidi" w:hAnsiTheme="majorBidi" w:cstheme="majorBidi"/>
          <w:sz w:val="22"/>
          <w:szCs w:val="22"/>
        </w:rPr>
      </w:pPr>
      <w:r w:rsidRPr="0063797D">
        <w:rPr>
          <w:rFonts w:asciiTheme="majorBidi" w:hAnsiTheme="majorBidi" w:cstheme="majorBidi"/>
          <w:sz w:val="22"/>
          <w:szCs w:val="22"/>
        </w:rPr>
        <w:lastRenderedPageBreak/>
        <w:t>Figure 5: Distribution of Estimated Urban Area Expansion Rates from DMSP and DeepNTL</w:t>
      </w:r>
    </w:p>
    <w:p w14:paraId="2E14198B" w14:textId="77777777" w:rsidR="00493054" w:rsidRDefault="00493054" w:rsidP="00493054">
      <w:pPr>
        <w:spacing w:after="0" w:line="240" w:lineRule="auto"/>
        <w:ind w:left="720" w:hanging="720"/>
        <w:jc w:val="center"/>
        <w:rPr>
          <w:rFonts w:asciiTheme="majorBidi" w:hAnsiTheme="majorBidi" w:cstheme="majorBidi"/>
        </w:rPr>
      </w:pPr>
      <w:r w:rsidRPr="00A77212">
        <w:rPr>
          <w:rFonts w:asciiTheme="majorBidi" w:hAnsiTheme="majorBidi" w:cstheme="majorBidi"/>
          <w:noProof/>
        </w:rPr>
        <w:drawing>
          <wp:inline distT="0" distB="0" distL="0" distR="0" wp14:anchorId="5424B061" wp14:editId="1E8F4CA3">
            <wp:extent cx="4572000" cy="4368800"/>
            <wp:effectExtent l="0" t="0" r="0" b="0"/>
            <wp:docPr id="380493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4368800"/>
                    </a:xfrm>
                    <a:prstGeom prst="rect">
                      <a:avLst/>
                    </a:prstGeom>
                    <a:noFill/>
                    <a:ln>
                      <a:noFill/>
                    </a:ln>
                  </pic:spPr>
                </pic:pic>
              </a:graphicData>
            </a:graphic>
          </wp:inline>
        </w:drawing>
      </w:r>
    </w:p>
    <w:p w14:paraId="5AB203B1" w14:textId="77777777" w:rsidR="00493054" w:rsidRDefault="00493054" w:rsidP="00493054">
      <w:pPr>
        <w:spacing w:after="60" w:line="240" w:lineRule="auto"/>
        <w:ind w:left="720" w:hanging="720"/>
        <w:jc w:val="center"/>
        <w:rPr>
          <w:rFonts w:asciiTheme="majorBidi" w:hAnsiTheme="majorBidi" w:cstheme="majorBidi"/>
        </w:rPr>
      </w:pPr>
    </w:p>
    <w:p w14:paraId="77128036" w14:textId="77823ED9" w:rsidR="00493054" w:rsidRPr="00B63B05" w:rsidRDefault="00493054" w:rsidP="00493054">
      <w:pPr>
        <w:spacing w:after="60" w:line="240" w:lineRule="auto"/>
        <w:ind w:left="720" w:hanging="720"/>
        <w:jc w:val="center"/>
        <w:rPr>
          <w:rFonts w:asciiTheme="majorBidi" w:hAnsiTheme="majorBidi" w:cstheme="majorBidi"/>
          <w:sz w:val="22"/>
          <w:szCs w:val="22"/>
        </w:rPr>
      </w:pPr>
      <w:r w:rsidRPr="00B63B05">
        <w:rPr>
          <w:rFonts w:asciiTheme="majorBidi" w:hAnsiTheme="majorBidi" w:cstheme="majorBidi"/>
          <w:sz w:val="22"/>
          <w:szCs w:val="22"/>
        </w:rPr>
        <w:t>Table 1: Summary Statistics for the Estimated Trend Rates of Urban Area Change</w:t>
      </w:r>
    </w:p>
    <w:tbl>
      <w:tblPr>
        <w:tblStyle w:val="TableGrid"/>
        <w:tblW w:w="0" w:type="auto"/>
        <w:tblLook w:val="04A0" w:firstRow="1" w:lastRow="0" w:firstColumn="1" w:lastColumn="0" w:noHBand="0" w:noVBand="1"/>
      </w:tblPr>
      <w:tblGrid>
        <w:gridCol w:w="3686"/>
        <w:gridCol w:w="1778"/>
        <w:gridCol w:w="1778"/>
        <w:gridCol w:w="1779"/>
      </w:tblGrid>
      <w:tr w:rsidR="00493054" w14:paraId="14EA66F4" w14:textId="77777777" w:rsidTr="00B04A8E">
        <w:trPr>
          <w:trHeight w:val="203"/>
        </w:trPr>
        <w:tc>
          <w:tcPr>
            <w:tcW w:w="3686" w:type="dxa"/>
            <w:tcBorders>
              <w:top w:val="single" w:sz="4" w:space="0" w:color="auto"/>
              <w:left w:val="nil"/>
              <w:bottom w:val="nil"/>
              <w:right w:val="nil"/>
            </w:tcBorders>
          </w:tcPr>
          <w:p w14:paraId="1BCDA190" w14:textId="77777777" w:rsidR="00493054" w:rsidRPr="001A5D89" w:rsidRDefault="00493054" w:rsidP="00B04A8E">
            <w:pPr>
              <w:spacing w:before="20" w:after="20"/>
              <w:rPr>
                <w:rFonts w:asciiTheme="majorBidi" w:hAnsiTheme="majorBidi" w:cstheme="majorBidi"/>
                <w:sz w:val="22"/>
                <w:szCs w:val="22"/>
              </w:rPr>
            </w:pPr>
          </w:p>
        </w:tc>
        <w:tc>
          <w:tcPr>
            <w:tcW w:w="3556" w:type="dxa"/>
            <w:gridSpan w:val="2"/>
            <w:tcBorders>
              <w:top w:val="single" w:sz="4" w:space="0" w:color="auto"/>
              <w:left w:val="nil"/>
              <w:bottom w:val="single" w:sz="4" w:space="0" w:color="auto"/>
              <w:right w:val="nil"/>
            </w:tcBorders>
          </w:tcPr>
          <w:p w14:paraId="3ABBD439"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DeepNTL</w:t>
            </w:r>
          </w:p>
        </w:tc>
        <w:tc>
          <w:tcPr>
            <w:tcW w:w="1779" w:type="dxa"/>
            <w:tcBorders>
              <w:top w:val="single" w:sz="4" w:space="0" w:color="auto"/>
              <w:left w:val="nil"/>
              <w:bottom w:val="single" w:sz="4" w:space="0" w:color="auto"/>
              <w:right w:val="nil"/>
            </w:tcBorders>
          </w:tcPr>
          <w:p w14:paraId="52C9706A"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DMSP</w:t>
            </w:r>
          </w:p>
        </w:tc>
      </w:tr>
      <w:tr w:rsidR="00493054" w14:paraId="30F53807" w14:textId="77777777" w:rsidTr="00B04A8E">
        <w:trPr>
          <w:trHeight w:val="203"/>
        </w:trPr>
        <w:tc>
          <w:tcPr>
            <w:tcW w:w="3686" w:type="dxa"/>
            <w:tcBorders>
              <w:top w:val="nil"/>
              <w:left w:val="nil"/>
              <w:bottom w:val="single" w:sz="4" w:space="0" w:color="auto"/>
              <w:right w:val="nil"/>
            </w:tcBorders>
          </w:tcPr>
          <w:p w14:paraId="7F7C6D50" w14:textId="77777777" w:rsidR="00493054" w:rsidRPr="001A5D89" w:rsidRDefault="00493054" w:rsidP="00B04A8E">
            <w:pPr>
              <w:spacing w:before="20" w:after="20"/>
              <w:rPr>
                <w:rFonts w:asciiTheme="majorBidi" w:hAnsiTheme="majorBidi" w:cstheme="majorBidi"/>
                <w:sz w:val="22"/>
                <w:szCs w:val="22"/>
              </w:rPr>
            </w:pPr>
          </w:p>
        </w:tc>
        <w:tc>
          <w:tcPr>
            <w:tcW w:w="1778" w:type="dxa"/>
            <w:tcBorders>
              <w:top w:val="single" w:sz="4" w:space="0" w:color="auto"/>
              <w:left w:val="nil"/>
              <w:bottom w:val="single" w:sz="4" w:space="0" w:color="auto"/>
              <w:right w:val="nil"/>
            </w:tcBorders>
          </w:tcPr>
          <w:p w14:paraId="637A8BA0"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N=133</w:t>
            </w:r>
          </w:p>
        </w:tc>
        <w:tc>
          <w:tcPr>
            <w:tcW w:w="1778" w:type="dxa"/>
            <w:tcBorders>
              <w:top w:val="single" w:sz="4" w:space="0" w:color="auto"/>
              <w:left w:val="nil"/>
              <w:bottom w:val="single" w:sz="4" w:space="0" w:color="auto"/>
              <w:right w:val="nil"/>
            </w:tcBorders>
          </w:tcPr>
          <w:p w14:paraId="6F4B52D0"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N=123</w:t>
            </w:r>
          </w:p>
        </w:tc>
        <w:tc>
          <w:tcPr>
            <w:tcW w:w="1779" w:type="dxa"/>
            <w:tcBorders>
              <w:top w:val="single" w:sz="4" w:space="0" w:color="auto"/>
              <w:left w:val="nil"/>
              <w:bottom w:val="single" w:sz="4" w:space="0" w:color="auto"/>
              <w:right w:val="nil"/>
            </w:tcBorders>
          </w:tcPr>
          <w:p w14:paraId="37B4DFA9"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N=123</w:t>
            </w:r>
          </w:p>
        </w:tc>
      </w:tr>
      <w:tr w:rsidR="00493054" w14:paraId="2E18DAD3" w14:textId="77777777" w:rsidTr="00B04A8E">
        <w:trPr>
          <w:trHeight w:val="203"/>
        </w:trPr>
        <w:tc>
          <w:tcPr>
            <w:tcW w:w="3686" w:type="dxa"/>
            <w:tcBorders>
              <w:top w:val="single" w:sz="4" w:space="0" w:color="auto"/>
              <w:left w:val="nil"/>
              <w:bottom w:val="nil"/>
              <w:right w:val="nil"/>
            </w:tcBorders>
          </w:tcPr>
          <w:p w14:paraId="4A733205" w14:textId="77777777" w:rsidR="00493054" w:rsidRPr="001A5D89" w:rsidRDefault="00493054" w:rsidP="00B04A8E">
            <w:pPr>
              <w:spacing w:before="20" w:after="20"/>
              <w:rPr>
                <w:rFonts w:asciiTheme="majorBidi" w:hAnsiTheme="majorBidi" w:cstheme="majorBidi"/>
                <w:sz w:val="22"/>
                <w:szCs w:val="22"/>
              </w:rPr>
            </w:pPr>
            <w:r w:rsidRPr="001A5D89">
              <w:rPr>
                <w:rFonts w:asciiTheme="majorBidi" w:hAnsiTheme="majorBidi" w:cstheme="majorBidi"/>
                <w:sz w:val="22"/>
                <w:szCs w:val="22"/>
              </w:rPr>
              <w:t>Mean</w:t>
            </w:r>
          </w:p>
        </w:tc>
        <w:tc>
          <w:tcPr>
            <w:tcW w:w="1778" w:type="dxa"/>
            <w:tcBorders>
              <w:top w:val="single" w:sz="4" w:space="0" w:color="auto"/>
              <w:left w:val="nil"/>
              <w:bottom w:val="nil"/>
              <w:right w:val="nil"/>
            </w:tcBorders>
          </w:tcPr>
          <w:p w14:paraId="4052BC9D" w14:textId="77777777" w:rsidR="00493054" w:rsidRPr="001A5D89" w:rsidRDefault="00493054" w:rsidP="00B04A8E">
            <w:pPr>
              <w:tabs>
                <w:tab w:val="decimal" w:pos="567"/>
              </w:tabs>
              <w:spacing w:before="20" w:after="20"/>
              <w:rPr>
                <w:rFonts w:asciiTheme="majorBidi" w:hAnsiTheme="majorBidi" w:cstheme="majorBidi"/>
                <w:sz w:val="22"/>
                <w:szCs w:val="22"/>
              </w:rPr>
            </w:pPr>
            <w:r w:rsidRPr="001A5D89">
              <w:rPr>
                <w:rFonts w:asciiTheme="majorBidi" w:hAnsiTheme="majorBidi" w:cstheme="majorBidi"/>
                <w:sz w:val="22"/>
                <w:szCs w:val="22"/>
              </w:rPr>
              <w:t>0.00</w:t>
            </w:r>
            <w:r>
              <w:rPr>
                <w:rFonts w:asciiTheme="majorBidi" w:hAnsiTheme="majorBidi" w:cstheme="majorBidi"/>
                <w:sz w:val="22"/>
                <w:szCs w:val="22"/>
              </w:rPr>
              <w:t>6</w:t>
            </w:r>
            <w:r w:rsidRPr="001A5D89">
              <w:rPr>
                <w:rFonts w:asciiTheme="majorBidi" w:hAnsiTheme="majorBidi" w:cstheme="majorBidi"/>
                <w:sz w:val="22"/>
                <w:szCs w:val="22"/>
              </w:rPr>
              <w:t>7</w:t>
            </w:r>
          </w:p>
        </w:tc>
        <w:tc>
          <w:tcPr>
            <w:tcW w:w="1778" w:type="dxa"/>
            <w:tcBorders>
              <w:top w:val="single" w:sz="4" w:space="0" w:color="auto"/>
              <w:left w:val="nil"/>
              <w:bottom w:val="nil"/>
              <w:right w:val="nil"/>
            </w:tcBorders>
          </w:tcPr>
          <w:p w14:paraId="411AA1DC" w14:textId="77777777" w:rsidR="00493054" w:rsidRPr="001A5D89" w:rsidRDefault="00493054" w:rsidP="00B04A8E">
            <w:pPr>
              <w:tabs>
                <w:tab w:val="decimal" w:pos="567"/>
              </w:tabs>
              <w:spacing w:before="20" w:after="20"/>
              <w:rPr>
                <w:rFonts w:asciiTheme="majorBidi" w:hAnsiTheme="majorBidi" w:cstheme="majorBidi"/>
                <w:sz w:val="22"/>
                <w:szCs w:val="22"/>
              </w:rPr>
            </w:pPr>
            <w:r w:rsidRPr="001A5D89">
              <w:rPr>
                <w:rFonts w:asciiTheme="majorBidi" w:hAnsiTheme="majorBidi" w:cstheme="majorBidi"/>
                <w:sz w:val="22"/>
                <w:szCs w:val="22"/>
              </w:rPr>
              <w:t>0.0080</w:t>
            </w:r>
          </w:p>
        </w:tc>
        <w:tc>
          <w:tcPr>
            <w:tcW w:w="1779" w:type="dxa"/>
            <w:tcBorders>
              <w:top w:val="single" w:sz="4" w:space="0" w:color="auto"/>
              <w:left w:val="nil"/>
              <w:bottom w:val="nil"/>
              <w:right w:val="nil"/>
            </w:tcBorders>
          </w:tcPr>
          <w:p w14:paraId="35C0520F"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w:t>
            </w:r>
            <w:r w:rsidRPr="001A5D89">
              <w:rPr>
                <w:rFonts w:asciiTheme="majorBidi" w:hAnsiTheme="majorBidi" w:cstheme="majorBidi"/>
                <w:sz w:val="22"/>
                <w:szCs w:val="22"/>
              </w:rPr>
              <w:t>0.01</w:t>
            </w:r>
            <w:r>
              <w:rPr>
                <w:rFonts w:asciiTheme="majorBidi" w:hAnsiTheme="majorBidi" w:cstheme="majorBidi"/>
                <w:sz w:val="22"/>
                <w:szCs w:val="22"/>
              </w:rPr>
              <w:t>9</w:t>
            </w:r>
            <w:r w:rsidRPr="001A5D89">
              <w:rPr>
                <w:rFonts w:asciiTheme="majorBidi" w:hAnsiTheme="majorBidi" w:cstheme="majorBidi"/>
                <w:sz w:val="22"/>
                <w:szCs w:val="22"/>
              </w:rPr>
              <w:t>1</w:t>
            </w:r>
          </w:p>
        </w:tc>
      </w:tr>
      <w:tr w:rsidR="00493054" w14:paraId="22793016" w14:textId="77777777" w:rsidTr="00B04A8E">
        <w:trPr>
          <w:trHeight w:val="203"/>
        </w:trPr>
        <w:tc>
          <w:tcPr>
            <w:tcW w:w="3686" w:type="dxa"/>
            <w:tcBorders>
              <w:top w:val="nil"/>
              <w:left w:val="nil"/>
              <w:bottom w:val="nil"/>
              <w:right w:val="nil"/>
            </w:tcBorders>
          </w:tcPr>
          <w:p w14:paraId="0A8F8E2C" w14:textId="77777777" w:rsidR="00493054" w:rsidRPr="001A5D89" w:rsidRDefault="00493054" w:rsidP="00B04A8E">
            <w:pPr>
              <w:spacing w:before="20" w:after="20"/>
              <w:rPr>
                <w:rFonts w:asciiTheme="majorBidi" w:hAnsiTheme="majorBidi" w:cstheme="majorBidi"/>
                <w:sz w:val="22"/>
                <w:szCs w:val="22"/>
              </w:rPr>
            </w:pPr>
            <w:r w:rsidRPr="001A5D89">
              <w:rPr>
                <w:rFonts w:asciiTheme="majorBidi" w:hAnsiTheme="majorBidi" w:cstheme="majorBidi"/>
                <w:sz w:val="22"/>
                <w:szCs w:val="22"/>
              </w:rPr>
              <w:t>5</w:t>
            </w:r>
            <w:r w:rsidRPr="001A5D89">
              <w:rPr>
                <w:rFonts w:asciiTheme="majorBidi" w:hAnsiTheme="majorBidi" w:cstheme="majorBidi"/>
                <w:sz w:val="22"/>
                <w:szCs w:val="22"/>
                <w:vertAlign w:val="superscript"/>
              </w:rPr>
              <w:t>th</w:t>
            </w:r>
            <w:r w:rsidRPr="001A5D89">
              <w:rPr>
                <w:rFonts w:asciiTheme="majorBidi" w:hAnsiTheme="majorBidi" w:cstheme="majorBidi"/>
                <w:sz w:val="22"/>
                <w:szCs w:val="22"/>
              </w:rPr>
              <w:t xml:space="preserve"> percentile</w:t>
            </w:r>
          </w:p>
        </w:tc>
        <w:tc>
          <w:tcPr>
            <w:tcW w:w="1778" w:type="dxa"/>
            <w:tcBorders>
              <w:top w:val="nil"/>
              <w:left w:val="nil"/>
              <w:bottom w:val="nil"/>
              <w:right w:val="nil"/>
            </w:tcBorders>
          </w:tcPr>
          <w:p w14:paraId="404DE655"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w:t>
            </w:r>
            <w:r w:rsidRPr="001A5D89">
              <w:rPr>
                <w:rFonts w:asciiTheme="majorBidi" w:hAnsiTheme="majorBidi" w:cstheme="majorBidi"/>
                <w:sz w:val="22"/>
                <w:szCs w:val="22"/>
              </w:rPr>
              <w:t>0.0</w:t>
            </w:r>
            <w:r>
              <w:rPr>
                <w:rFonts w:asciiTheme="majorBidi" w:hAnsiTheme="majorBidi" w:cstheme="majorBidi"/>
                <w:sz w:val="22"/>
                <w:szCs w:val="22"/>
              </w:rPr>
              <w:t>164</w:t>
            </w:r>
          </w:p>
        </w:tc>
        <w:tc>
          <w:tcPr>
            <w:tcW w:w="1778" w:type="dxa"/>
            <w:tcBorders>
              <w:top w:val="nil"/>
              <w:left w:val="nil"/>
              <w:bottom w:val="nil"/>
              <w:right w:val="nil"/>
            </w:tcBorders>
          </w:tcPr>
          <w:p w14:paraId="078A1523"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w:t>
            </w:r>
            <w:r w:rsidRPr="001A5D89">
              <w:rPr>
                <w:rFonts w:asciiTheme="majorBidi" w:hAnsiTheme="majorBidi" w:cstheme="majorBidi"/>
                <w:sz w:val="22"/>
                <w:szCs w:val="22"/>
              </w:rPr>
              <w:t>0.0</w:t>
            </w:r>
            <w:r>
              <w:rPr>
                <w:rFonts w:asciiTheme="majorBidi" w:hAnsiTheme="majorBidi" w:cstheme="majorBidi"/>
                <w:sz w:val="22"/>
                <w:szCs w:val="22"/>
              </w:rPr>
              <w:t>102</w:t>
            </w:r>
          </w:p>
        </w:tc>
        <w:tc>
          <w:tcPr>
            <w:tcW w:w="1779" w:type="dxa"/>
            <w:tcBorders>
              <w:top w:val="nil"/>
              <w:left w:val="nil"/>
              <w:bottom w:val="nil"/>
              <w:right w:val="nil"/>
            </w:tcBorders>
          </w:tcPr>
          <w:p w14:paraId="5759936A"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w:t>
            </w:r>
            <w:r w:rsidRPr="001A5D89">
              <w:rPr>
                <w:rFonts w:asciiTheme="majorBidi" w:hAnsiTheme="majorBidi" w:cstheme="majorBidi"/>
                <w:sz w:val="22"/>
                <w:szCs w:val="22"/>
              </w:rPr>
              <w:t>0.07</w:t>
            </w:r>
            <w:r>
              <w:rPr>
                <w:rFonts w:asciiTheme="majorBidi" w:hAnsiTheme="majorBidi" w:cstheme="majorBidi"/>
                <w:sz w:val="22"/>
                <w:szCs w:val="22"/>
              </w:rPr>
              <w:t>24</w:t>
            </w:r>
          </w:p>
        </w:tc>
      </w:tr>
      <w:tr w:rsidR="00493054" w14:paraId="70DD787E" w14:textId="77777777" w:rsidTr="00B04A8E">
        <w:trPr>
          <w:trHeight w:val="203"/>
        </w:trPr>
        <w:tc>
          <w:tcPr>
            <w:tcW w:w="3686" w:type="dxa"/>
            <w:tcBorders>
              <w:top w:val="nil"/>
              <w:left w:val="nil"/>
              <w:bottom w:val="nil"/>
              <w:right w:val="nil"/>
            </w:tcBorders>
          </w:tcPr>
          <w:p w14:paraId="1E368905" w14:textId="77777777" w:rsidR="00493054" w:rsidRPr="001A5D89" w:rsidRDefault="00493054" w:rsidP="00B04A8E">
            <w:pPr>
              <w:spacing w:before="20" w:after="20"/>
              <w:rPr>
                <w:rFonts w:asciiTheme="majorBidi" w:hAnsiTheme="majorBidi" w:cstheme="majorBidi"/>
                <w:sz w:val="22"/>
                <w:szCs w:val="22"/>
              </w:rPr>
            </w:pPr>
            <w:r w:rsidRPr="001A5D89">
              <w:rPr>
                <w:rFonts w:asciiTheme="majorBidi" w:hAnsiTheme="majorBidi" w:cstheme="majorBidi"/>
                <w:sz w:val="22"/>
                <w:szCs w:val="22"/>
              </w:rPr>
              <w:t>50</w:t>
            </w:r>
            <w:r w:rsidRPr="001A5D89">
              <w:rPr>
                <w:rFonts w:asciiTheme="majorBidi" w:hAnsiTheme="majorBidi" w:cstheme="majorBidi"/>
                <w:sz w:val="22"/>
                <w:szCs w:val="22"/>
                <w:vertAlign w:val="superscript"/>
              </w:rPr>
              <w:t>th</w:t>
            </w:r>
            <w:r w:rsidRPr="001A5D89">
              <w:rPr>
                <w:rFonts w:asciiTheme="majorBidi" w:hAnsiTheme="majorBidi" w:cstheme="majorBidi"/>
                <w:sz w:val="22"/>
                <w:szCs w:val="22"/>
              </w:rPr>
              <w:t xml:space="preserve"> percentile (median)</w:t>
            </w:r>
          </w:p>
        </w:tc>
        <w:tc>
          <w:tcPr>
            <w:tcW w:w="1778" w:type="dxa"/>
            <w:tcBorders>
              <w:top w:val="nil"/>
              <w:left w:val="nil"/>
              <w:bottom w:val="nil"/>
              <w:right w:val="nil"/>
            </w:tcBorders>
          </w:tcPr>
          <w:p w14:paraId="2D33542B"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0.0030</w:t>
            </w:r>
          </w:p>
        </w:tc>
        <w:tc>
          <w:tcPr>
            <w:tcW w:w="1778" w:type="dxa"/>
            <w:tcBorders>
              <w:top w:val="nil"/>
              <w:left w:val="nil"/>
              <w:bottom w:val="nil"/>
              <w:right w:val="nil"/>
            </w:tcBorders>
          </w:tcPr>
          <w:p w14:paraId="2530B6D0"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0.0030</w:t>
            </w:r>
          </w:p>
        </w:tc>
        <w:tc>
          <w:tcPr>
            <w:tcW w:w="1779" w:type="dxa"/>
            <w:tcBorders>
              <w:top w:val="nil"/>
              <w:left w:val="nil"/>
              <w:bottom w:val="nil"/>
              <w:right w:val="nil"/>
            </w:tcBorders>
          </w:tcPr>
          <w:p w14:paraId="58E1FE16"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w:t>
            </w:r>
            <w:r w:rsidRPr="001A5D89">
              <w:rPr>
                <w:rFonts w:asciiTheme="majorBidi" w:hAnsiTheme="majorBidi" w:cstheme="majorBidi"/>
                <w:sz w:val="22"/>
                <w:szCs w:val="22"/>
              </w:rPr>
              <w:t>0.01</w:t>
            </w:r>
            <w:r>
              <w:rPr>
                <w:rFonts w:asciiTheme="majorBidi" w:hAnsiTheme="majorBidi" w:cstheme="majorBidi"/>
                <w:sz w:val="22"/>
                <w:szCs w:val="22"/>
              </w:rPr>
              <w:t>9</w:t>
            </w:r>
            <w:r w:rsidRPr="001A5D89">
              <w:rPr>
                <w:rFonts w:asciiTheme="majorBidi" w:hAnsiTheme="majorBidi" w:cstheme="majorBidi"/>
                <w:sz w:val="22"/>
                <w:szCs w:val="22"/>
              </w:rPr>
              <w:t>7</w:t>
            </w:r>
          </w:p>
        </w:tc>
      </w:tr>
      <w:tr w:rsidR="00493054" w14:paraId="12641A7B" w14:textId="77777777" w:rsidTr="00B04A8E">
        <w:trPr>
          <w:trHeight w:val="203"/>
        </w:trPr>
        <w:tc>
          <w:tcPr>
            <w:tcW w:w="3686" w:type="dxa"/>
            <w:tcBorders>
              <w:top w:val="nil"/>
              <w:left w:val="nil"/>
              <w:bottom w:val="nil"/>
              <w:right w:val="nil"/>
            </w:tcBorders>
          </w:tcPr>
          <w:p w14:paraId="7B646631" w14:textId="77777777" w:rsidR="00493054" w:rsidRPr="001A5D89" w:rsidRDefault="00493054" w:rsidP="00B04A8E">
            <w:pPr>
              <w:spacing w:before="20" w:after="20"/>
              <w:rPr>
                <w:rFonts w:asciiTheme="majorBidi" w:hAnsiTheme="majorBidi" w:cstheme="majorBidi"/>
                <w:sz w:val="22"/>
                <w:szCs w:val="22"/>
              </w:rPr>
            </w:pPr>
            <w:r w:rsidRPr="001A5D89">
              <w:rPr>
                <w:rFonts w:asciiTheme="majorBidi" w:hAnsiTheme="majorBidi" w:cstheme="majorBidi"/>
                <w:sz w:val="22"/>
                <w:szCs w:val="22"/>
              </w:rPr>
              <w:t>95</w:t>
            </w:r>
            <w:r w:rsidRPr="001A5D89">
              <w:rPr>
                <w:rFonts w:asciiTheme="majorBidi" w:hAnsiTheme="majorBidi" w:cstheme="majorBidi"/>
                <w:sz w:val="22"/>
                <w:szCs w:val="22"/>
                <w:vertAlign w:val="superscript"/>
              </w:rPr>
              <w:t>th</w:t>
            </w:r>
            <w:r w:rsidRPr="001A5D89">
              <w:rPr>
                <w:rFonts w:asciiTheme="majorBidi" w:hAnsiTheme="majorBidi" w:cstheme="majorBidi"/>
                <w:sz w:val="22"/>
                <w:szCs w:val="22"/>
              </w:rPr>
              <w:t xml:space="preserve"> percentile</w:t>
            </w:r>
          </w:p>
        </w:tc>
        <w:tc>
          <w:tcPr>
            <w:tcW w:w="1778" w:type="dxa"/>
            <w:tcBorders>
              <w:top w:val="nil"/>
              <w:left w:val="nil"/>
              <w:bottom w:val="nil"/>
              <w:right w:val="nil"/>
            </w:tcBorders>
          </w:tcPr>
          <w:p w14:paraId="55B15FB5"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0.0521</w:t>
            </w:r>
          </w:p>
        </w:tc>
        <w:tc>
          <w:tcPr>
            <w:tcW w:w="1778" w:type="dxa"/>
            <w:tcBorders>
              <w:top w:val="nil"/>
              <w:left w:val="nil"/>
              <w:bottom w:val="nil"/>
              <w:right w:val="nil"/>
            </w:tcBorders>
          </w:tcPr>
          <w:p w14:paraId="10B190FA" w14:textId="77777777" w:rsidR="00493054" w:rsidRPr="001A5D89" w:rsidRDefault="00493054" w:rsidP="00B04A8E">
            <w:pPr>
              <w:tabs>
                <w:tab w:val="decimal" w:pos="567"/>
              </w:tabs>
              <w:spacing w:before="20" w:after="20"/>
              <w:rPr>
                <w:rFonts w:asciiTheme="majorBidi" w:hAnsiTheme="majorBidi" w:cstheme="majorBidi"/>
                <w:sz w:val="22"/>
                <w:szCs w:val="22"/>
              </w:rPr>
            </w:pPr>
            <w:r>
              <w:rPr>
                <w:rFonts w:asciiTheme="majorBidi" w:hAnsiTheme="majorBidi" w:cstheme="majorBidi"/>
                <w:sz w:val="22"/>
                <w:szCs w:val="22"/>
              </w:rPr>
              <w:t>0.0521</w:t>
            </w:r>
          </w:p>
        </w:tc>
        <w:tc>
          <w:tcPr>
            <w:tcW w:w="1779" w:type="dxa"/>
            <w:tcBorders>
              <w:top w:val="nil"/>
              <w:left w:val="nil"/>
              <w:bottom w:val="nil"/>
              <w:right w:val="nil"/>
            </w:tcBorders>
          </w:tcPr>
          <w:p w14:paraId="071381B8" w14:textId="77777777" w:rsidR="00493054" w:rsidRPr="001A5D89" w:rsidRDefault="00493054" w:rsidP="00B04A8E">
            <w:pPr>
              <w:tabs>
                <w:tab w:val="decimal" w:pos="567"/>
              </w:tabs>
              <w:spacing w:before="20" w:after="20"/>
              <w:rPr>
                <w:rFonts w:asciiTheme="majorBidi" w:hAnsiTheme="majorBidi" w:cstheme="majorBidi"/>
                <w:sz w:val="22"/>
                <w:szCs w:val="22"/>
              </w:rPr>
            </w:pPr>
            <w:r w:rsidRPr="001A5D89">
              <w:rPr>
                <w:rFonts w:asciiTheme="majorBidi" w:hAnsiTheme="majorBidi" w:cstheme="majorBidi"/>
                <w:sz w:val="22"/>
                <w:szCs w:val="22"/>
              </w:rPr>
              <w:t>0.037</w:t>
            </w:r>
            <w:r>
              <w:rPr>
                <w:rFonts w:asciiTheme="majorBidi" w:hAnsiTheme="majorBidi" w:cstheme="majorBidi"/>
                <w:sz w:val="22"/>
                <w:szCs w:val="22"/>
              </w:rPr>
              <w:t>3</w:t>
            </w:r>
          </w:p>
        </w:tc>
      </w:tr>
      <w:tr w:rsidR="00493054" w14:paraId="629A08F5" w14:textId="77777777" w:rsidTr="00B04A8E">
        <w:trPr>
          <w:trHeight w:val="203"/>
        </w:trPr>
        <w:tc>
          <w:tcPr>
            <w:tcW w:w="3686" w:type="dxa"/>
            <w:tcBorders>
              <w:top w:val="nil"/>
              <w:left w:val="nil"/>
              <w:bottom w:val="single" w:sz="4" w:space="0" w:color="auto"/>
              <w:right w:val="nil"/>
            </w:tcBorders>
          </w:tcPr>
          <w:p w14:paraId="2558A1B9" w14:textId="77777777" w:rsidR="00493054" w:rsidRPr="001A5D89" w:rsidRDefault="00493054" w:rsidP="00B04A8E">
            <w:pPr>
              <w:spacing w:before="20" w:after="20"/>
              <w:rPr>
                <w:rFonts w:asciiTheme="majorBidi" w:hAnsiTheme="majorBidi" w:cstheme="majorBidi"/>
                <w:sz w:val="22"/>
                <w:szCs w:val="22"/>
              </w:rPr>
            </w:pPr>
            <w:r w:rsidRPr="001A5D89">
              <w:rPr>
                <w:rFonts w:asciiTheme="majorBidi" w:hAnsiTheme="majorBidi" w:cstheme="majorBidi"/>
                <w:sz w:val="22"/>
                <w:szCs w:val="22"/>
              </w:rPr>
              <w:t>% of statistically significant trends</w:t>
            </w:r>
          </w:p>
        </w:tc>
        <w:tc>
          <w:tcPr>
            <w:tcW w:w="1778" w:type="dxa"/>
            <w:tcBorders>
              <w:top w:val="nil"/>
              <w:left w:val="nil"/>
              <w:bottom w:val="single" w:sz="4" w:space="0" w:color="auto"/>
              <w:right w:val="nil"/>
            </w:tcBorders>
          </w:tcPr>
          <w:p w14:paraId="54410328"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8</w:t>
            </w:r>
            <w:r>
              <w:rPr>
                <w:rFonts w:asciiTheme="majorBidi" w:hAnsiTheme="majorBidi" w:cstheme="majorBidi"/>
                <w:sz w:val="22"/>
                <w:szCs w:val="22"/>
              </w:rPr>
              <w:t>2</w:t>
            </w:r>
            <w:r w:rsidRPr="001A5D89">
              <w:rPr>
                <w:rFonts w:asciiTheme="majorBidi" w:hAnsiTheme="majorBidi" w:cstheme="majorBidi"/>
                <w:sz w:val="22"/>
                <w:szCs w:val="22"/>
              </w:rPr>
              <w:t>.7%</w:t>
            </w:r>
          </w:p>
        </w:tc>
        <w:tc>
          <w:tcPr>
            <w:tcW w:w="1778" w:type="dxa"/>
            <w:tcBorders>
              <w:top w:val="nil"/>
              <w:left w:val="nil"/>
              <w:bottom w:val="single" w:sz="4" w:space="0" w:color="auto"/>
              <w:right w:val="nil"/>
            </w:tcBorders>
          </w:tcPr>
          <w:p w14:paraId="5D230446"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8</w:t>
            </w:r>
            <w:r>
              <w:rPr>
                <w:rFonts w:asciiTheme="majorBidi" w:hAnsiTheme="majorBidi" w:cstheme="majorBidi"/>
                <w:sz w:val="22"/>
                <w:szCs w:val="22"/>
              </w:rPr>
              <w:t>1</w:t>
            </w:r>
            <w:r w:rsidRPr="001A5D89">
              <w:rPr>
                <w:rFonts w:asciiTheme="majorBidi" w:hAnsiTheme="majorBidi" w:cstheme="majorBidi"/>
                <w:sz w:val="22"/>
                <w:szCs w:val="22"/>
              </w:rPr>
              <w:t>.</w:t>
            </w:r>
            <w:r>
              <w:rPr>
                <w:rFonts w:asciiTheme="majorBidi" w:hAnsiTheme="majorBidi" w:cstheme="majorBidi"/>
                <w:sz w:val="22"/>
                <w:szCs w:val="22"/>
              </w:rPr>
              <w:t>3</w:t>
            </w:r>
            <w:r w:rsidRPr="001A5D89">
              <w:rPr>
                <w:rFonts w:asciiTheme="majorBidi" w:hAnsiTheme="majorBidi" w:cstheme="majorBidi"/>
                <w:sz w:val="22"/>
                <w:szCs w:val="22"/>
              </w:rPr>
              <w:t>%</w:t>
            </w:r>
          </w:p>
        </w:tc>
        <w:tc>
          <w:tcPr>
            <w:tcW w:w="1779" w:type="dxa"/>
            <w:tcBorders>
              <w:top w:val="nil"/>
              <w:left w:val="nil"/>
              <w:bottom w:val="single" w:sz="4" w:space="0" w:color="auto"/>
              <w:right w:val="nil"/>
            </w:tcBorders>
          </w:tcPr>
          <w:p w14:paraId="2367DD1B" w14:textId="77777777" w:rsidR="00493054" w:rsidRPr="001A5D89" w:rsidRDefault="00493054" w:rsidP="00B04A8E">
            <w:pPr>
              <w:spacing w:before="20" w:after="20"/>
              <w:jc w:val="center"/>
              <w:rPr>
                <w:rFonts w:asciiTheme="majorBidi" w:hAnsiTheme="majorBidi" w:cstheme="majorBidi"/>
                <w:sz w:val="22"/>
                <w:szCs w:val="22"/>
              </w:rPr>
            </w:pPr>
            <w:r w:rsidRPr="001A5D89">
              <w:rPr>
                <w:rFonts w:asciiTheme="majorBidi" w:hAnsiTheme="majorBidi" w:cstheme="majorBidi"/>
                <w:sz w:val="22"/>
                <w:szCs w:val="22"/>
              </w:rPr>
              <w:t>9</w:t>
            </w:r>
            <w:r>
              <w:rPr>
                <w:rFonts w:asciiTheme="majorBidi" w:hAnsiTheme="majorBidi" w:cstheme="majorBidi"/>
                <w:sz w:val="22"/>
                <w:szCs w:val="22"/>
              </w:rPr>
              <w:t>5</w:t>
            </w:r>
            <w:r w:rsidRPr="001A5D89">
              <w:rPr>
                <w:rFonts w:asciiTheme="majorBidi" w:hAnsiTheme="majorBidi" w:cstheme="majorBidi"/>
                <w:sz w:val="22"/>
                <w:szCs w:val="22"/>
              </w:rPr>
              <w:t>.</w:t>
            </w:r>
            <w:r>
              <w:rPr>
                <w:rFonts w:asciiTheme="majorBidi" w:hAnsiTheme="majorBidi" w:cstheme="majorBidi"/>
                <w:sz w:val="22"/>
                <w:szCs w:val="22"/>
              </w:rPr>
              <w:t>9</w:t>
            </w:r>
            <w:r w:rsidRPr="001A5D89">
              <w:rPr>
                <w:rFonts w:asciiTheme="majorBidi" w:hAnsiTheme="majorBidi" w:cstheme="majorBidi"/>
                <w:sz w:val="22"/>
                <w:szCs w:val="22"/>
              </w:rPr>
              <w:t>%</w:t>
            </w:r>
          </w:p>
        </w:tc>
      </w:tr>
      <w:tr w:rsidR="00493054" w14:paraId="74D3AC34" w14:textId="77777777" w:rsidTr="00B04A8E">
        <w:trPr>
          <w:trHeight w:val="203"/>
        </w:trPr>
        <w:tc>
          <w:tcPr>
            <w:tcW w:w="9021" w:type="dxa"/>
            <w:gridSpan w:val="4"/>
            <w:tcBorders>
              <w:top w:val="single" w:sz="4" w:space="0" w:color="auto"/>
              <w:left w:val="nil"/>
              <w:bottom w:val="nil"/>
              <w:right w:val="nil"/>
            </w:tcBorders>
          </w:tcPr>
          <w:p w14:paraId="4A568907" w14:textId="77777777" w:rsidR="00493054" w:rsidRPr="000B119C" w:rsidRDefault="00493054" w:rsidP="00B04A8E">
            <w:pPr>
              <w:spacing w:before="40"/>
              <w:rPr>
                <w:rFonts w:asciiTheme="majorBidi" w:hAnsiTheme="majorBidi" w:cstheme="majorBidi"/>
                <w:sz w:val="20"/>
                <w:szCs w:val="20"/>
              </w:rPr>
            </w:pPr>
            <w:r>
              <w:rPr>
                <w:rFonts w:asciiTheme="majorBidi" w:hAnsiTheme="majorBidi" w:cstheme="majorBidi"/>
                <w:i/>
                <w:iCs/>
                <w:sz w:val="20"/>
                <w:szCs w:val="20"/>
              </w:rPr>
              <w:t xml:space="preserve">Note: </w:t>
            </w:r>
            <w:r>
              <w:rPr>
                <w:rFonts w:asciiTheme="majorBidi" w:hAnsiTheme="majorBidi" w:cstheme="majorBidi"/>
                <w:sz w:val="20"/>
                <w:szCs w:val="20"/>
              </w:rPr>
              <w:t>The trends are estimated using equation (1) with standard errors clustered at the town level.</w:t>
            </w:r>
          </w:p>
        </w:tc>
      </w:tr>
    </w:tbl>
    <w:p w14:paraId="2BF8F990" w14:textId="77777777" w:rsidR="00493054" w:rsidRDefault="00493054" w:rsidP="00E44F40">
      <w:pPr>
        <w:ind w:firstLine="720"/>
        <w:jc w:val="both"/>
        <w:rPr>
          <w:rFonts w:asciiTheme="majorBidi" w:hAnsiTheme="majorBidi" w:cstheme="majorBidi"/>
        </w:rPr>
      </w:pPr>
    </w:p>
    <w:p w14:paraId="2B07F625" w14:textId="0FDD655A" w:rsidR="002D0452" w:rsidRDefault="002D0452" w:rsidP="00322295">
      <w:pPr>
        <w:jc w:val="both"/>
        <w:rPr>
          <w:rFonts w:asciiTheme="majorBidi" w:hAnsiTheme="majorBidi" w:cstheme="majorBidi"/>
        </w:rPr>
      </w:pPr>
      <w:r>
        <w:rPr>
          <w:rFonts w:asciiTheme="majorBidi" w:hAnsiTheme="majorBidi" w:cstheme="majorBidi"/>
        </w:rPr>
        <w:t>4.1</w:t>
      </w:r>
      <w:r>
        <w:rPr>
          <w:rFonts w:asciiTheme="majorBidi" w:hAnsiTheme="majorBidi" w:cstheme="majorBidi"/>
        </w:rPr>
        <w:tab/>
        <w:t>Fast-Growing and Declining Towns</w:t>
      </w:r>
    </w:p>
    <w:p w14:paraId="18F6F3DA" w14:textId="32A84689" w:rsidR="002D0452" w:rsidRDefault="002D0452" w:rsidP="00322295">
      <w:pPr>
        <w:jc w:val="both"/>
        <w:rPr>
          <w:rFonts w:asciiTheme="majorBidi" w:hAnsiTheme="majorBidi" w:cstheme="majorBidi"/>
        </w:rPr>
      </w:pPr>
      <w:r w:rsidRPr="002D0452">
        <w:rPr>
          <w:rFonts w:asciiTheme="majorBidi" w:hAnsiTheme="majorBidi" w:cstheme="majorBidi"/>
        </w:rPr>
        <w:t xml:space="preserve">Tables 2 and 3 </w:t>
      </w:r>
      <w:r>
        <w:rPr>
          <w:rFonts w:asciiTheme="majorBidi" w:hAnsiTheme="majorBidi" w:cstheme="majorBidi"/>
        </w:rPr>
        <w:t xml:space="preserve">list </w:t>
      </w:r>
      <w:r w:rsidRPr="002D0452">
        <w:rPr>
          <w:rFonts w:asciiTheme="majorBidi" w:hAnsiTheme="majorBidi" w:cstheme="majorBidi"/>
        </w:rPr>
        <w:t>the towns at the upper and lower tails of the growth-rate distribution</w:t>
      </w:r>
      <w:r>
        <w:rPr>
          <w:rFonts w:asciiTheme="majorBidi" w:hAnsiTheme="majorBidi" w:cstheme="majorBidi"/>
        </w:rPr>
        <w:t>, from the estimates using the DeepNTL data</w:t>
      </w:r>
      <w:r w:rsidRPr="002D0452">
        <w:rPr>
          <w:rFonts w:asciiTheme="majorBidi" w:hAnsiTheme="majorBidi" w:cstheme="majorBidi"/>
        </w:rPr>
        <w:t xml:space="preserve">. Table 2 </w:t>
      </w:r>
      <w:r>
        <w:rPr>
          <w:rFonts w:asciiTheme="majorBidi" w:hAnsiTheme="majorBidi" w:cstheme="majorBidi"/>
        </w:rPr>
        <w:t>i</w:t>
      </w:r>
      <w:r w:rsidRPr="002D0452">
        <w:rPr>
          <w:rFonts w:asciiTheme="majorBidi" w:hAnsiTheme="majorBidi" w:cstheme="majorBidi"/>
        </w:rPr>
        <w:t xml:space="preserve">s </w:t>
      </w:r>
      <w:r>
        <w:rPr>
          <w:rFonts w:asciiTheme="majorBidi" w:hAnsiTheme="majorBidi" w:cstheme="majorBidi"/>
        </w:rPr>
        <w:t xml:space="preserve">for </w:t>
      </w:r>
      <w:r w:rsidRPr="002D0452">
        <w:rPr>
          <w:rFonts w:asciiTheme="majorBidi" w:hAnsiTheme="majorBidi" w:cstheme="majorBidi"/>
        </w:rPr>
        <w:t>the 1</w:t>
      </w:r>
      <w:r w:rsidR="00A26973">
        <w:rPr>
          <w:rFonts w:asciiTheme="majorBidi" w:hAnsiTheme="majorBidi" w:cstheme="majorBidi"/>
        </w:rPr>
        <w:t>2</w:t>
      </w:r>
      <w:r w:rsidRPr="002D0452">
        <w:rPr>
          <w:rFonts w:asciiTheme="majorBidi" w:hAnsiTheme="majorBidi" w:cstheme="majorBidi"/>
        </w:rPr>
        <w:t xml:space="preserve"> towns with estimated expansion rates exceeding 2</w:t>
      </w:r>
      <w:r w:rsidR="00A26973">
        <w:rPr>
          <w:rFonts w:asciiTheme="majorBidi" w:hAnsiTheme="majorBidi" w:cstheme="majorBidi"/>
        </w:rPr>
        <w:t>.5</w:t>
      </w:r>
      <w:r w:rsidRPr="002D0452">
        <w:rPr>
          <w:rFonts w:asciiTheme="majorBidi" w:hAnsiTheme="majorBidi" w:cstheme="majorBidi"/>
        </w:rPr>
        <w:t xml:space="preserve"> percent per annum </w:t>
      </w:r>
      <w:r w:rsidR="00A26973">
        <w:rPr>
          <w:rFonts w:asciiTheme="majorBidi" w:hAnsiTheme="majorBidi" w:cstheme="majorBidi"/>
        </w:rPr>
        <w:t xml:space="preserve">(more than 1 standard deviation above the mean) </w:t>
      </w:r>
      <w:r w:rsidRPr="002D0452">
        <w:rPr>
          <w:rFonts w:asciiTheme="majorBidi" w:hAnsiTheme="majorBidi" w:cstheme="majorBidi"/>
        </w:rPr>
        <w:t xml:space="preserve">and </w:t>
      </w:r>
      <w:r w:rsidR="00674D8D">
        <w:rPr>
          <w:rFonts w:asciiTheme="majorBidi" w:hAnsiTheme="majorBidi" w:cstheme="majorBidi"/>
        </w:rPr>
        <w:t xml:space="preserve">with </w:t>
      </w:r>
      <w:r w:rsidRPr="002D0452">
        <w:rPr>
          <w:rFonts w:asciiTheme="majorBidi" w:hAnsiTheme="majorBidi" w:cstheme="majorBidi"/>
        </w:rPr>
        <w:t>statistically significant trends (</w:t>
      </w:r>
      <w:r w:rsidRPr="002D0452">
        <w:rPr>
          <w:rFonts w:asciiTheme="majorBidi" w:hAnsiTheme="majorBidi" w:cstheme="majorBidi"/>
          <w:i/>
          <w:iCs/>
        </w:rPr>
        <w:t>p</w:t>
      </w:r>
      <w:r w:rsidRPr="002D0452">
        <w:rPr>
          <w:rFonts w:asciiTheme="majorBidi" w:hAnsiTheme="majorBidi" w:cstheme="majorBidi"/>
        </w:rPr>
        <w:t xml:space="preserve"> &lt; 0.05)</w:t>
      </w:r>
      <w:r w:rsidR="00A26973">
        <w:rPr>
          <w:rFonts w:asciiTheme="majorBidi" w:hAnsiTheme="majorBidi" w:cstheme="majorBidi"/>
        </w:rPr>
        <w:t>. At the other end of the distribution,</w:t>
      </w:r>
      <w:r>
        <w:rPr>
          <w:rFonts w:asciiTheme="majorBidi" w:hAnsiTheme="majorBidi" w:cstheme="majorBidi"/>
        </w:rPr>
        <w:t xml:space="preserve"> </w:t>
      </w:r>
      <w:r w:rsidRPr="002D0452">
        <w:rPr>
          <w:rFonts w:asciiTheme="majorBidi" w:hAnsiTheme="majorBidi" w:cstheme="majorBidi"/>
        </w:rPr>
        <w:t xml:space="preserve">Table 3 </w:t>
      </w:r>
      <w:r w:rsidR="00A26973">
        <w:rPr>
          <w:rFonts w:asciiTheme="majorBidi" w:hAnsiTheme="majorBidi" w:cstheme="majorBidi"/>
        </w:rPr>
        <w:t xml:space="preserve">has details on the 33 towns that </w:t>
      </w:r>
      <w:r>
        <w:rPr>
          <w:rFonts w:asciiTheme="majorBidi" w:hAnsiTheme="majorBidi" w:cstheme="majorBidi"/>
        </w:rPr>
        <w:t xml:space="preserve">had </w:t>
      </w:r>
      <w:r w:rsidRPr="002D0452">
        <w:rPr>
          <w:rFonts w:asciiTheme="majorBidi" w:hAnsiTheme="majorBidi" w:cstheme="majorBidi"/>
        </w:rPr>
        <w:t>statistically significant negative growth rates</w:t>
      </w:r>
      <w:r>
        <w:rPr>
          <w:rFonts w:asciiTheme="majorBidi" w:hAnsiTheme="majorBidi" w:cstheme="majorBidi"/>
        </w:rPr>
        <w:t xml:space="preserve"> in lit area over the </w:t>
      </w:r>
      <w:r w:rsidR="00E524FB">
        <w:rPr>
          <w:rFonts w:asciiTheme="majorBidi" w:hAnsiTheme="majorBidi" w:cstheme="majorBidi"/>
        </w:rPr>
        <w:t>1993</w:t>
      </w:r>
      <w:r w:rsidRPr="006C3DE1">
        <w:rPr>
          <w:rFonts w:asciiTheme="majorBidi" w:hAnsiTheme="majorBidi" w:cstheme="majorBidi"/>
        </w:rPr>
        <w:t>–</w:t>
      </w:r>
      <w:r>
        <w:rPr>
          <w:rFonts w:asciiTheme="majorBidi" w:hAnsiTheme="majorBidi" w:cstheme="majorBidi"/>
        </w:rPr>
        <w:t>2021 period</w:t>
      </w:r>
      <w:r w:rsidR="00E559ED">
        <w:rPr>
          <w:rFonts w:asciiTheme="majorBidi" w:hAnsiTheme="majorBidi" w:cstheme="majorBidi"/>
        </w:rPr>
        <w:t xml:space="preserve"> (in contrast, 77 towns had positive </w:t>
      </w:r>
      <w:r w:rsidR="00E559ED" w:rsidRPr="002D0452">
        <w:rPr>
          <w:rFonts w:asciiTheme="majorBidi" w:hAnsiTheme="majorBidi" w:cstheme="majorBidi"/>
        </w:rPr>
        <w:t>growth rates</w:t>
      </w:r>
      <w:r w:rsidR="00E559ED">
        <w:rPr>
          <w:rFonts w:asciiTheme="majorBidi" w:hAnsiTheme="majorBidi" w:cstheme="majorBidi"/>
        </w:rPr>
        <w:t xml:space="preserve"> with </w:t>
      </w:r>
      <w:r w:rsidR="00E559ED" w:rsidRPr="002D0452">
        <w:rPr>
          <w:rFonts w:asciiTheme="majorBidi" w:hAnsiTheme="majorBidi" w:cstheme="majorBidi"/>
          <w:i/>
          <w:iCs/>
        </w:rPr>
        <w:t>p</w:t>
      </w:r>
      <w:r w:rsidR="00E559ED" w:rsidRPr="002D0452">
        <w:rPr>
          <w:rFonts w:asciiTheme="majorBidi" w:hAnsiTheme="majorBidi" w:cstheme="majorBidi"/>
        </w:rPr>
        <w:t xml:space="preserve"> &lt; 0.05</w:t>
      </w:r>
      <w:r w:rsidR="00E559ED">
        <w:rPr>
          <w:rFonts w:asciiTheme="majorBidi" w:hAnsiTheme="majorBidi" w:cstheme="majorBidi"/>
        </w:rPr>
        <w:t>)</w:t>
      </w:r>
      <w:r w:rsidRPr="002D0452">
        <w:rPr>
          <w:rFonts w:asciiTheme="majorBidi" w:hAnsiTheme="majorBidi" w:cstheme="majorBidi"/>
        </w:rPr>
        <w:t>.</w:t>
      </w:r>
    </w:p>
    <w:p w14:paraId="293F2EF5" w14:textId="77777777" w:rsidR="00493054" w:rsidRPr="00897299" w:rsidRDefault="00493054" w:rsidP="00322295">
      <w:pPr>
        <w:jc w:val="both"/>
        <w:rPr>
          <w:rFonts w:asciiTheme="majorBidi" w:hAnsiTheme="majorBidi" w:cstheme="majorBidi"/>
        </w:rPr>
      </w:pPr>
    </w:p>
    <w:p w14:paraId="583084AC" w14:textId="44F42E98" w:rsidR="00CA08E2" w:rsidRDefault="005E613E" w:rsidP="00E44F40">
      <w:pPr>
        <w:ind w:firstLine="720"/>
        <w:jc w:val="both"/>
        <w:rPr>
          <w:rFonts w:asciiTheme="majorBidi" w:hAnsiTheme="majorBidi" w:cstheme="majorBidi"/>
        </w:rPr>
      </w:pPr>
      <w:r w:rsidRPr="005E613E">
        <w:rPr>
          <w:rFonts w:asciiTheme="majorBidi" w:hAnsiTheme="majorBidi" w:cstheme="majorBidi"/>
        </w:rPr>
        <w:lastRenderedPageBreak/>
        <w:t xml:space="preserve">The </w:t>
      </w:r>
      <w:r>
        <w:rPr>
          <w:rFonts w:asciiTheme="majorBidi" w:hAnsiTheme="majorBidi" w:cstheme="majorBidi"/>
        </w:rPr>
        <w:t xml:space="preserve">expansion of the </w:t>
      </w:r>
      <w:r w:rsidRPr="005E613E">
        <w:rPr>
          <w:rFonts w:asciiTheme="majorBidi" w:hAnsiTheme="majorBidi" w:cstheme="majorBidi"/>
        </w:rPr>
        <w:t xml:space="preserve">towns at the upper tail of the growth-rate distribution </w:t>
      </w:r>
      <w:r>
        <w:rPr>
          <w:rFonts w:asciiTheme="majorBidi" w:hAnsiTheme="majorBidi" w:cstheme="majorBidi"/>
        </w:rPr>
        <w:t>in Table 2 is</w:t>
      </w:r>
      <w:r w:rsidRPr="005E613E">
        <w:rPr>
          <w:rFonts w:asciiTheme="majorBidi" w:hAnsiTheme="majorBidi" w:cstheme="majorBidi"/>
        </w:rPr>
        <w:t xml:space="preserve"> </w:t>
      </w:r>
      <w:r>
        <w:rPr>
          <w:rFonts w:asciiTheme="majorBidi" w:hAnsiTheme="majorBidi" w:cstheme="majorBidi"/>
        </w:rPr>
        <w:t xml:space="preserve">due to </w:t>
      </w:r>
      <w:r w:rsidR="00D8572E">
        <w:rPr>
          <w:rFonts w:asciiTheme="majorBidi" w:hAnsiTheme="majorBidi" w:cstheme="majorBidi"/>
        </w:rPr>
        <w:t xml:space="preserve">several </w:t>
      </w:r>
      <w:r>
        <w:rPr>
          <w:rFonts w:asciiTheme="majorBidi" w:hAnsiTheme="majorBidi" w:cstheme="majorBidi"/>
        </w:rPr>
        <w:t>cause</w:t>
      </w:r>
      <w:r w:rsidR="00D8572E">
        <w:rPr>
          <w:rFonts w:asciiTheme="majorBidi" w:hAnsiTheme="majorBidi" w:cstheme="majorBidi"/>
        </w:rPr>
        <w:t>s</w:t>
      </w:r>
      <w:r>
        <w:rPr>
          <w:rFonts w:asciiTheme="majorBidi" w:hAnsiTheme="majorBidi" w:cstheme="majorBidi"/>
        </w:rPr>
        <w:t xml:space="preserve">, </w:t>
      </w:r>
      <w:r w:rsidR="00D8572E">
        <w:rPr>
          <w:rFonts w:asciiTheme="majorBidi" w:hAnsiTheme="majorBidi" w:cstheme="majorBidi"/>
        </w:rPr>
        <w:t xml:space="preserve">with </w:t>
      </w:r>
      <w:r>
        <w:rPr>
          <w:rFonts w:asciiTheme="majorBidi" w:hAnsiTheme="majorBidi" w:cstheme="majorBidi"/>
        </w:rPr>
        <w:t>no</w:t>
      </w:r>
      <w:r w:rsidRPr="005E613E">
        <w:rPr>
          <w:rFonts w:asciiTheme="majorBidi" w:hAnsiTheme="majorBidi" w:cstheme="majorBidi"/>
        </w:rPr>
        <w:t xml:space="preserve"> obvious relationship between </w:t>
      </w:r>
      <w:r>
        <w:rPr>
          <w:rFonts w:asciiTheme="majorBidi" w:hAnsiTheme="majorBidi" w:cstheme="majorBidi"/>
        </w:rPr>
        <w:t xml:space="preserve">their </w:t>
      </w:r>
      <w:r w:rsidRPr="005E613E">
        <w:rPr>
          <w:rFonts w:asciiTheme="majorBidi" w:hAnsiTheme="majorBidi" w:cstheme="majorBidi"/>
        </w:rPr>
        <w:t xml:space="preserve">population rank </w:t>
      </w:r>
      <w:r>
        <w:rPr>
          <w:rFonts w:asciiTheme="majorBidi" w:hAnsiTheme="majorBidi" w:cstheme="majorBidi"/>
        </w:rPr>
        <w:t xml:space="preserve">(that also serves as the key in the Figure 4 location map) </w:t>
      </w:r>
      <w:r w:rsidRPr="005E613E">
        <w:rPr>
          <w:rFonts w:asciiTheme="majorBidi" w:hAnsiTheme="majorBidi" w:cstheme="majorBidi"/>
        </w:rPr>
        <w:t>and the</w:t>
      </w:r>
      <w:r>
        <w:rPr>
          <w:rFonts w:asciiTheme="majorBidi" w:hAnsiTheme="majorBidi" w:cstheme="majorBidi"/>
        </w:rPr>
        <w:t>ir</w:t>
      </w:r>
      <w:r w:rsidRPr="005E613E">
        <w:rPr>
          <w:rFonts w:asciiTheme="majorBidi" w:hAnsiTheme="majorBidi" w:cstheme="majorBidi"/>
        </w:rPr>
        <w:t xml:space="preserve"> estimated rate of expansion. </w:t>
      </w:r>
      <w:r w:rsidR="00A26973">
        <w:rPr>
          <w:rFonts w:asciiTheme="majorBidi" w:hAnsiTheme="majorBidi" w:cstheme="majorBidi"/>
        </w:rPr>
        <w:t xml:space="preserve">The fastest growing town is Rolleston, with a trend expansion rate of 10.3 percent per annum, and this is an example of a </w:t>
      </w:r>
      <w:r w:rsidRPr="005E613E">
        <w:rPr>
          <w:rFonts w:asciiTheme="majorBidi" w:hAnsiTheme="majorBidi" w:cstheme="majorBidi"/>
        </w:rPr>
        <w:t xml:space="preserve">commuter and satellite town whose growth appears </w:t>
      </w:r>
      <w:r w:rsidR="00CA08E2">
        <w:rPr>
          <w:rFonts w:asciiTheme="majorBidi" w:hAnsiTheme="majorBidi" w:cstheme="majorBidi"/>
        </w:rPr>
        <w:t xml:space="preserve">to be </w:t>
      </w:r>
      <w:r w:rsidRPr="005E613E">
        <w:rPr>
          <w:rFonts w:asciiTheme="majorBidi" w:hAnsiTheme="majorBidi" w:cstheme="majorBidi"/>
        </w:rPr>
        <w:t xml:space="preserve">closely linked to </w:t>
      </w:r>
      <w:r w:rsidR="00A26973">
        <w:rPr>
          <w:rFonts w:asciiTheme="majorBidi" w:hAnsiTheme="majorBidi" w:cstheme="majorBidi"/>
        </w:rPr>
        <w:t xml:space="preserve">a </w:t>
      </w:r>
      <w:r w:rsidRPr="005E613E">
        <w:rPr>
          <w:rFonts w:asciiTheme="majorBidi" w:hAnsiTheme="majorBidi" w:cstheme="majorBidi"/>
        </w:rPr>
        <w:t>nearby metropolitan centre</w:t>
      </w:r>
      <w:r w:rsidR="00A26973">
        <w:rPr>
          <w:rFonts w:asciiTheme="majorBidi" w:hAnsiTheme="majorBidi" w:cstheme="majorBidi"/>
        </w:rPr>
        <w:t xml:space="preserve"> (Christchurch). </w:t>
      </w:r>
      <w:r w:rsidR="00625EF3">
        <w:rPr>
          <w:rFonts w:asciiTheme="majorBidi" w:hAnsiTheme="majorBidi" w:cstheme="majorBidi"/>
        </w:rPr>
        <w:t xml:space="preserve">Likewise, </w:t>
      </w:r>
      <w:r w:rsidR="00FC4483">
        <w:rPr>
          <w:rFonts w:asciiTheme="majorBidi" w:hAnsiTheme="majorBidi" w:cstheme="majorBidi"/>
        </w:rPr>
        <w:t xml:space="preserve">nearby </w:t>
      </w:r>
      <w:r w:rsidRPr="005E613E">
        <w:rPr>
          <w:rFonts w:asciiTheme="majorBidi" w:hAnsiTheme="majorBidi" w:cstheme="majorBidi"/>
        </w:rPr>
        <w:t xml:space="preserve">West Melton and Oxford </w:t>
      </w:r>
      <w:r w:rsidR="00625EF3">
        <w:rPr>
          <w:rFonts w:asciiTheme="majorBidi" w:hAnsiTheme="majorBidi" w:cstheme="majorBidi"/>
        </w:rPr>
        <w:t>have grown rap</w:t>
      </w:r>
      <w:r w:rsidRPr="005E613E">
        <w:rPr>
          <w:rFonts w:asciiTheme="majorBidi" w:hAnsiTheme="majorBidi" w:cstheme="majorBidi"/>
        </w:rPr>
        <w:t>i</w:t>
      </w:r>
      <w:r w:rsidR="00625EF3">
        <w:rPr>
          <w:rFonts w:asciiTheme="majorBidi" w:hAnsiTheme="majorBidi" w:cstheme="majorBidi"/>
        </w:rPr>
        <w:t>dly</w:t>
      </w:r>
      <w:r w:rsidR="00997D91">
        <w:rPr>
          <w:rFonts w:asciiTheme="majorBidi" w:hAnsiTheme="majorBidi" w:cstheme="majorBidi"/>
        </w:rPr>
        <w:t xml:space="preserve"> - </w:t>
      </w:r>
      <w:r w:rsidRPr="005E613E">
        <w:rPr>
          <w:rFonts w:asciiTheme="majorBidi" w:hAnsiTheme="majorBidi" w:cstheme="majorBidi"/>
        </w:rPr>
        <w:t xml:space="preserve">consistent with population </w:t>
      </w:r>
      <w:r w:rsidR="00FC4483">
        <w:rPr>
          <w:rFonts w:asciiTheme="majorBidi" w:hAnsiTheme="majorBidi" w:cstheme="majorBidi"/>
        </w:rPr>
        <w:t xml:space="preserve">spreading after </w:t>
      </w:r>
      <w:r w:rsidRPr="005E613E">
        <w:rPr>
          <w:rFonts w:asciiTheme="majorBidi" w:hAnsiTheme="majorBidi" w:cstheme="majorBidi"/>
        </w:rPr>
        <w:t xml:space="preserve">the Christchurch earthquakes, with </w:t>
      </w:r>
      <w:r w:rsidR="00D8572E">
        <w:rPr>
          <w:rFonts w:asciiTheme="majorBidi" w:hAnsiTheme="majorBidi" w:cstheme="majorBidi"/>
        </w:rPr>
        <w:t xml:space="preserve">post-earthquake </w:t>
      </w:r>
      <w:r w:rsidRPr="005E613E">
        <w:rPr>
          <w:rFonts w:asciiTheme="majorBidi" w:hAnsiTheme="majorBidi" w:cstheme="majorBidi"/>
        </w:rPr>
        <w:t xml:space="preserve">growth occurring in neighbouring districts </w:t>
      </w:r>
      <w:r w:rsidR="00CA08E2">
        <w:rPr>
          <w:rFonts w:asciiTheme="majorBidi" w:hAnsiTheme="majorBidi" w:cstheme="majorBidi"/>
        </w:rPr>
        <w:t xml:space="preserve">(Selwyn and </w:t>
      </w:r>
      <w:r w:rsidR="00CA08E2" w:rsidRPr="00CA08E2">
        <w:rPr>
          <w:rFonts w:asciiTheme="majorBidi" w:hAnsiTheme="majorBidi" w:cstheme="majorBidi"/>
        </w:rPr>
        <w:t>Waimakariri</w:t>
      </w:r>
      <w:r w:rsidR="00CA08E2">
        <w:rPr>
          <w:rFonts w:asciiTheme="majorBidi" w:hAnsiTheme="majorBidi" w:cstheme="majorBidi"/>
        </w:rPr>
        <w:t>)</w:t>
      </w:r>
      <w:r w:rsidR="00CA08E2" w:rsidRPr="00CA08E2">
        <w:rPr>
          <w:rFonts w:asciiTheme="majorBidi" w:hAnsiTheme="majorBidi" w:cstheme="majorBidi"/>
        </w:rPr>
        <w:t xml:space="preserve"> </w:t>
      </w:r>
      <w:r w:rsidRPr="005E613E">
        <w:rPr>
          <w:rFonts w:asciiTheme="majorBidi" w:hAnsiTheme="majorBidi" w:cstheme="majorBidi"/>
        </w:rPr>
        <w:t xml:space="preserve">rather than </w:t>
      </w:r>
      <w:r w:rsidR="00D8572E">
        <w:rPr>
          <w:rFonts w:asciiTheme="majorBidi" w:hAnsiTheme="majorBidi" w:cstheme="majorBidi"/>
        </w:rPr>
        <w:t xml:space="preserve">just in </w:t>
      </w:r>
      <w:r w:rsidRPr="005E613E">
        <w:rPr>
          <w:rFonts w:asciiTheme="majorBidi" w:hAnsiTheme="majorBidi" w:cstheme="majorBidi"/>
        </w:rPr>
        <w:t>Christchurch itself.</w:t>
      </w:r>
      <w:r w:rsidR="00D8572E">
        <w:rPr>
          <w:rFonts w:asciiTheme="majorBidi" w:hAnsiTheme="majorBidi" w:cstheme="majorBidi"/>
        </w:rPr>
        <w:t xml:space="preserve"> </w:t>
      </w:r>
      <w:r w:rsidR="00625EF3">
        <w:rPr>
          <w:rFonts w:asciiTheme="majorBidi" w:hAnsiTheme="majorBidi" w:cstheme="majorBidi"/>
        </w:rPr>
        <w:t xml:space="preserve">While Pokeno and Te Kauwhata are in the </w:t>
      </w:r>
      <w:r w:rsidR="00FC4483">
        <w:rPr>
          <w:rFonts w:asciiTheme="majorBidi" w:hAnsiTheme="majorBidi" w:cstheme="majorBidi"/>
        </w:rPr>
        <w:t xml:space="preserve">northern part of the </w:t>
      </w:r>
      <w:r w:rsidR="00625EF3">
        <w:rPr>
          <w:rFonts w:asciiTheme="majorBidi" w:hAnsiTheme="majorBidi" w:cstheme="majorBidi"/>
        </w:rPr>
        <w:t xml:space="preserve">Waikato region, they are </w:t>
      </w:r>
      <w:r w:rsidR="00FC4483">
        <w:rPr>
          <w:rFonts w:asciiTheme="majorBidi" w:hAnsiTheme="majorBidi" w:cstheme="majorBidi"/>
        </w:rPr>
        <w:t xml:space="preserve">commuter-oriented towns benefitting from proximity </w:t>
      </w:r>
      <w:r w:rsidR="00625EF3">
        <w:rPr>
          <w:rFonts w:asciiTheme="majorBidi" w:hAnsiTheme="majorBidi" w:cstheme="majorBidi"/>
        </w:rPr>
        <w:t>to Auckland</w:t>
      </w:r>
      <w:r w:rsidR="00FC4483">
        <w:rPr>
          <w:rFonts w:asciiTheme="majorBidi" w:hAnsiTheme="majorBidi" w:cstheme="majorBidi"/>
        </w:rPr>
        <w:t>.</w:t>
      </w:r>
      <w:r w:rsidR="00625EF3">
        <w:rPr>
          <w:rFonts w:asciiTheme="majorBidi" w:hAnsiTheme="majorBidi" w:cstheme="majorBid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696"/>
        <w:gridCol w:w="1560"/>
        <w:gridCol w:w="2268"/>
        <w:gridCol w:w="1164"/>
        <w:gridCol w:w="1164"/>
        <w:gridCol w:w="1164"/>
      </w:tblGrid>
      <w:tr w:rsidR="00AE365A" w14:paraId="1997D0E7" w14:textId="77777777" w:rsidTr="00B04A8E">
        <w:tc>
          <w:tcPr>
            <w:tcW w:w="9016" w:type="dxa"/>
            <w:gridSpan w:val="6"/>
            <w:tcBorders>
              <w:bottom w:val="single" w:sz="4" w:space="0" w:color="auto"/>
            </w:tcBorders>
          </w:tcPr>
          <w:p w14:paraId="45E5BD31" w14:textId="77777777" w:rsidR="00AE365A" w:rsidRPr="00B63B05" w:rsidRDefault="00AE365A" w:rsidP="00B04A8E">
            <w:pPr>
              <w:spacing w:after="40"/>
              <w:jc w:val="center"/>
              <w:rPr>
                <w:rFonts w:asciiTheme="majorBidi" w:hAnsiTheme="majorBidi" w:cstheme="majorBidi"/>
                <w:sz w:val="22"/>
                <w:szCs w:val="22"/>
              </w:rPr>
            </w:pPr>
            <w:r w:rsidRPr="00B63B05">
              <w:rPr>
                <w:rFonts w:asciiTheme="majorBidi" w:hAnsiTheme="majorBidi" w:cstheme="majorBidi"/>
                <w:sz w:val="22"/>
                <w:szCs w:val="22"/>
              </w:rPr>
              <w:t>Table 2: Towns Where Illuminated Area is Expanding Rapidly</w:t>
            </w:r>
          </w:p>
        </w:tc>
      </w:tr>
      <w:tr w:rsidR="00AE365A" w14:paraId="4E88C039" w14:textId="77777777" w:rsidTr="00B04A8E">
        <w:tc>
          <w:tcPr>
            <w:tcW w:w="1696" w:type="dxa"/>
            <w:tcBorders>
              <w:top w:val="single" w:sz="4" w:space="0" w:color="auto"/>
              <w:bottom w:val="single" w:sz="4" w:space="0" w:color="auto"/>
            </w:tcBorders>
          </w:tcPr>
          <w:p w14:paraId="7035E80F" w14:textId="77777777" w:rsidR="00AE365A" w:rsidRPr="002719BC" w:rsidRDefault="00AE365A" w:rsidP="00B04A8E">
            <w:pPr>
              <w:spacing w:before="20" w:after="20"/>
              <w:jc w:val="center"/>
              <w:rPr>
                <w:rFonts w:asciiTheme="majorBidi" w:hAnsiTheme="majorBidi" w:cstheme="majorBidi"/>
                <w:sz w:val="22"/>
                <w:szCs w:val="22"/>
              </w:rPr>
            </w:pPr>
            <w:r w:rsidRPr="002719BC">
              <w:rPr>
                <w:rFonts w:asciiTheme="majorBidi" w:hAnsiTheme="majorBidi" w:cstheme="majorBidi"/>
                <w:sz w:val="22"/>
                <w:szCs w:val="22"/>
              </w:rPr>
              <w:t>Pop</w:t>
            </w:r>
            <w:r>
              <w:rPr>
                <w:rFonts w:asciiTheme="majorBidi" w:hAnsiTheme="majorBidi" w:cstheme="majorBidi"/>
                <w:sz w:val="22"/>
                <w:szCs w:val="22"/>
              </w:rPr>
              <w:t>ulation</w:t>
            </w:r>
            <w:r w:rsidRPr="002719BC">
              <w:rPr>
                <w:rFonts w:asciiTheme="majorBidi" w:hAnsiTheme="majorBidi" w:cstheme="majorBidi"/>
                <w:sz w:val="22"/>
                <w:szCs w:val="22"/>
              </w:rPr>
              <w:t xml:space="preserve"> Rank</w:t>
            </w:r>
          </w:p>
        </w:tc>
        <w:tc>
          <w:tcPr>
            <w:tcW w:w="1560" w:type="dxa"/>
            <w:tcBorders>
              <w:top w:val="single" w:sz="4" w:space="0" w:color="auto"/>
              <w:bottom w:val="single" w:sz="4" w:space="0" w:color="auto"/>
            </w:tcBorders>
          </w:tcPr>
          <w:p w14:paraId="5F1485DA" w14:textId="77777777" w:rsidR="00AE365A" w:rsidRPr="002719BC" w:rsidRDefault="00AE365A" w:rsidP="00B04A8E">
            <w:pPr>
              <w:spacing w:before="20" w:after="20"/>
              <w:rPr>
                <w:rFonts w:asciiTheme="majorBidi" w:hAnsiTheme="majorBidi" w:cstheme="majorBidi"/>
                <w:sz w:val="22"/>
                <w:szCs w:val="22"/>
              </w:rPr>
            </w:pPr>
            <w:r w:rsidRPr="002719BC">
              <w:rPr>
                <w:rFonts w:asciiTheme="majorBidi" w:hAnsiTheme="majorBidi" w:cstheme="majorBidi"/>
                <w:sz w:val="22"/>
                <w:szCs w:val="22"/>
              </w:rPr>
              <w:t>C</w:t>
            </w:r>
            <w:r>
              <w:rPr>
                <w:rFonts w:asciiTheme="majorBidi" w:hAnsiTheme="majorBidi" w:cstheme="majorBidi"/>
                <w:sz w:val="22"/>
                <w:szCs w:val="22"/>
              </w:rPr>
              <w:t>ity/Town</w:t>
            </w:r>
          </w:p>
        </w:tc>
        <w:tc>
          <w:tcPr>
            <w:tcW w:w="2268" w:type="dxa"/>
            <w:tcBorders>
              <w:top w:val="single" w:sz="4" w:space="0" w:color="auto"/>
              <w:bottom w:val="single" w:sz="4" w:space="0" w:color="auto"/>
            </w:tcBorders>
          </w:tcPr>
          <w:p w14:paraId="315FE685" w14:textId="77777777" w:rsidR="00AE365A" w:rsidRPr="002719BC" w:rsidRDefault="00AE365A" w:rsidP="00B04A8E">
            <w:pPr>
              <w:spacing w:before="20" w:after="20"/>
              <w:rPr>
                <w:rFonts w:asciiTheme="majorBidi" w:hAnsiTheme="majorBidi" w:cstheme="majorBidi"/>
                <w:sz w:val="22"/>
                <w:szCs w:val="22"/>
              </w:rPr>
            </w:pPr>
            <w:r>
              <w:rPr>
                <w:rFonts w:asciiTheme="majorBidi" w:hAnsiTheme="majorBidi" w:cstheme="majorBidi"/>
                <w:sz w:val="22"/>
                <w:szCs w:val="22"/>
              </w:rPr>
              <w:t>Region</w:t>
            </w:r>
          </w:p>
        </w:tc>
        <w:tc>
          <w:tcPr>
            <w:tcW w:w="1164" w:type="dxa"/>
            <w:tcBorders>
              <w:top w:val="single" w:sz="4" w:space="0" w:color="auto"/>
              <w:bottom w:val="single" w:sz="4" w:space="0" w:color="auto"/>
            </w:tcBorders>
          </w:tcPr>
          <w:p w14:paraId="471B4C7D" w14:textId="77777777" w:rsidR="00AE365A" w:rsidRPr="002719BC" w:rsidRDefault="00AE365A" w:rsidP="00B04A8E">
            <w:pPr>
              <w:spacing w:before="20" w:after="20"/>
              <w:jc w:val="center"/>
              <w:rPr>
                <w:rFonts w:asciiTheme="majorBidi" w:hAnsiTheme="majorBidi" w:cstheme="majorBidi"/>
                <w:sz w:val="22"/>
                <w:szCs w:val="22"/>
              </w:rPr>
            </w:pPr>
            <w:r>
              <w:rPr>
                <w:rFonts w:asciiTheme="majorBidi" w:hAnsiTheme="majorBidi" w:cstheme="majorBidi"/>
                <w:sz w:val="22"/>
                <w:szCs w:val="22"/>
              </w:rPr>
              <w:t>Trend</w:t>
            </w:r>
          </w:p>
        </w:tc>
        <w:tc>
          <w:tcPr>
            <w:tcW w:w="1164" w:type="dxa"/>
            <w:tcBorders>
              <w:top w:val="single" w:sz="4" w:space="0" w:color="auto"/>
              <w:bottom w:val="single" w:sz="4" w:space="0" w:color="auto"/>
            </w:tcBorders>
          </w:tcPr>
          <w:p w14:paraId="7D523EE2" w14:textId="77777777" w:rsidR="00AE365A" w:rsidRPr="002719BC" w:rsidRDefault="00AE365A" w:rsidP="00B04A8E">
            <w:pPr>
              <w:spacing w:before="20" w:after="20"/>
              <w:jc w:val="center"/>
              <w:rPr>
                <w:rFonts w:asciiTheme="majorBidi" w:hAnsiTheme="majorBidi" w:cstheme="majorBidi"/>
                <w:sz w:val="22"/>
                <w:szCs w:val="22"/>
              </w:rPr>
            </w:pPr>
            <w:r>
              <w:rPr>
                <w:rFonts w:asciiTheme="majorBidi" w:hAnsiTheme="majorBidi" w:cstheme="majorBidi"/>
                <w:sz w:val="22"/>
                <w:szCs w:val="22"/>
              </w:rPr>
              <w:t>Std error</w:t>
            </w:r>
          </w:p>
        </w:tc>
        <w:tc>
          <w:tcPr>
            <w:tcW w:w="1164" w:type="dxa"/>
            <w:tcBorders>
              <w:top w:val="single" w:sz="4" w:space="0" w:color="auto"/>
              <w:bottom w:val="single" w:sz="4" w:space="0" w:color="auto"/>
            </w:tcBorders>
          </w:tcPr>
          <w:p w14:paraId="57435E62" w14:textId="77777777" w:rsidR="00AE365A" w:rsidRPr="002719BC" w:rsidRDefault="00AE365A" w:rsidP="00B04A8E">
            <w:pPr>
              <w:spacing w:before="20" w:after="20"/>
              <w:jc w:val="center"/>
              <w:rPr>
                <w:rFonts w:asciiTheme="majorBidi" w:hAnsiTheme="majorBidi" w:cstheme="majorBidi"/>
                <w:sz w:val="22"/>
                <w:szCs w:val="22"/>
              </w:rPr>
            </w:pPr>
            <w:r>
              <w:rPr>
                <w:rFonts w:asciiTheme="majorBidi" w:hAnsiTheme="majorBidi" w:cstheme="majorBidi"/>
                <w:sz w:val="22"/>
                <w:szCs w:val="22"/>
              </w:rPr>
              <w:t>t-statistic</w:t>
            </w:r>
          </w:p>
        </w:tc>
      </w:tr>
      <w:tr w:rsidR="00AE365A" w14:paraId="557E49FB" w14:textId="77777777" w:rsidTr="00B04A8E">
        <w:tc>
          <w:tcPr>
            <w:tcW w:w="1696" w:type="dxa"/>
            <w:vAlign w:val="bottom"/>
          </w:tcPr>
          <w:p w14:paraId="6F4336C0" w14:textId="77777777" w:rsidR="00AE365A" w:rsidRPr="00BC4239" w:rsidRDefault="00AE365A" w:rsidP="00B04A8E">
            <w:pPr>
              <w:spacing w:before="20"/>
              <w:jc w:val="center"/>
              <w:rPr>
                <w:rFonts w:asciiTheme="majorBidi" w:hAnsiTheme="majorBidi" w:cstheme="majorBidi"/>
                <w:sz w:val="22"/>
                <w:szCs w:val="22"/>
              </w:rPr>
            </w:pPr>
            <w:r w:rsidRPr="00BC4239">
              <w:rPr>
                <w:rFonts w:asciiTheme="majorBidi" w:hAnsiTheme="majorBidi" w:cstheme="majorBidi"/>
                <w:color w:val="000000"/>
                <w:sz w:val="22"/>
                <w:szCs w:val="22"/>
              </w:rPr>
              <w:t>18</w:t>
            </w:r>
          </w:p>
        </w:tc>
        <w:tc>
          <w:tcPr>
            <w:tcW w:w="1560" w:type="dxa"/>
            <w:vAlign w:val="bottom"/>
          </w:tcPr>
          <w:p w14:paraId="0098611C" w14:textId="77777777" w:rsidR="00AE365A" w:rsidRPr="00BC4239" w:rsidRDefault="00AE365A" w:rsidP="00B04A8E">
            <w:pPr>
              <w:spacing w:before="20"/>
              <w:rPr>
                <w:rFonts w:asciiTheme="majorBidi" w:hAnsiTheme="majorBidi" w:cstheme="majorBidi"/>
                <w:sz w:val="22"/>
                <w:szCs w:val="22"/>
              </w:rPr>
            </w:pPr>
            <w:r w:rsidRPr="00BC4239">
              <w:rPr>
                <w:rFonts w:asciiTheme="majorBidi" w:hAnsiTheme="majorBidi" w:cstheme="majorBidi"/>
                <w:color w:val="000000"/>
                <w:sz w:val="22"/>
                <w:szCs w:val="22"/>
              </w:rPr>
              <w:t>Rolleston</w:t>
            </w:r>
          </w:p>
        </w:tc>
        <w:tc>
          <w:tcPr>
            <w:tcW w:w="2268" w:type="dxa"/>
            <w:vAlign w:val="bottom"/>
          </w:tcPr>
          <w:p w14:paraId="70D21E4D" w14:textId="77777777" w:rsidR="00AE365A" w:rsidRPr="00BC4239" w:rsidRDefault="00AE365A" w:rsidP="00B04A8E">
            <w:pPr>
              <w:spacing w:before="20"/>
              <w:rPr>
                <w:rFonts w:asciiTheme="majorBidi" w:hAnsiTheme="majorBidi" w:cstheme="majorBidi"/>
                <w:sz w:val="22"/>
                <w:szCs w:val="22"/>
              </w:rPr>
            </w:pPr>
            <w:r w:rsidRPr="00BC4239">
              <w:rPr>
                <w:rFonts w:asciiTheme="majorBidi" w:hAnsiTheme="majorBidi" w:cstheme="majorBidi"/>
                <w:color w:val="000000"/>
                <w:sz w:val="22"/>
                <w:szCs w:val="22"/>
              </w:rPr>
              <w:t>Canterbury</w:t>
            </w:r>
          </w:p>
        </w:tc>
        <w:tc>
          <w:tcPr>
            <w:tcW w:w="1164" w:type="dxa"/>
            <w:vAlign w:val="bottom"/>
          </w:tcPr>
          <w:p w14:paraId="47E1537A" w14:textId="77777777" w:rsidR="00AE365A" w:rsidRPr="00BC4239" w:rsidRDefault="00AE365A" w:rsidP="00B04A8E">
            <w:pPr>
              <w:spacing w:before="20"/>
              <w:jc w:val="center"/>
              <w:rPr>
                <w:rFonts w:asciiTheme="majorBidi" w:hAnsiTheme="majorBidi" w:cstheme="majorBidi"/>
                <w:sz w:val="22"/>
                <w:szCs w:val="22"/>
              </w:rPr>
            </w:pPr>
            <w:r w:rsidRPr="00BC4239">
              <w:rPr>
                <w:rFonts w:asciiTheme="majorBidi" w:hAnsiTheme="majorBidi" w:cstheme="majorBidi"/>
                <w:color w:val="000000"/>
                <w:sz w:val="22"/>
                <w:szCs w:val="22"/>
              </w:rPr>
              <w:t>0.1026</w:t>
            </w:r>
          </w:p>
        </w:tc>
        <w:tc>
          <w:tcPr>
            <w:tcW w:w="1164" w:type="dxa"/>
            <w:vAlign w:val="bottom"/>
          </w:tcPr>
          <w:p w14:paraId="2A4C5D18" w14:textId="77777777" w:rsidR="00AE365A" w:rsidRPr="00BC4239" w:rsidRDefault="00AE365A" w:rsidP="00B04A8E">
            <w:pPr>
              <w:spacing w:before="20"/>
              <w:jc w:val="center"/>
              <w:rPr>
                <w:rFonts w:asciiTheme="majorBidi" w:hAnsiTheme="majorBidi" w:cstheme="majorBidi"/>
                <w:sz w:val="22"/>
                <w:szCs w:val="22"/>
              </w:rPr>
            </w:pPr>
            <w:r w:rsidRPr="00BC4239">
              <w:rPr>
                <w:rFonts w:asciiTheme="majorBidi" w:hAnsiTheme="majorBidi" w:cstheme="majorBidi"/>
                <w:color w:val="000000"/>
                <w:sz w:val="22"/>
                <w:szCs w:val="22"/>
              </w:rPr>
              <w:t>0.0005</w:t>
            </w:r>
          </w:p>
        </w:tc>
        <w:tc>
          <w:tcPr>
            <w:tcW w:w="1164" w:type="dxa"/>
            <w:vAlign w:val="bottom"/>
          </w:tcPr>
          <w:p w14:paraId="4E9C192A" w14:textId="77777777" w:rsidR="00AE365A" w:rsidRPr="00BC4239" w:rsidRDefault="00AE365A" w:rsidP="00B04A8E">
            <w:pPr>
              <w:tabs>
                <w:tab w:val="decimal" w:pos="397"/>
              </w:tabs>
              <w:spacing w:before="20"/>
              <w:rPr>
                <w:rFonts w:asciiTheme="majorBidi" w:hAnsiTheme="majorBidi" w:cstheme="majorBidi"/>
                <w:sz w:val="22"/>
                <w:szCs w:val="22"/>
              </w:rPr>
            </w:pPr>
            <w:r w:rsidRPr="00BC4239">
              <w:rPr>
                <w:rFonts w:asciiTheme="majorBidi" w:hAnsiTheme="majorBidi" w:cstheme="majorBidi"/>
                <w:color w:val="000000"/>
                <w:sz w:val="22"/>
                <w:szCs w:val="22"/>
              </w:rPr>
              <w:t>191.3852</w:t>
            </w:r>
          </w:p>
        </w:tc>
      </w:tr>
      <w:tr w:rsidR="00AE365A" w14:paraId="07B3DC29" w14:textId="77777777" w:rsidTr="00B04A8E">
        <w:tc>
          <w:tcPr>
            <w:tcW w:w="1696" w:type="dxa"/>
            <w:vAlign w:val="bottom"/>
          </w:tcPr>
          <w:p w14:paraId="68E90756"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22</w:t>
            </w:r>
          </w:p>
        </w:tc>
        <w:tc>
          <w:tcPr>
            <w:tcW w:w="1560" w:type="dxa"/>
            <w:vAlign w:val="bottom"/>
          </w:tcPr>
          <w:p w14:paraId="4ECB5053"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Queenstown</w:t>
            </w:r>
          </w:p>
        </w:tc>
        <w:tc>
          <w:tcPr>
            <w:tcW w:w="2268" w:type="dxa"/>
            <w:vAlign w:val="bottom"/>
          </w:tcPr>
          <w:p w14:paraId="68D55113"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Otago</w:t>
            </w:r>
          </w:p>
        </w:tc>
        <w:tc>
          <w:tcPr>
            <w:tcW w:w="1164" w:type="dxa"/>
            <w:vAlign w:val="bottom"/>
          </w:tcPr>
          <w:p w14:paraId="5A942655"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0.0256</w:t>
            </w:r>
          </w:p>
        </w:tc>
        <w:tc>
          <w:tcPr>
            <w:tcW w:w="1164" w:type="dxa"/>
            <w:vAlign w:val="bottom"/>
          </w:tcPr>
          <w:p w14:paraId="008F8252"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1C87256F"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28.1643</w:t>
            </w:r>
          </w:p>
        </w:tc>
      </w:tr>
      <w:tr w:rsidR="00AE365A" w14:paraId="5093A21E" w14:textId="77777777" w:rsidTr="00B04A8E">
        <w:tc>
          <w:tcPr>
            <w:tcW w:w="1696" w:type="dxa"/>
            <w:vAlign w:val="bottom"/>
          </w:tcPr>
          <w:p w14:paraId="1A11BECA"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35</w:t>
            </w:r>
          </w:p>
        </w:tc>
        <w:tc>
          <w:tcPr>
            <w:tcW w:w="1560" w:type="dxa"/>
            <w:vAlign w:val="bottom"/>
          </w:tcPr>
          <w:p w14:paraId="35D11BD2"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Wanaka</w:t>
            </w:r>
          </w:p>
        </w:tc>
        <w:tc>
          <w:tcPr>
            <w:tcW w:w="2268" w:type="dxa"/>
            <w:vAlign w:val="bottom"/>
          </w:tcPr>
          <w:p w14:paraId="32250D9C"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Otago</w:t>
            </w:r>
          </w:p>
        </w:tc>
        <w:tc>
          <w:tcPr>
            <w:tcW w:w="1164" w:type="dxa"/>
            <w:vAlign w:val="bottom"/>
          </w:tcPr>
          <w:p w14:paraId="5287F263"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0.0568</w:t>
            </w:r>
          </w:p>
        </w:tc>
        <w:tc>
          <w:tcPr>
            <w:tcW w:w="1164" w:type="dxa"/>
            <w:vAlign w:val="bottom"/>
          </w:tcPr>
          <w:p w14:paraId="446A9C34"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48F7415E"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64.4152</w:t>
            </w:r>
          </w:p>
        </w:tc>
      </w:tr>
      <w:tr w:rsidR="00AE365A" w14:paraId="31514D7A" w14:textId="77777777" w:rsidTr="00B04A8E">
        <w:tc>
          <w:tcPr>
            <w:tcW w:w="1696" w:type="dxa"/>
            <w:vAlign w:val="bottom"/>
          </w:tcPr>
          <w:p w14:paraId="4ABF331D"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53</w:t>
            </w:r>
          </w:p>
        </w:tc>
        <w:tc>
          <w:tcPr>
            <w:tcW w:w="1560" w:type="dxa"/>
            <w:vAlign w:val="bottom"/>
          </w:tcPr>
          <w:p w14:paraId="2418ADB0"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Pokeno</w:t>
            </w:r>
          </w:p>
        </w:tc>
        <w:tc>
          <w:tcPr>
            <w:tcW w:w="2268" w:type="dxa"/>
            <w:vAlign w:val="bottom"/>
          </w:tcPr>
          <w:p w14:paraId="61CBFDB8"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Waikato</w:t>
            </w:r>
          </w:p>
        </w:tc>
        <w:tc>
          <w:tcPr>
            <w:tcW w:w="1164" w:type="dxa"/>
            <w:vAlign w:val="bottom"/>
          </w:tcPr>
          <w:p w14:paraId="69D1724E"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0.0452</w:t>
            </w:r>
          </w:p>
        </w:tc>
        <w:tc>
          <w:tcPr>
            <w:tcW w:w="1164" w:type="dxa"/>
            <w:vAlign w:val="bottom"/>
          </w:tcPr>
          <w:p w14:paraId="231AFAD8"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5D160882"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50.1263</w:t>
            </w:r>
          </w:p>
        </w:tc>
      </w:tr>
      <w:tr w:rsidR="00AE365A" w14:paraId="6F5B687F" w14:textId="77777777" w:rsidTr="00B04A8E">
        <w:tc>
          <w:tcPr>
            <w:tcW w:w="1696" w:type="dxa"/>
            <w:vAlign w:val="bottom"/>
          </w:tcPr>
          <w:p w14:paraId="17160A87"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58</w:t>
            </w:r>
          </w:p>
        </w:tc>
        <w:tc>
          <w:tcPr>
            <w:tcW w:w="1560" w:type="dxa"/>
            <w:vAlign w:val="bottom"/>
          </w:tcPr>
          <w:p w14:paraId="439EA247"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Whitianga</w:t>
            </w:r>
          </w:p>
        </w:tc>
        <w:tc>
          <w:tcPr>
            <w:tcW w:w="2268" w:type="dxa"/>
            <w:vAlign w:val="bottom"/>
          </w:tcPr>
          <w:p w14:paraId="37C45157"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Waikato</w:t>
            </w:r>
          </w:p>
        </w:tc>
        <w:tc>
          <w:tcPr>
            <w:tcW w:w="1164" w:type="dxa"/>
            <w:vAlign w:val="bottom"/>
          </w:tcPr>
          <w:p w14:paraId="01713E64"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0.0462</w:t>
            </w:r>
          </w:p>
        </w:tc>
        <w:tc>
          <w:tcPr>
            <w:tcW w:w="1164" w:type="dxa"/>
            <w:vAlign w:val="bottom"/>
          </w:tcPr>
          <w:p w14:paraId="70733640"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0EF530BC"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51.9697</w:t>
            </w:r>
          </w:p>
        </w:tc>
      </w:tr>
      <w:tr w:rsidR="00AE365A" w14:paraId="0540BB47" w14:textId="77777777" w:rsidTr="00B04A8E">
        <w:tc>
          <w:tcPr>
            <w:tcW w:w="1696" w:type="dxa"/>
            <w:vAlign w:val="bottom"/>
          </w:tcPr>
          <w:p w14:paraId="20C4C5ED"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64</w:t>
            </w:r>
          </w:p>
        </w:tc>
        <w:tc>
          <w:tcPr>
            <w:tcW w:w="1560" w:type="dxa"/>
            <w:vAlign w:val="bottom"/>
          </w:tcPr>
          <w:p w14:paraId="37E9DD41"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Omokoroa</w:t>
            </w:r>
          </w:p>
        </w:tc>
        <w:tc>
          <w:tcPr>
            <w:tcW w:w="2268" w:type="dxa"/>
            <w:vAlign w:val="bottom"/>
          </w:tcPr>
          <w:p w14:paraId="21D9DD62"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Bay of Plenty</w:t>
            </w:r>
          </w:p>
        </w:tc>
        <w:tc>
          <w:tcPr>
            <w:tcW w:w="1164" w:type="dxa"/>
            <w:vAlign w:val="bottom"/>
          </w:tcPr>
          <w:p w14:paraId="3E0EB91E"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0.0878</w:t>
            </w:r>
          </w:p>
        </w:tc>
        <w:tc>
          <w:tcPr>
            <w:tcW w:w="1164" w:type="dxa"/>
            <w:vAlign w:val="bottom"/>
          </w:tcPr>
          <w:p w14:paraId="55E0766F"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0.0008</w:t>
            </w:r>
          </w:p>
        </w:tc>
        <w:tc>
          <w:tcPr>
            <w:tcW w:w="1164" w:type="dxa"/>
            <w:vAlign w:val="bottom"/>
          </w:tcPr>
          <w:p w14:paraId="1F2C658E"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106.4452</w:t>
            </w:r>
          </w:p>
        </w:tc>
      </w:tr>
      <w:tr w:rsidR="00AE365A" w14:paraId="5AC55A1B" w14:textId="77777777" w:rsidTr="00B04A8E">
        <w:tc>
          <w:tcPr>
            <w:tcW w:w="1696" w:type="dxa"/>
            <w:vAlign w:val="bottom"/>
          </w:tcPr>
          <w:p w14:paraId="1F5D393C"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89</w:t>
            </w:r>
          </w:p>
        </w:tc>
        <w:tc>
          <w:tcPr>
            <w:tcW w:w="1560" w:type="dxa"/>
            <w:vAlign w:val="bottom"/>
          </w:tcPr>
          <w:p w14:paraId="56696D3D"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Te Kauwhata</w:t>
            </w:r>
          </w:p>
        </w:tc>
        <w:tc>
          <w:tcPr>
            <w:tcW w:w="2268" w:type="dxa"/>
            <w:vAlign w:val="bottom"/>
          </w:tcPr>
          <w:p w14:paraId="2590B113"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Waikato</w:t>
            </w:r>
          </w:p>
        </w:tc>
        <w:tc>
          <w:tcPr>
            <w:tcW w:w="1164" w:type="dxa"/>
            <w:vAlign w:val="bottom"/>
          </w:tcPr>
          <w:p w14:paraId="3AE5FFAB"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0.0485</w:t>
            </w:r>
          </w:p>
        </w:tc>
        <w:tc>
          <w:tcPr>
            <w:tcW w:w="1164" w:type="dxa"/>
            <w:vAlign w:val="bottom"/>
          </w:tcPr>
          <w:p w14:paraId="248E0DD4"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78B53529"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54.2724</w:t>
            </w:r>
          </w:p>
        </w:tc>
      </w:tr>
      <w:tr w:rsidR="00AE365A" w14:paraId="556BF0EA" w14:textId="77777777" w:rsidTr="00B04A8E">
        <w:tc>
          <w:tcPr>
            <w:tcW w:w="1696" w:type="dxa"/>
            <w:vAlign w:val="bottom"/>
          </w:tcPr>
          <w:p w14:paraId="601EB385"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97</w:t>
            </w:r>
          </w:p>
        </w:tc>
        <w:tc>
          <w:tcPr>
            <w:tcW w:w="1560" w:type="dxa"/>
            <w:vAlign w:val="bottom"/>
          </w:tcPr>
          <w:p w14:paraId="14D9DCDF"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One Tree Point</w:t>
            </w:r>
          </w:p>
        </w:tc>
        <w:tc>
          <w:tcPr>
            <w:tcW w:w="2268" w:type="dxa"/>
            <w:vAlign w:val="bottom"/>
          </w:tcPr>
          <w:p w14:paraId="04FB0B8A"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Northland</w:t>
            </w:r>
          </w:p>
        </w:tc>
        <w:tc>
          <w:tcPr>
            <w:tcW w:w="1164" w:type="dxa"/>
            <w:vAlign w:val="bottom"/>
          </w:tcPr>
          <w:p w14:paraId="2DF66D46"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0.0655</w:t>
            </w:r>
          </w:p>
        </w:tc>
        <w:tc>
          <w:tcPr>
            <w:tcW w:w="1164" w:type="dxa"/>
            <w:vAlign w:val="bottom"/>
          </w:tcPr>
          <w:p w14:paraId="61CADC7C"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3E797AE1"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71.9820</w:t>
            </w:r>
          </w:p>
        </w:tc>
      </w:tr>
      <w:tr w:rsidR="00AE365A" w14:paraId="5C892101" w14:textId="77777777" w:rsidTr="00B04A8E">
        <w:tc>
          <w:tcPr>
            <w:tcW w:w="1696" w:type="dxa"/>
            <w:vAlign w:val="bottom"/>
          </w:tcPr>
          <w:p w14:paraId="29061F6B"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102</w:t>
            </w:r>
          </w:p>
        </w:tc>
        <w:tc>
          <w:tcPr>
            <w:tcW w:w="1560" w:type="dxa"/>
            <w:vAlign w:val="bottom"/>
          </w:tcPr>
          <w:p w14:paraId="6AF0209D"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Ruakaka</w:t>
            </w:r>
          </w:p>
        </w:tc>
        <w:tc>
          <w:tcPr>
            <w:tcW w:w="2268" w:type="dxa"/>
            <w:vAlign w:val="bottom"/>
          </w:tcPr>
          <w:p w14:paraId="19201196"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Northland</w:t>
            </w:r>
          </w:p>
        </w:tc>
        <w:tc>
          <w:tcPr>
            <w:tcW w:w="1164" w:type="dxa"/>
            <w:vAlign w:val="bottom"/>
          </w:tcPr>
          <w:p w14:paraId="7E4F665B"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0.0788</w:t>
            </w:r>
          </w:p>
        </w:tc>
        <w:tc>
          <w:tcPr>
            <w:tcW w:w="1164" w:type="dxa"/>
            <w:vAlign w:val="bottom"/>
          </w:tcPr>
          <w:p w14:paraId="47169A1C"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0.0010</w:t>
            </w:r>
          </w:p>
        </w:tc>
        <w:tc>
          <w:tcPr>
            <w:tcW w:w="1164" w:type="dxa"/>
            <w:vAlign w:val="bottom"/>
          </w:tcPr>
          <w:p w14:paraId="4922F11F"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81.7510</w:t>
            </w:r>
          </w:p>
        </w:tc>
      </w:tr>
      <w:tr w:rsidR="00AE365A" w14:paraId="1D8C7ADE" w14:textId="77777777" w:rsidTr="00B04A8E">
        <w:tc>
          <w:tcPr>
            <w:tcW w:w="1696" w:type="dxa"/>
            <w:vAlign w:val="bottom"/>
          </w:tcPr>
          <w:p w14:paraId="13C40F0A"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109</w:t>
            </w:r>
          </w:p>
        </w:tc>
        <w:tc>
          <w:tcPr>
            <w:tcW w:w="1560" w:type="dxa"/>
            <w:vAlign w:val="bottom"/>
          </w:tcPr>
          <w:p w14:paraId="6381A6C8"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West Melton</w:t>
            </w:r>
          </w:p>
        </w:tc>
        <w:tc>
          <w:tcPr>
            <w:tcW w:w="2268" w:type="dxa"/>
            <w:vAlign w:val="bottom"/>
          </w:tcPr>
          <w:p w14:paraId="7FE830AD"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Canterbury</w:t>
            </w:r>
          </w:p>
        </w:tc>
        <w:tc>
          <w:tcPr>
            <w:tcW w:w="1164" w:type="dxa"/>
            <w:vAlign w:val="bottom"/>
          </w:tcPr>
          <w:p w14:paraId="09A05DE1"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0.0539</w:t>
            </w:r>
          </w:p>
        </w:tc>
        <w:tc>
          <w:tcPr>
            <w:tcW w:w="1164" w:type="dxa"/>
            <w:vAlign w:val="bottom"/>
          </w:tcPr>
          <w:p w14:paraId="683E2C1F"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0.0004</w:t>
            </w:r>
          </w:p>
        </w:tc>
        <w:tc>
          <w:tcPr>
            <w:tcW w:w="1164" w:type="dxa"/>
            <w:vAlign w:val="bottom"/>
          </w:tcPr>
          <w:p w14:paraId="342F819F"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135.8298</w:t>
            </w:r>
          </w:p>
        </w:tc>
      </w:tr>
      <w:tr w:rsidR="00AE365A" w14:paraId="77AA81F2" w14:textId="77777777" w:rsidTr="00B04A8E">
        <w:tc>
          <w:tcPr>
            <w:tcW w:w="1696" w:type="dxa"/>
            <w:vAlign w:val="bottom"/>
          </w:tcPr>
          <w:p w14:paraId="315262C7"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118</w:t>
            </w:r>
          </w:p>
        </w:tc>
        <w:tc>
          <w:tcPr>
            <w:tcW w:w="1560" w:type="dxa"/>
            <w:vAlign w:val="bottom"/>
          </w:tcPr>
          <w:p w14:paraId="40A434C0"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Oxford</w:t>
            </w:r>
          </w:p>
        </w:tc>
        <w:tc>
          <w:tcPr>
            <w:tcW w:w="2268" w:type="dxa"/>
            <w:vAlign w:val="bottom"/>
          </w:tcPr>
          <w:p w14:paraId="76887606"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Canterbury</w:t>
            </w:r>
          </w:p>
        </w:tc>
        <w:tc>
          <w:tcPr>
            <w:tcW w:w="1164" w:type="dxa"/>
            <w:vAlign w:val="bottom"/>
          </w:tcPr>
          <w:p w14:paraId="6C24C0EF"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0.0501</w:t>
            </w:r>
          </w:p>
        </w:tc>
        <w:tc>
          <w:tcPr>
            <w:tcW w:w="1164" w:type="dxa"/>
            <w:vAlign w:val="bottom"/>
          </w:tcPr>
          <w:p w14:paraId="590A7B4C"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0228F0CC"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54.5707</w:t>
            </w:r>
          </w:p>
        </w:tc>
      </w:tr>
      <w:tr w:rsidR="00AE365A" w14:paraId="383B1723" w14:textId="77777777" w:rsidTr="00B04A8E">
        <w:tc>
          <w:tcPr>
            <w:tcW w:w="1696" w:type="dxa"/>
            <w:vAlign w:val="bottom"/>
          </w:tcPr>
          <w:p w14:paraId="634817D3"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133</w:t>
            </w:r>
          </w:p>
        </w:tc>
        <w:tc>
          <w:tcPr>
            <w:tcW w:w="1560" w:type="dxa"/>
            <w:vAlign w:val="bottom"/>
          </w:tcPr>
          <w:p w14:paraId="5FC6F49C"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Paekakariki</w:t>
            </w:r>
          </w:p>
        </w:tc>
        <w:tc>
          <w:tcPr>
            <w:tcW w:w="2268" w:type="dxa"/>
            <w:vAlign w:val="bottom"/>
          </w:tcPr>
          <w:p w14:paraId="6EA2E148" w14:textId="77777777" w:rsidR="00AE365A" w:rsidRPr="00BC4239" w:rsidRDefault="00AE365A" w:rsidP="00B04A8E">
            <w:pPr>
              <w:rPr>
                <w:rFonts w:asciiTheme="majorBidi" w:hAnsiTheme="majorBidi" w:cstheme="majorBidi"/>
                <w:sz w:val="22"/>
                <w:szCs w:val="22"/>
              </w:rPr>
            </w:pPr>
            <w:r w:rsidRPr="00BC4239">
              <w:rPr>
                <w:rFonts w:asciiTheme="majorBidi" w:hAnsiTheme="majorBidi" w:cstheme="majorBidi"/>
                <w:color w:val="000000"/>
                <w:sz w:val="22"/>
                <w:szCs w:val="22"/>
              </w:rPr>
              <w:t>Wellington</w:t>
            </w:r>
          </w:p>
        </w:tc>
        <w:tc>
          <w:tcPr>
            <w:tcW w:w="1164" w:type="dxa"/>
            <w:vAlign w:val="bottom"/>
          </w:tcPr>
          <w:p w14:paraId="79A97479"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0.0521</w:t>
            </w:r>
          </w:p>
        </w:tc>
        <w:tc>
          <w:tcPr>
            <w:tcW w:w="1164" w:type="dxa"/>
            <w:vAlign w:val="bottom"/>
          </w:tcPr>
          <w:p w14:paraId="74E646C2" w14:textId="77777777" w:rsidR="00AE365A" w:rsidRPr="00BC4239" w:rsidRDefault="00AE365A" w:rsidP="00B04A8E">
            <w:pPr>
              <w:jc w:val="center"/>
              <w:rPr>
                <w:rFonts w:asciiTheme="majorBidi" w:hAnsiTheme="majorBidi" w:cstheme="majorBidi"/>
                <w:sz w:val="22"/>
                <w:szCs w:val="22"/>
              </w:rPr>
            </w:pPr>
            <w:r w:rsidRPr="00BC4239">
              <w:rPr>
                <w:rFonts w:asciiTheme="majorBidi" w:hAnsiTheme="majorBidi" w:cstheme="majorBidi"/>
                <w:color w:val="000000"/>
                <w:sz w:val="22"/>
                <w:szCs w:val="22"/>
              </w:rPr>
              <w:t>0.0009</w:t>
            </w:r>
          </w:p>
        </w:tc>
        <w:tc>
          <w:tcPr>
            <w:tcW w:w="1164" w:type="dxa"/>
            <w:vAlign w:val="bottom"/>
          </w:tcPr>
          <w:p w14:paraId="4135639B" w14:textId="77777777" w:rsidR="00AE365A" w:rsidRPr="00BC4239" w:rsidRDefault="00AE365A" w:rsidP="00B04A8E">
            <w:pPr>
              <w:tabs>
                <w:tab w:val="decimal" w:pos="397"/>
              </w:tabs>
              <w:rPr>
                <w:rFonts w:asciiTheme="majorBidi" w:hAnsiTheme="majorBidi" w:cstheme="majorBidi"/>
                <w:sz w:val="22"/>
                <w:szCs w:val="22"/>
              </w:rPr>
            </w:pPr>
            <w:r w:rsidRPr="00BC4239">
              <w:rPr>
                <w:rFonts w:asciiTheme="majorBidi" w:hAnsiTheme="majorBidi" w:cstheme="majorBidi"/>
                <w:color w:val="000000"/>
                <w:sz w:val="22"/>
                <w:szCs w:val="22"/>
              </w:rPr>
              <w:t>58.2135</w:t>
            </w:r>
          </w:p>
        </w:tc>
      </w:tr>
      <w:tr w:rsidR="00AE365A" w14:paraId="0EC78A38" w14:textId="77777777" w:rsidTr="00B04A8E">
        <w:tc>
          <w:tcPr>
            <w:tcW w:w="9016" w:type="dxa"/>
            <w:gridSpan w:val="6"/>
            <w:tcBorders>
              <w:top w:val="single" w:sz="4" w:space="0" w:color="auto"/>
            </w:tcBorders>
          </w:tcPr>
          <w:p w14:paraId="4DF36DC9" w14:textId="77777777" w:rsidR="00AE365A" w:rsidRPr="002719BC" w:rsidRDefault="00AE365A" w:rsidP="00B04A8E">
            <w:pPr>
              <w:spacing w:before="40"/>
              <w:rPr>
                <w:rFonts w:asciiTheme="majorBidi" w:hAnsiTheme="majorBidi" w:cstheme="majorBidi"/>
                <w:sz w:val="20"/>
                <w:szCs w:val="20"/>
              </w:rPr>
            </w:pPr>
            <w:r>
              <w:rPr>
                <w:rFonts w:asciiTheme="majorBidi" w:hAnsiTheme="majorBidi" w:cstheme="majorBidi"/>
                <w:i/>
                <w:iCs/>
                <w:sz w:val="20"/>
                <w:szCs w:val="20"/>
              </w:rPr>
              <w:t>Note:</w:t>
            </w:r>
            <w:r>
              <w:rPr>
                <w:rFonts w:asciiTheme="majorBidi" w:hAnsiTheme="majorBidi" w:cstheme="majorBidi"/>
                <w:sz w:val="20"/>
                <w:szCs w:val="20"/>
              </w:rPr>
              <w:t xml:space="preserve"> The population rank is also the map key in Figure 4. Robust standard errors clustered at city/town-level.</w:t>
            </w:r>
          </w:p>
        </w:tc>
      </w:tr>
    </w:tbl>
    <w:p w14:paraId="7EEF6D33" w14:textId="77777777" w:rsidR="00AE365A" w:rsidRDefault="00AE365A" w:rsidP="00AE365A">
      <w:pPr>
        <w:jc w:val="both"/>
        <w:rPr>
          <w:rFonts w:asciiTheme="majorBidi" w:hAnsiTheme="majorBidi" w:cstheme="majorBidi"/>
        </w:rPr>
      </w:pPr>
    </w:p>
    <w:p w14:paraId="1F2A74AA" w14:textId="2796D86A" w:rsidR="00AE73A4" w:rsidRDefault="005E613E" w:rsidP="00E44F40">
      <w:pPr>
        <w:ind w:firstLine="720"/>
        <w:jc w:val="both"/>
        <w:rPr>
          <w:rFonts w:asciiTheme="majorBidi" w:hAnsiTheme="majorBidi" w:cstheme="majorBidi"/>
        </w:rPr>
      </w:pPr>
      <w:r w:rsidRPr="005E613E">
        <w:rPr>
          <w:rFonts w:asciiTheme="majorBidi" w:hAnsiTheme="majorBidi" w:cstheme="majorBidi"/>
        </w:rPr>
        <w:t xml:space="preserve">A </w:t>
      </w:r>
      <w:r w:rsidR="00FC4483">
        <w:rPr>
          <w:rFonts w:asciiTheme="majorBidi" w:hAnsiTheme="majorBidi" w:cstheme="majorBidi"/>
        </w:rPr>
        <w:t xml:space="preserve">second </w:t>
      </w:r>
      <w:r w:rsidRPr="005E613E">
        <w:rPr>
          <w:rFonts w:asciiTheme="majorBidi" w:hAnsiTheme="majorBidi" w:cstheme="majorBidi"/>
        </w:rPr>
        <w:t xml:space="preserve">group </w:t>
      </w:r>
      <w:r w:rsidR="00FC4483">
        <w:rPr>
          <w:rFonts w:asciiTheme="majorBidi" w:hAnsiTheme="majorBidi" w:cstheme="majorBidi"/>
        </w:rPr>
        <w:t xml:space="preserve">of towns </w:t>
      </w:r>
      <w:r w:rsidRPr="005E613E">
        <w:rPr>
          <w:rFonts w:asciiTheme="majorBidi" w:hAnsiTheme="majorBidi" w:cstheme="majorBidi"/>
        </w:rPr>
        <w:t xml:space="preserve">consists of amenity and tourism-oriented settlements, including Queenstown </w:t>
      </w:r>
      <w:r w:rsidR="00FC4483">
        <w:rPr>
          <w:rFonts w:asciiTheme="majorBidi" w:hAnsiTheme="majorBidi" w:cstheme="majorBidi"/>
        </w:rPr>
        <w:t xml:space="preserve">and </w:t>
      </w:r>
      <w:r w:rsidRPr="005E613E">
        <w:rPr>
          <w:rFonts w:asciiTheme="majorBidi" w:hAnsiTheme="majorBidi" w:cstheme="majorBidi"/>
        </w:rPr>
        <w:t>W</w:t>
      </w:r>
      <w:r w:rsidR="00E559ED">
        <w:rPr>
          <w:rFonts w:asciiTheme="majorBidi" w:hAnsiTheme="majorBidi" w:cstheme="majorBidi"/>
        </w:rPr>
        <w:t>a</w:t>
      </w:r>
      <w:r w:rsidRPr="005E613E">
        <w:rPr>
          <w:rFonts w:asciiTheme="majorBidi" w:hAnsiTheme="majorBidi" w:cstheme="majorBidi"/>
        </w:rPr>
        <w:t>naka, together with coastal destinations such as Whitianga</w:t>
      </w:r>
      <w:r w:rsidR="00FC4483">
        <w:rPr>
          <w:rFonts w:asciiTheme="majorBidi" w:hAnsiTheme="majorBidi" w:cstheme="majorBidi"/>
        </w:rPr>
        <w:t>,</w:t>
      </w:r>
      <w:r w:rsidR="00AE73A4">
        <w:rPr>
          <w:rFonts w:asciiTheme="majorBidi" w:hAnsiTheme="majorBidi" w:cstheme="majorBidi"/>
        </w:rPr>
        <w:t xml:space="preserve"> Omokoroa</w:t>
      </w:r>
      <w:r w:rsidR="00FC4483">
        <w:rPr>
          <w:rFonts w:asciiTheme="majorBidi" w:hAnsiTheme="majorBidi" w:cstheme="majorBidi"/>
        </w:rPr>
        <w:t xml:space="preserve"> and Paekakariki</w:t>
      </w:r>
      <w:r w:rsidRPr="005E613E">
        <w:rPr>
          <w:rFonts w:asciiTheme="majorBidi" w:hAnsiTheme="majorBidi" w:cstheme="majorBidi"/>
        </w:rPr>
        <w:t>. These locations appear to have benefited from the increasing importance of lifestyle migration, domestic tourism and, in the case of the Queenstown</w:t>
      </w:r>
      <w:r w:rsidR="008E2DFA">
        <w:rPr>
          <w:rFonts w:asciiTheme="majorBidi" w:hAnsiTheme="majorBidi" w:cstheme="majorBidi"/>
        </w:rPr>
        <w:t>-</w:t>
      </w:r>
      <w:r w:rsidRPr="005E613E">
        <w:rPr>
          <w:rFonts w:asciiTheme="majorBidi" w:hAnsiTheme="majorBidi" w:cstheme="majorBidi"/>
        </w:rPr>
        <w:t>Lakes settlements, the rapid expansion of Queenstown Airport</w:t>
      </w:r>
      <w:r w:rsidR="00AE73A4">
        <w:rPr>
          <w:rFonts w:asciiTheme="majorBidi" w:hAnsiTheme="majorBidi" w:cstheme="majorBidi"/>
        </w:rPr>
        <w:t xml:space="preserve"> (now the fourth busiest in New Zealand, despite Queenstown-Lakes district being only the 25</w:t>
      </w:r>
      <w:r w:rsidR="00AE73A4" w:rsidRPr="00AE73A4">
        <w:rPr>
          <w:rFonts w:asciiTheme="majorBidi" w:hAnsiTheme="majorBidi" w:cstheme="majorBidi"/>
          <w:vertAlign w:val="superscript"/>
        </w:rPr>
        <w:t>th</w:t>
      </w:r>
      <w:r w:rsidR="00AE73A4">
        <w:rPr>
          <w:rFonts w:asciiTheme="majorBidi" w:hAnsiTheme="majorBidi" w:cstheme="majorBidi"/>
        </w:rPr>
        <w:t xml:space="preserve"> (out of 67) most populated territorial local authority). </w:t>
      </w:r>
    </w:p>
    <w:p w14:paraId="0158BF38" w14:textId="4AD37B7A" w:rsidR="0038761C" w:rsidRDefault="005E613E" w:rsidP="00E44F40">
      <w:pPr>
        <w:ind w:firstLine="720"/>
        <w:jc w:val="both"/>
        <w:rPr>
          <w:rFonts w:asciiTheme="majorBidi" w:hAnsiTheme="majorBidi" w:cstheme="majorBidi"/>
        </w:rPr>
      </w:pPr>
      <w:r w:rsidRPr="005E613E">
        <w:rPr>
          <w:rFonts w:asciiTheme="majorBidi" w:hAnsiTheme="majorBidi" w:cstheme="majorBidi"/>
        </w:rPr>
        <w:t xml:space="preserve">Finally, two </w:t>
      </w:r>
      <w:r w:rsidR="008E2DFA">
        <w:rPr>
          <w:rFonts w:asciiTheme="majorBidi" w:hAnsiTheme="majorBidi" w:cstheme="majorBidi"/>
        </w:rPr>
        <w:t xml:space="preserve">nearby </w:t>
      </w:r>
      <w:r w:rsidRPr="005E613E">
        <w:rPr>
          <w:rFonts w:asciiTheme="majorBidi" w:hAnsiTheme="majorBidi" w:cstheme="majorBidi"/>
        </w:rPr>
        <w:t>Northland settlements—Ruak</w:t>
      </w:r>
      <w:r w:rsidR="00E559ED">
        <w:rPr>
          <w:rFonts w:asciiTheme="majorBidi" w:hAnsiTheme="majorBidi" w:cstheme="majorBidi"/>
        </w:rPr>
        <w:t>a</w:t>
      </w:r>
      <w:r w:rsidRPr="005E613E">
        <w:rPr>
          <w:rFonts w:asciiTheme="majorBidi" w:hAnsiTheme="majorBidi" w:cstheme="majorBidi"/>
        </w:rPr>
        <w:t>k</w:t>
      </w:r>
      <w:r w:rsidR="00E559ED">
        <w:rPr>
          <w:rFonts w:asciiTheme="majorBidi" w:hAnsiTheme="majorBidi" w:cstheme="majorBidi"/>
        </w:rPr>
        <w:t>a</w:t>
      </w:r>
      <w:r w:rsidRPr="005E613E">
        <w:rPr>
          <w:rFonts w:asciiTheme="majorBidi" w:hAnsiTheme="majorBidi" w:cstheme="majorBidi"/>
        </w:rPr>
        <w:t xml:space="preserve"> and One Tree Point—also </w:t>
      </w:r>
      <w:r w:rsidR="008012D7">
        <w:rPr>
          <w:rFonts w:asciiTheme="majorBidi" w:hAnsiTheme="majorBidi" w:cstheme="majorBidi"/>
        </w:rPr>
        <w:t>expanded but trends for</w:t>
      </w:r>
      <w:r w:rsidRPr="005E613E">
        <w:rPr>
          <w:rFonts w:asciiTheme="majorBidi" w:hAnsiTheme="majorBidi" w:cstheme="majorBidi"/>
        </w:rPr>
        <w:t xml:space="preserve"> these </w:t>
      </w:r>
      <w:r w:rsidR="008012D7">
        <w:rPr>
          <w:rFonts w:asciiTheme="majorBidi" w:hAnsiTheme="majorBidi" w:cstheme="majorBidi"/>
        </w:rPr>
        <w:t xml:space="preserve">two towns </w:t>
      </w:r>
      <w:r w:rsidRPr="005E613E">
        <w:rPr>
          <w:rFonts w:asciiTheme="majorBidi" w:hAnsiTheme="majorBidi" w:cstheme="majorBidi"/>
        </w:rPr>
        <w:t>should be interpreted cautiously</w:t>
      </w:r>
      <w:r w:rsidR="008012D7">
        <w:rPr>
          <w:rFonts w:asciiTheme="majorBidi" w:hAnsiTheme="majorBidi" w:cstheme="majorBidi"/>
        </w:rPr>
        <w:t xml:space="preserve">. They are both near to Marsden Point, where the oil refinery ceased operation in 2022 (just after our time-series ends) and the conversion </w:t>
      </w:r>
      <w:r w:rsidR="003539CC">
        <w:rPr>
          <w:rFonts w:asciiTheme="majorBidi" w:hAnsiTheme="majorBidi" w:cstheme="majorBidi"/>
        </w:rPr>
        <w:t xml:space="preserve">of that industrial facility </w:t>
      </w:r>
      <w:r w:rsidR="008012D7">
        <w:rPr>
          <w:rFonts w:asciiTheme="majorBidi" w:hAnsiTheme="majorBidi" w:cstheme="majorBidi"/>
        </w:rPr>
        <w:t xml:space="preserve">to an oil import terminal entailed a considerable loss of employment which may affect the ongoing expansion prospects for these </w:t>
      </w:r>
      <w:r w:rsidR="003539CC">
        <w:rPr>
          <w:rFonts w:asciiTheme="majorBidi" w:hAnsiTheme="majorBidi" w:cstheme="majorBidi"/>
        </w:rPr>
        <w:t xml:space="preserve">two </w:t>
      </w:r>
      <w:r w:rsidR="008012D7">
        <w:rPr>
          <w:rFonts w:asciiTheme="majorBidi" w:hAnsiTheme="majorBidi" w:cstheme="majorBidi"/>
        </w:rPr>
        <w:t>nearby towns.</w:t>
      </w:r>
      <w:r w:rsidR="00DD5C84">
        <w:rPr>
          <w:rFonts w:asciiTheme="majorBidi" w:hAnsiTheme="majorBidi" w:cstheme="majorBidi"/>
        </w:rPr>
        <w:t xml:space="preserve"> Once the VIIRS time-series becomes long enough, it may be possible to test whether these two settlements reversed their expansion after the closure of the oil refinery.</w:t>
      </w:r>
    </w:p>
    <w:p w14:paraId="22B66C26" w14:textId="746861CD" w:rsidR="006E1FA4" w:rsidRPr="00806850" w:rsidRDefault="006E1FA4" w:rsidP="004261A7">
      <w:pPr>
        <w:spacing w:after="360"/>
        <w:ind w:firstLine="720"/>
        <w:jc w:val="both"/>
        <w:rPr>
          <w:rFonts w:ascii="Times New Roman" w:hAnsi="Times New Roman" w:cs="Times New Roman"/>
        </w:rPr>
      </w:pPr>
      <w:r w:rsidRPr="00806850">
        <w:rPr>
          <w:rFonts w:ascii="Times New Roman" w:hAnsi="Times New Roman" w:cs="Times New Roman"/>
        </w:rPr>
        <w:t xml:space="preserve">The contraction of </w:t>
      </w:r>
      <w:r>
        <w:rPr>
          <w:rFonts w:ascii="Times New Roman" w:hAnsi="Times New Roman" w:cs="Times New Roman"/>
        </w:rPr>
        <w:t>lit area of the NZ</w:t>
      </w:r>
      <w:r w:rsidRPr="00806850">
        <w:rPr>
          <w:rFonts w:ascii="Times New Roman" w:hAnsi="Times New Roman" w:cs="Times New Roman"/>
        </w:rPr>
        <w:t xml:space="preserve"> towns </w:t>
      </w:r>
      <w:r>
        <w:rPr>
          <w:rFonts w:ascii="Times New Roman" w:hAnsi="Times New Roman" w:cs="Times New Roman"/>
        </w:rPr>
        <w:t xml:space="preserve">listed </w:t>
      </w:r>
      <w:r w:rsidRPr="00806850">
        <w:rPr>
          <w:rFonts w:ascii="Times New Roman" w:hAnsi="Times New Roman" w:cs="Times New Roman"/>
        </w:rPr>
        <w:t xml:space="preserve">in Table </w:t>
      </w:r>
      <w:r>
        <w:rPr>
          <w:rFonts w:ascii="Times New Roman" w:hAnsi="Times New Roman" w:cs="Times New Roman"/>
        </w:rPr>
        <w:t>3</w:t>
      </w:r>
      <w:r w:rsidRPr="00806850">
        <w:rPr>
          <w:rFonts w:ascii="Times New Roman" w:hAnsi="Times New Roman" w:cs="Times New Roman"/>
        </w:rPr>
        <w:t xml:space="preserve"> is also </w:t>
      </w:r>
      <w:r>
        <w:rPr>
          <w:rFonts w:ascii="Times New Roman" w:hAnsi="Times New Roman" w:cs="Times New Roman"/>
        </w:rPr>
        <w:t>from</w:t>
      </w:r>
      <w:r w:rsidRPr="00806850">
        <w:rPr>
          <w:rFonts w:ascii="Times New Roman" w:hAnsi="Times New Roman" w:cs="Times New Roman"/>
        </w:rPr>
        <w:t xml:space="preserve"> several causes. </w:t>
      </w:r>
      <w:r>
        <w:rPr>
          <w:rFonts w:ascii="Times New Roman" w:hAnsi="Times New Roman" w:cs="Times New Roman"/>
        </w:rPr>
        <w:t xml:space="preserve">Large changes in rural land use, with sheep replaced by dairy and forestry, caused major disruptions to many rural towns. The sheep flock fell from around 70 million in the 1980s to 23 million, with closure of many export meat works and wool processing (scouring, milling, </w:t>
      </w:r>
      <w:r>
        <w:rPr>
          <w:rFonts w:ascii="Times New Roman" w:hAnsi="Times New Roman" w:cs="Times New Roman"/>
        </w:rPr>
        <w:lastRenderedPageBreak/>
        <w:t xml:space="preserve">knitting) plants—at peak these contributed about four percent of total employment (ca.50,000 workers) but now just over one percent of total New Zealand employment is in these industries. For example, when the </w:t>
      </w:r>
      <w:r w:rsidRPr="00CA332D">
        <w:rPr>
          <w:rFonts w:ascii="Times New Roman" w:hAnsi="Times New Roman" w:cs="Times New Roman"/>
        </w:rPr>
        <w:t>Waingawa freezing works</w:t>
      </w:r>
      <w:r>
        <w:rPr>
          <w:rFonts w:ascii="Times New Roman" w:hAnsi="Times New Roman" w:cs="Times New Roman"/>
        </w:rPr>
        <w:t xml:space="preserve"> closed in 1989 it was the largest employer in the </w:t>
      </w:r>
      <w:r w:rsidRPr="00CA332D">
        <w:rPr>
          <w:rFonts w:ascii="Times New Roman" w:hAnsi="Times New Roman" w:cs="Times New Roman"/>
        </w:rPr>
        <w:t>Wairarapa</w:t>
      </w:r>
      <w:r>
        <w:rPr>
          <w:rFonts w:ascii="Times New Roman" w:hAnsi="Times New Roman" w:cs="Times New Roman"/>
        </w:rPr>
        <w:t>, creating a negative effect on nearby</w:t>
      </w:r>
      <w:r w:rsidRPr="00CA332D">
        <w:rPr>
          <w:rFonts w:ascii="Times New Roman" w:hAnsi="Times New Roman" w:cs="Times New Roman"/>
        </w:rPr>
        <w:t xml:space="preserve"> Masterton</w:t>
      </w:r>
      <w:r>
        <w:rPr>
          <w:rFonts w:ascii="Times New Roman" w:hAnsi="Times New Roman" w:cs="Times New Roman"/>
        </w:rPr>
        <w:t>.</w:t>
      </w:r>
      <w:r>
        <w:rPr>
          <w:rStyle w:val="FootnoteReference"/>
          <w:rFonts w:ascii="Times New Roman" w:hAnsi="Times New Roman" w:cs="Times New Roman"/>
        </w:rPr>
        <w:footnoteReference w:id="12"/>
      </w:r>
      <w:r>
        <w:rPr>
          <w:rFonts w:ascii="Times New Roman" w:hAnsi="Times New Roman" w:cs="Times New Roman"/>
        </w:rPr>
        <w:t xml:space="preserve"> Likewise, </w:t>
      </w:r>
      <w:proofErr w:type="spellStart"/>
      <w:r>
        <w:rPr>
          <w:rFonts w:ascii="Times New Roman" w:hAnsi="Times New Roman" w:cs="Times New Roman"/>
        </w:rPr>
        <w:t>Oringi</w:t>
      </w:r>
      <w:proofErr w:type="spellEnd"/>
      <w:r>
        <w:rPr>
          <w:rFonts w:ascii="Times New Roman" w:hAnsi="Times New Roman" w:cs="Times New Roman"/>
        </w:rPr>
        <w:t xml:space="preserve"> freezing works closed in 2008 with negative </w:t>
      </w:r>
      <w:r w:rsidRPr="00806850">
        <w:rPr>
          <w:rFonts w:ascii="Times New Roman" w:hAnsi="Times New Roman" w:cs="Times New Roman"/>
        </w:rPr>
        <w:t>impact</w:t>
      </w:r>
      <w:r>
        <w:rPr>
          <w:rFonts w:ascii="Times New Roman" w:hAnsi="Times New Roman" w:cs="Times New Roman"/>
        </w:rPr>
        <w:t xml:space="preserve">s on </w:t>
      </w:r>
      <w:r w:rsidRPr="00806850">
        <w:rPr>
          <w:rFonts w:ascii="Times New Roman" w:hAnsi="Times New Roman" w:cs="Times New Roman"/>
        </w:rPr>
        <w:t>Dannevirke</w:t>
      </w:r>
      <w:r>
        <w:rPr>
          <w:rFonts w:ascii="Times New Roman" w:hAnsi="Times New Roman" w:cs="Times New Roman"/>
        </w:rPr>
        <w:t xml:space="preserve">, while Godfrey Hirst and AFFCO closures in 2009 impacted </w:t>
      </w:r>
      <w:r w:rsidRPr="00806850">
        <w:rPr>
          <w:rFonts w:ascii="Times New Roman" w:hAnsi="Times New Roman" w:cs="Times New Roman"/>
        </w:rPr>
        <w:t>Feilding</w:t>
      </w:r>
      <w:r>
        <w:rPr>
          <w:rFonts w:ascii="Times New Roman" w:hAnsi="Times New Roman" w:cs="Times New Roman"/>
        </w:rPr>
        <w:t xml:space="preserve"> and Foxton. Closure of the Alliance woollen mill in 1999 impacted Milton, and closure of Summit </w:t>
      </w:r>
      <w:proofErr w:type="spellStart"/>
      <w:r>
        <w:rPr>
          <w:rFonts w:ascii="Times New Roman" w:hAnsi="Times New Roman" w:cs="Times New Roman"/>
        </w:rPr>
        <w:t>Woolspinners</w:t>
      </w:r>
      <w:proofErr w:type="spellEnd"/>
      <w:r>
        <w:rPr>
          <w:rFonts w:ascii="Times New Roman" w:hAnsi="Times New Roman" w:cs="Times New Roman"/>
        </w:rPr>
        <w:t xml:space="preserve"> in 2013 impacted </w:t>
      </w:r>
      <w:r w:rsidRPr="00806850">
        <w:rPr>
          <w:rFonts w:ascii="Times New Roman" w:hAnsi="Times New Roman" w:cs="Times New Roman"/>
        </w:rPr>
        <w:t>Oamaru</w:t>
      </w:r>
      <w:r>
        <w:rPr>
          <w:rFonts w:ascii="Times New Roman" w:hAnsi="Times New Roman" w:cs="Times New Roman"/>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0" w:type="dxa"/>
        </w:tblCellMar>
        <w:tblLook w:val="04A0" w:firstRow="1" w:lastRow="0" w:firstColumn="1" w:lastColumn="0" w:noHBand="0" w:noVBand="1"/>
      </w:tblPr>
      <w:tblGrid>
        <w:gridCol w:w="1696"/>
        <w:gridCol w:w="1616"/>
        <w:gridCol w:w="2268"/>
        <w:gridCol w:w="1164"/>
        <w:gridCol w:w="1164"/>
        <w:gridCol w:w="1108"/>
        <w:gridCol w:w="56"/>
      </w:tblGrid>
      <w:tr w:rsidR="00AE365A" w14:paraId="6A66A2B1" w14:textId="77777777" w:rsidTr="00B04A8E">
        <w:trPr>
          <w:gridAfter w:val="1"/>
          <w:wAfter w:w="56" w:type="dxa"/>
        </w:trPr>
        <w:tc>
          <w:tcPr>
            <w:tcW w:w="9016" w:type="dxa"/>
            <w:gridSpan w:val="6"/>
            <w:tcBorders>
              <w:bottom w:val="single" w:sz="4" w:space="0" w:color="auto"/>
            </w:tcBorders>
          </w:tcPr>
          <w:p w14:paraId="1D58955C" w14:textId="77777777" w:rsidR="00AE365A" w:rsidRPr="00B63B05" w:rsidRDefault="00AE365A" w:rsidP="004261A7">
            <w:pPr>
              <w:spacing w:after="160"/>
              <w:jc w:val="center"/>
              <w:rPr>
                <w:rFonts w:asciiTheme="majorBidi" w:hAnsiTheme="majorBidi" w:cstheme="majorBidi"/>
                <w:sz w:val="22"/>
                <w:szCs w:val="22"/>
              </w:rPr>
            </w:pPr>
            <w:r w:rsidRPr="00B63B05">
              <w:rPr>
                <w:rFonts w:asciiTheme="majorBidi" w:hAnsiTheme="majorBidi" w:cstheme="majorBidi"/>
                <w:sz w:val="22"/>
                <w:szCs w:val="22"/>
              </w:rPr>
              <w:t>Table 3: Towns Where Illuminated Area is Contracting</w:t>
            </w:r>
          </w:p>
        </w:tc>
      </w:tr>
      <w:tr w:rsidR="00AE365A" w14:paraId="3AB67711" w14:textId="77777777" w:rsidTr="00B04A8E">
        <w:tc>
          <w:tcPr>
            <w:tcW w:w="1696" w:type="dxa"/>
            <w:tcBorders>
              <w:top w:val="single" w:sz="4" w:space="0" w:color="auto"/>
              <w:bottom w:val="single" w:sz="4" w:space="0" w:color="auto"/>
            </w:tcBorders>
          </w:tcPr>
          <w:p w14:paraId="7E7C49F2" w14:textId="77777777" w:rsidR="00AE365A" w:rsidRPr="002719BC" w:rsidRDefault="00AE365A" w:rsidP="00B04A8E">
            <w:pPr>
              <w:spacing w:before="20" w:after="20"/>
              <w:jc w:val="center"/>
              <w:rPr>
                <w:rFonts w:asciiTheme="majorBidi" w:hAnsiTheme="majorBidi" w:cstheme="majorBidi"/>
                <w:sz w:val="22"/>
                <w:szCs w:val="22"/>
              </w:rPr>
            </w:pPr>
            <w:r w:rsidRPr="002719BC">
              <w:rPr>
                <w:rFonts w:asciiTheme="majorBidi" w:hAnsiTheme="majorBidi" w:cstheme="majorBidi"/>
                <w:sz w:val="22"/>
                <w:szCs w:val="22"/>
              </w:rPr>
              <w:t>Pop</w:t>
            </w:r>
            <w:r>
              <w:rPr>
                <w:rFonts w:asciiTheme="majorBidi" w:hAnsiTheme="majorBidi" w:cstheme="majorBidi"/>
                <w:sz w:val="22"/>
                <w:szCs w:val="22"/>
              </w:rPr>
              <w:t>ulation</w:t>
            </w:r>
            <w:r w:rsidRPr="002719BC">
              <w:rPr>
                <w:rFonts w:asciiTheme="majorBidi" w:hAnsiTheme="majorBidi" w:cstheme="majorBidi"/>
                <w:sz w:val="22"/>
                <w:szCs w:val="22"/>
              </w:rPr>
              <w:t xml:space="preserve"> Rank</w:t>
            </w:r>
          </w:p>
        </w:tc>
        <w:tc>
          <w:tcPr>
            <w:tcW w:w="1616" w:type="dxa"/>
            <w:tcBorders>
              <w:top w:val="single" w:sz="4" w:space="0" w:color="auto"/>
              <w:bottom w:val="single" w:sz="4" w:space="0" w:color="auto"/>
            </w:tcBorders>
          </w:tcPr>
          <w:p w14:paraId="012DCD77" w14:textId="77777777" w:rsidR="00AE365A" w:rsidRPr="002719BC" w:rsidRDefault="00AE365A" w:rsidP="00B04A8E">
            <w:pPr>
              <w:spacing w:before="20" w:after="20"/>
              <w:rPr>
                <w:rFonts w:asciiTheme="majorBidi" w:hAnsiTheme="majorBidi" w:cstheme="majorBidi"/>
                <w:sz w:val="22"/>
                <w:szCs w:val="22"/>
              </w:rPr>
            </w:pPr>
            <w:r w:rsidRPr="002719BC">
              <w:rPr>
                <w:rFonts w:asciiTheme="majorBidi" w:hAnsiTheme="majorBidi" w:cstheme="majorBidi"/>
                <w:sz w:val="22"/>
                <w:szCs w:val="22"/>
              </w:rPr>
              <w:t>C</w:t>
            </w:r>
            <w:r>
              <w:rPr>
                <w:rFonts w:asciiTheme="majorBidi" w:hAnsiTheme="majorBidi" w:cstheme="majorBidi"/>
                <w:sz w:val="22"/>
                <w:szCs w:val="22"/>
              </w:rPr>
              <w:t>ity/Town</w:t>
            </w:r>
          </w:p>
        </w:tc>
        <w:tc>
          <w:tcPr>
            <w:tcW w:w="2268" w:type="dxa"/>
            <w:tcBorders>
              <w:top w:val="single" w:sz="4" w:space="0" w:color="auto"/>
              <w:bottom w:val="single" w:sz="4" w:space="0" w:color="auto"/>
            </w:tcBorders>
          </w:tcPr>
          <w:p w14:paraId="55300E25" w14:textId="77777777" w:rsidR="00AE365A" w:rsidRPr="002719BC" w:rsidRDefault="00AE365A" w:rsidP="00B04A8E">
            <w:pPr>
              <w:spacing w:before="20" w:after="20"/>
              <w:rPr>
                <w:rFonts w:asciiTheme="majorBidi" w:hAnsiTheme="majorBidi" w:cstheme="majorBidi"/>
                <w:sz w:val="22"/>
                <w:szCs w:val="22"/>
              </w:rPr>
            </w:pPr>
            <w:r>
              <w:rPr>
                <w:rFonts w:asciiTheme="majorBidi" w:hAnsiTheme="majorBidi" w:cstheme="majorBidi"/>
                <w:sz w:val="22"/>
                <w:szCs w:val="22"/>
              </w:rPr>
              <w:t>Region</w:t>
            </w:r>
          </w:p>
        </w:tc>
        <w:tc>
          <w:tcPr>
            <w:tcW w:w="1164" w:type="dxa"/>
            <w:tcBorders>
              <w:top w:val="single" w:sz="4" w:space="0" w:color="auto"/>
              <w:bottom w:val="single" w:sz="4" w:space="0" w:color="auto"/>
            </w:tcBorders>
          </w:tcPr>
          <w:p w14:paraId="2F9B78F6" w14:textId="77777777" w:rsidR="00AE365A" w:rsidRPr="002719BC" w:rsidRDefault="00AE365A" w:rsidP="00B04A8E">
            <w:pPr>
              <w:spacing w:before="20" w:after="20"/>
              <w:jc w:val="center"/>
              <w:rPr>
                <w:rFonts w:asciiTheme="majorBidi" w:hAnsiTheme="majorBidi" w:cstheme="majorBidi"/>
                <w:sz w:val="22"/>
                <w:szCs w:val="22"/>
              </w:rPr>
            </w:pPr>
            <w:r>
              <w:rPr>
                <w:rFonts w:asciiTheme="majorBidi" w:hAnsiTheme="majorBidi" w:cstheme="majorBidi"/>
                <w:sz w:val="22"/>
                <w:szCs w:val="22"/>
              </w:rPr>
              <w:t>Trend</w:t>
            </w:r>
          </w:p>
        </w:tc>
        <w:tc>
          <w:tcPr>
            <w:tcW w:w="1164" w:type="dxa"/>
            <w:tcBorders>
              <w:top w:val="single" w:sz="4" w:space="0" w:color="auto"/>
              <w:bottom w:val="single" w:sz="4" w:space="0" w:color="auto"/>
            </w:tcBorders>
          </w:tcPr>
          <w:p w14:paraId="7A7C3A4C" w14:textId="77777777" w:rsidR="00AE365A" w:rsidRPr="002719BC" w:rsidRDefault="00AE365A" w:rsidP="00B04A8E">
            <w:pPr>
              <w:spacing w:before="20" w:after="20"/>
              <w:jc w:val="center"/>
              <w:rPr>
                <w:rFonts w:asciiTheme="majorBidi" w:hAnsiTheme="majorBidi" w:cstheme="majorBidi"/>
                <w:sz w:val="22"/>
                <w:szCs w:val="22"/>
              </w:rPr>
            </w:pPr>
            <w:r>
              <w:rPr>
                <w:rFonts w:asciiTheme="majorBidi" w:hAnsiTheme="majorBidi" w:cstheme="majorBidi"/>
                <w:sz w:val="22"/>
                <w:szCs w:val="22"/>
              </w:rPr>
              <w:t>Std error</w:t>
            </w:r>
          </w:p>
        </w:tc>
        <w:tc>
          <w:tcPr>
            <w:tcW w:w="1164" w:type="dxa"/>
            <w:gridSpan w:val="2"/>
            <w:tcBorders>
              <w:top w:val="single" w:sz="4" w:space="0" w:color="auto"/>
              <w:bottom w:val="single" w:sz="4" w:space="0" w:color="auto"/>
            </w:tcBorders>
          </w:tcPr>
          <w:p w14:paraId="0AD57A03" w14:textId="77777777" w:rsidR="00AE365A" w:rsidRPr="002719BC" w:rsidRDefault="00AE365A" w:rsidP="00B04A8E">
            <w:pPr>
              <w:spacing w:before="20" w:after="20"/>
              <w:jc w:val="center"/>
              <w:rPr>
                <w:rFonts w:asciiTheme="majorBidi" w:hAnsiTheme="majorBidi" w:cstheme="majorBidi"/>
                <w:sz w:val="22"/>
                <w:szCs w:val="22"/>
              </w:rPr>
            </w:pPr>
            <w:r>
              <w:rPr>
                <w:rFonts w:asciiTheme="majorBidi" w:hAnsiTheme="majorBidi" w:cstheme="majorBidi"/>
                <w:sz w:val="22"/>
                <w:szCs w:val="22"/>
              </w:rPr>
              <w:t>t-statistic</w:t>
            </w:r>
          </w:p>
        </w:tc>
      </w:tr>
      <w:tr w:rsidR="00AE365A" w14:paraId="0CA9B7BB" w14:textId="77777777" w:rsidTr="00B04A8E">
        <w:tc>
          <w:tcPr>
            <w:tcW w:w="1696" w:type="dxa"/>
            <w:tcBorders>
              <w:top w:val="single" w:sz="4" w:space="0" w:color="auto"/>
            </w:tcBorders>
            <w:vAlign w:val="bottom"/>
          </w:tcPr>
          <w:p w14:paraId="0502A6F0" w14:textId="77777777" w:rsidR="00AE365A" w:rsidRPr="002719BC" w:rsidRDefault="00AE365A" w:rsidP="00B04A8E">
            <w:pPr>
              <w:spacing w:before="20"/>
              <w:jc w:val="center"/>
              <w:rPr>
                <w:rFonts w:asciiTheme="majorBidi" w:hAnsiTheme="majorBidi" w:cstheme="majorBidi"/>
                <w:sz w:val="22"/>
                <w:szCs w:val="22"/>
              </w:rPr>
            </w:pPr>
            <w:r w:rsidRPr="009142D7">
              <w:rPr>
                <w:rFonts w:asciiTheme="majorBidi" w:hAnsiTheme="majorBidi" w:cstheme="majorBidi"/>
                <w:color w:val="000000"/>
                <w:sz w:val="22"/>
                <w:szCs w:val="22"/>
              </w:rPr>
              <w:t>16</w:t>
            </w:r>
          </w:p>
        </w:tc>
        <w:tc>
          <w:tcPr>
            <w:tcW w:w="1616" w:type="dxa"/>
            <w:tcBorders>
              <w:top w:val="single" w:sz="4" w:space="0" w:color="auto"/>
            </w:tcBorders>
            <w:vAlign w:val="bottom"/>
          </w:tcPr>
          <w:p w14:paraId="51CAFDE8" w14:textId="77777777" w:rsidR="00AE365A" w:rsidRPr="002719BC" w:rsidRDefault="00AE365A" w:rsidP="00B04A8E">
            <w:pPr>
              <w:spacing w:before="20"/>
              <w:rPr>
                <w:rFonts w:asciiTheme="majorBidi" w:hAnsiTheme="majorBidi" w:cstheme="majorBidi"/>
                <w:sz w:val="22"/>
                <w:szCs w:val="22"/>
              </w:rPr>
            </w:pPr>
            <w:r w:rsidRPr="009142D7">
              <w:rPr>
                <w:rFonts w:asciiTheme="majorBidi" w:hAnsiTheme="majorBidi" w:cstheme="majorBidi"/>
                <w:color w:val="000000"/>
                <w:sz w:val="22"/>
                <w:szCs w:val="22"/>
              </w:rPr>
              <w:t>Whanganui</w:t>
            </w:r>
          </w:p>
        </w:tc>
        <w:tc>
          <w:tcPr>
            <w:tcW w:w="2268" w:type="dxa"/>
            <w:tcBorders>
              <w:top w:val="single" w:sz="4" w:space="0" w:color="auto"/>
            </w:tcBorders>
            <w:vAlign w:val="bottom"/>
          </w:tcPr>
          <w:p w14:paraId="737B9A60" w14:textId="77777777" w:rsidR="00AE365A" w:rsidRPr="002719BC" w:rsidRDefault="00AE365A" w:rsidP="00B04A8E">
            <w:pPr>
              <w:spacing w:before="20"/>
              <w:rPr>
                <w:rFonts w:asciiTheme="majorBidi" w:hAnsiTheme="majorBidi" w:cstheme="majorBidi"/>
                <w:sz w:val="22"/>
                <w:szCs w:val="22"/>
              </w:rPr>
            </w:pPr>
            <w:r w:rsidRPr="009142D7">
              <w:rPr>
                <w:rFonts w:asciiTheme="majorBidi" w:hAnsiTheme="majorBidi" w:cstheme="majorBidi"/>
                <w:color w:val="000000"/>
                <w:sz w:val="22"/>
                <w:szCs w:val="22"/>
              </w:rPr>
              <w:t>Manawatu-Whanganui</w:t>
            </w:r>
          </w:p>
        </w:tc>
        <w:tc>
          <w:tcPr>
            <w:tcW w:w="1164" w:type="dxa"/>
            <w:tcBorders>
              <w:top w:val="single" w:sz="4" w:space="0" w:color="auto"/>
            </w:tcBorders>
            <w:vAlign w:val="bottom"/>
          </w:tcPr>
          <w:p w14:paraId="67DE40B2" w14:textId="77777777" w:rsidR="00AE365A" w:rsidRPr="002719BC" w:rsidRDefault="00AE365A" w:rsidP="00B04A8E">
            <w:pPr>
              <w:spacing w:before="20"/>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0.0033</w:t>
            </w:r>
          </w:p>
        </w:tc>
        <w:tc>
          <w:tcPr>
            <w:tcW w:w="1164" w:type="dxa"/>
            <w:tcBorders>
              <w:top w:val="single" w:sz="4" w:space="0" w:color="auto"/>
            </w:tcBorders>
            <w:vAlign w:val="bottom"/>
          </w:tcPr>
          <w:p w14:paraId="5464D530" w14:textId="77777777" w:rsidR="00AE365A" w:rsidRPr="002719BC" w:rsidRDefault="00AE365A" w:rsidP="00B04A8E">
            <w:pPr>
              <w:spacing w:before="20"/>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tcBorders>
              <w:top w:val="single" w:sz="4" w:space="0" w:color="auto"/>
            </w:tcBorders>
            <w:vAlign w:val="bottom"/>
          </w:tcPr>
          <w:p w14:paraId="3B537B30" w14:textId="77777777" w:rsidR="00AE365A" w:rsidRPr="002719BC" w:rsidRDefault="00AE365A" w:rsidP="00B04A8E">
            <w:pPr>
              <w:tabs>
                <w:tab w:val="decimal" w:pos="397"/>
              </w:tabs>
              <w:spacing w:before="20"/>
              <w:rPr>
                <w:rFonts w:asciiTheme="majorBidi" w:hAnsiTheme="majorBidi" w:cstheme="majorBidi"/>
                <w:sz w:val="22"/>
                <w:szCs w:val="22"/>
              </w:rPr>
            </w:pPr>
            <w:r w:rsidRPr="009142D7">
              <w:rPr>
                <w:rFonts w:asciiTheme="majorBidi" w:hAnsiTheme="majorBidi" w:cstheme="majorBidi"/>
                <w:color w:val="000000"/>
                <w:sz w:val="22"/>
                <w:szCs w:val="22"/>
              </w:rPr>
              <w:t>3.6683</w:t>
            </w:r>
          </w:p>
        </w:tc>
      </w:tr>
      <w:tr w:rsidR="00AE365A" w14:paraId="4EC366D8" w14:textId="77777777" w:rsidTr="00B04A8E">
        <w:tc>
          <w:tcPr>
            <w:tcW w:w="1696" w:type="dxa"/>
            <w:vAlign w:val="bottom"/>
          </w:tcPr>
          <w:p w14:paraId="65FA4BDC"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26</w:t>
            </w:r>
          </w:p>
        </w:tc>
        <w:tc>
          <w:tcPr>
            <w:tcW w:w="1616" w:type="dxa"/>
            <w:vAlign w:val="bottom"/>
          </w:tcPr>
          <w:p w14:paraId="4E3D2956"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Masterton</w:t>
            </w:r>
          </w:p>
        </w:tc>
        <w:tc>
          <w:tcPr>
            <w:tcW w:w="2268" w:type="dxa"/>
            <w:vAlign w:val="bottom"/>
          </w:tcPr>
          <w:p w14:paraId="1B67B018"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Wellington</w:t>
            </w:r>
          </w:p>
        </w:tc>
        <w:tc>
          <w:tcPr>
            <w:tcW w:w="1164" w:type="dxa"/>
            <w:vAlign w:val="bottom"/>
          </w:tcPr>
          <w:p w14:paraId="73DB591D"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0.0019</w:t>
            </w:r>
          </w:p>
        </w:tc>
        <w:tc>
          <w:tcPr>
            <w:tcW w:w="1164" w:type="dxa"/>
            <w:vAlign w:val="bottom"/>
          </w:tcPr>
          <w:p w14:paraId="40F6A9EB"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1E163ED"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2.0872</w:t>
            </w:r>
          </w:p>
        </w:tc>
      </w:tr>
      <w:tr w:rsidR="00AE365A" w14:paraId="12CEA5B8" w14:textId="77777777" w:rsidTr="00B04A8E">
        <w:tc>
          <w:tcPr>
            <w:tcW w:w="1696" w:type="dxa"/>
            <w:vAlign w:val="bottom"/>
          </w:tcPr>
          <w:p w14:paraId="394D4DF4"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30</w:t>
            </w:r>
          </w:p>
        </w:tc>
        <w:tc>
          <w:tcPr>
            <w:tcW w:w="1616" w:type="dxa"/>
            <w:vAlign w:val="bottom"/>
          </w:tcPr>
          <w:p w14:paraId="65B4492E"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Feilding</w:t>
            </w:r>
          </w:p>
        </w:tc>
        <w:tc>
          <w:tcPr>
            <w:tcW w:w="2268" w:type="dxa"/>
            <w:vAlign w:val="bottom"/>
          </w:tcPr>
          <w:p w14:paraId="506844C0"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Manawatu-Whanganui</w:t>
            </w:r>
          </w:p>
        </w:tc>
        <w:tc>
          <w:tcPr>
            <w:tcW w:w="1164" w:type="dxa"/>
            <w:vAlign w:val="bottom"/>
          </w:tcPr>
          <w:p w14:paraId="4B2247D3"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0.0021</w:t>
            </w:r>
          </w:p>
        </w:tc>
        <w:tc>
          <w:tcPr>
            <w:tcW w:w="1164" w:type="dxa"/>
            <w:vAlign w:val="bottom"/>
          </w:tcPr>
          <w:p w14:paraId="7D2A4DD4"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AF8B899"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2.3113</w:t>
            </w:r>
          </w:p>
        </w:tc>
      </w:tr>
      <w:tr w:rsidR="00AE365A" w14:paraId="4B3A52CE" w14:textId="77777777" w:rsidTr="00B04A8E">
        <w:tc>
          <w:tcPr>
            <w:tcW w:w="1696" w:type="dxa"/>
            <w:vAlign w:val="bottom"/>
          </w:tcPr>
          <w:p w14:paraId="1CB8390C"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33</w:t>
            </w:r>
          </w:p>
        </w:tc>
        <w:tc>
          <w:tcPr>
            <w:tcW w:w="1616" w:type="dxa"/>
            <w:vAlign w:val="bottom"/>
          </w:tcPr>
          <w:p w14:paraId="6271337C"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Oamaru</w:t>
            </w:r>
          </w:p>
        </w:tc>
        <w:tc>
          <w:tcPr>
            <w:tcW w:w="2268" w:type="dxa"/>
            <w:vAlign w:val="bottom"/>
          </w:tcPr>
          <w:p w14:paraId="2BD109BE"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Otago</w:t>
            </w:r>
          </w:p>
        </w:tc>
        <w:tc>
          <w:tcPr>
            <w:tcW w:w="1164" w:type="dxa"/>
            <w:vAlign w:val="bottom"/>
          </w:tcPr>
          <w:p w14:paraId="0D6F94DE"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0.0063</w:t>
            </w:r>
          </w:p>
        </w:tc>
        <w:tc>
          <w:tcPr>
            <w:tcW w:w="1164" w:type="dxa"/>
            <w:vAlign w:val="bottom"/>
          </w:tcPr>
          <w:p w14:paraId="0CAED022"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297366C5"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6.9273</w:t>
            </w:r>
          </w:p>
        </w:tc>
      </w:tr>
      <w:tr w:rsidR="00AE365A" w14:paraId="52C4531B" w14:textId="77777777" w:rsidTr="00B04A8E">
        <w:tc>
          <w:tcPr>
            <w:tcW w:w="1696" w:type="dxa"/>
            <w:vAlign w:val="bottom"/>
          </w:tcPr>
          <w:p w14:paraId="17878E5E"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37</w:t>
            </w:r>
          </w:p>
        </w:tc>
        <w:tc>
          <w:tcPr>
            <w:tcW w:w="1616" w:type="dxa"/>
            <w:vAlign w:val="bottom"/>
          </w:tcPr>
          <w:p w14:paraId="466D6458"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Hawera</w:t>
            </w:r>
          </w:p>
        </w:tc>
        <w:tc>
          <w:tcPr>
            <w:tcW w:w="2268" w:type="dxa"/>
            <w:vAlign w:val="bottom"/>
          </w:tcPr>
          <w:p w14:paraId="6DAF66A6"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Taranaki</w:t>
            </w:r>
          </w:p>
        </w:tc>
        <w:tc>
          <w:tcPr>
            <w:tcW w:w="1164" w:type="dxa"/>
            <w:vAlign w:val="bottom"/>
          </w:tcPr>
          <w:p w14:paraId="7D01D09B"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0.0056</w:t>
            </w:r>
          </w:p>
        </w:tc>
        <w:tc>
          <w:tcPr>
            <w:tcW w:w="1164" w:type="dxa"/>
            <w:vAlign w:val="bottom"/>
          </w:tcPr>
          <w:p w14:paraId="49ACD680"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06ADC0A6"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6.1642</w:t>
            </w:r>
          </w:p>
        </w:tc>
      </w:tr>
      <w:tr w:rsidR="00AE365A" w14:paraId="0258B082" w14:textId="77777777" w:rsidTr="00B04A8E">
        <w:tc>
          <w:tcPr>
            <w:tcW w:w="1696" w:type="dxa"/>
            <w:vAlign w:val="bottom"/>
          </w:tcPr>
          <w:p w14:paraId="50B5127E"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47</w:t>
            </w:r>
          </w:p>
        </w:tc>
        <w:tc>
          <w:tcPr>
            <w:tcW w:w="1616" w:type="dxa"/>
            <w:vAlign w:val="bottom"/>
          </w:tcPr>
          <w:p w14:paraId="4D9343E3"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Gore</w:t>
            </w:r>
          </w:p>
        </w:tc>
        <w:tc>
          <w:tcPr>
            <w:tcW w:w="2268" w:type="dxa"/>
            <w:vAlign w:val="bottom"/>
          </w:tcPr>
          <w:p w14:paraId="25A04CAF"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Southland</w:t>
            </w:r>
          </w:p>
        </w:tc>
        <w:tc>
          <w:tcPr>
            <w:tcW w:w="1164" w:type="dxa"/>
            <w:vAlign w:val="bottom"/>
          </w:tcPr>
          <w:p w14:paraId="11AA9AA9"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0.0026</w:t>
            </w:r>
          </w:p>
        </w:tc>
        <w:tc>
          <w:tcPr>
            <w:tcW w:w="1164" w:type="dxa"/>
            <w:vAlign w:val="bottom"/>
          </w:tcPr>
          <w:p w14:paraId="58FC0B00"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83EF563"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2.8544</w:t>
            </w:r>
          </w:p>
        </w:tc>
      </w:tr>
      <w:tr w:rsidR="00AE365A" w14:paraId="17275EDA" w14:textId="77777777" w:rsidTr="00B04A8E">
        <w:tc>
          <w:tcPr>
            <w:tcW w:w="1696" w:type="dxa"/>
            <w:vAlign w:val="bottom"/>
          </w:tcPr>
          <w:p w14:paraId="1F782107"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49</w:t>
            </w:r>
          </w:p>
        </w:tc>
        <w:tc>
          <w:tcPr>
            <w:tcW w:w="1616" w:type="dxa"/>
            <w:vAlign w:val="bottom"/>
          </w:tcPr>
          <w:p w14:paraId="5E97CD0E"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Waiheke Island</w:t>
            </w:r>
          </w:p>
        </w:tc>
        <w:tc>
          <w:tcPr>
            <w:tcW w:w="2268" w:type="dxa"/>
            <w:vAlign w:val="bottom"/>
          </w:tcPr>
          <w:p w14:paraId="00A275D2"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Auckland</w:t>
            </w:r>
          </w:p>
        </w:tc>
        <w:tc>
          <w:tcPr>
            <w:tcW w:w="1164" w:type="dxa"/>
            <w:vAlign w:val="bottom"/>
          </w:tcPr>
          <w:p w14:paraId="738EA3B2"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0.0596</w:t>
            </w:r>
          </w:p>
        </w:tc>
        <w:tc>
          <w:tcPr>
            <w:tcW w:w="1164" w:type="dxa"/>
            <w:vAlign w:val="bottom"/>
          </w:tcPr>
          <w:p w14:paraId="422ADC8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015AE59D"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67.0545</w:t>
            </w:r>
          </w:p>
        </w:tc>
      </w:tr>
      <w:tr w:rsidR="00AE365A" w14:paraId="7F80F699" w14:textId="77777777" w:rsidTr="00B04A8E">
        <w:tc>
          <w:tcPr>
            <w:tcW w:w="1696" w:type="dxa"/>
            <w:vAlign w:val="bottom"/>
          </w:tcPr>
          <w:p w14:paraId="5C6E881E"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54</w:t>
            </w:r>
          </w:p>
        </w:tc>
        <w:tc>
          <w:tcPr>
            <w:tcW w:w="1616" w:type="dxa"/>
            <w:vAlign w:val="bottom"/>
          </w:tcPr>
          <w:p w14:paraId="1768D1B6"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Thames</w:t>
            </w:r>
          </w:p>
        </w:tc>
        <w:tc>
          <w:tcPr>
            <w:tcW w:w="2268" w:type="dxa"/>
            <w:vAlign w:val="bottom"/>
          </w:tcPr>
          <w:p w14:paraId="2B41F701"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Waikato</w:t>
            </w:r>
          </w:p>
        </w:tc>
        <w:tc>
          <w:tcPr>
            <w:tcW w:w="1164" w:type="dxa"/>
            <w:vAlign w:val="bottom"/>
          </w:tcPr>
          <w:p w14:paraId="1CADAA92"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0.0164</w:t>
            </w:r>
          </w:p>
        </w:tc>
        <w:tc>
          <w:tcPr>
            <w:tcW w:w="1164" w:type="dxa"/>
            <w:vAlign w:val="bottom"/>
          </w:tcPr>
          <w:p w14:paraId="4D75684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2C2E18FA"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18.0667</w:t>
            </w:r>
          </w:p>
        </w:tc>
      </w:tr>
      <w:tr w:rsidR="00AE365A" w14:paraId="255682B6" w14:textId="77777777" w:rsidTr="00B04A8E">
        <w:tc>
          <w:tcPr>
            <w:tcW w:w="1696" w:type="dxa"/>
            <w:vAlign w:val="bottom"/>
          </w:tcPr>
          <w:p w14:paraId="11814C3D"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56</w:t>
            </w:r>
          </w:p>
        </w:tc>
        <w:tc>
          <w:tcPr>
            <w:tcW w:w="1616" w:type="dxa"/>
            <w:vAlign w:val="bottom"/>
          </w:tcPr>
          <w:p w14:paraId="28566EFE"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Stratford</w:t>
            </w:r>
          </w:p>
        </w:tc>
        <w:tc>
          <w:tcPr>
            <w:tcW w:w="2268" w:type="dxa"/>
            <w:vAlign w:val="bottom"/>
          </w:tcPr>
          <w:p w14:paraId="16ECCDE8"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Taranaki</w:t>
            </w:r>
          </w:p>
        </w:tc>
        <w:tc>
          <w:tcPr>
            <w:tcW w:w="1164" w:type="dxa"/>
            <w:vAlign w:val="bottom"/>
          </w:tcPr>
          <w:p w14:paraId="15A409A3"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0.0102</w:t>
            </w:r>
          </w:p>
        </w:tc>
        <w:tc>
          <w:tcPr>
            <w:tcW w:w="1164" w:type="dxa"/>
            <w:vAlign w:val="bottom"/>
          </w:tcPr>
          <w:p w14:paraId="5112693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4A5B22E5"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11.2573</w:t>
            </w:r>
          </w:p>
        </w:tc>
      </w:tr>
      <w:tr w:rsidR="00AE365A" w14:paraId="46B4E3B3" w14:textId="77777777" w:rsidTr="00B04A8E">
        <w:tc>
          <w:tcPr>
            <w:tcW w:w="1696" w:type="dxa"/>
            <w:vAlign w:val="bottom"/>
          </w:tcPr>
          <w:p w14:paraId="02E13997"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61</w:t>
            </w:r>
          </w:p>
        </w:tc>
        <w:tc>
          <w:tcPr>
            <w:tcW w:w="1616" w:type="dxa"/>
            <w:vAlign w:val="bottom"/>
          </w:tcPr>
          <w:p w14:paraId="156B158C"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Carterton</w:t>
            </w:r>
          </w:p>
        </w:tc>
        <w:tc>
          <w:tcPr>
            <w:tcW w:w="2268" w:type="dxa"/>
            <w:vAlign w:val="bottom"/>
          </w:tcPr>
          <w:p w14:paraId="48265E79"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Wellington</w:t>
            </w:r>
          </w:p>
        </w:tc>
        <w:tc>
          <w:tcPr>
            <w:tcW w:w="1164" w:type="dxa"/>
            <w:vAlign w:val="bottom"/>
          </w:tcPr>
          <w:p w14:paraId="030324CC"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0.0025</w:t>
            </w:r>
          </w:p>
        </w:tc>
        <w:tc>
          <w:tcPr>
            <w:tcW w:w="1164" w:type="dxa"/>
            <w:vAlign w:val="bottom"/>
          </w:tcPr>
          <w:p w14:paraId="2AA75B9C"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71723DAC"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2.7332</w:t>
            </w:r>
          </w:p>
        </w:tc>
      </w:tr>
      <w:tr w:rsidR="00AE365A" w14:paraId="1607D34E" w14:textId="77777777" w:rsidTr="00B04A8E">
        <w:tc>
          <w:tcPr>
            <w:tcW w:w="1696" w:type="dxa"/>
            <w:vAlign w:val="bottom"/>
          </w:tcPr>
          <w:p w14:paraId="24901961"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62</w:t>
            </w:r>
          </w:p>
        </w:tc>
        <w:tc>
          <w:tcPr>
            <w:tcW w:w="1616" w:type="dxa"/>
            <w:vAlign w:val="bottom"/>
          </w:tcPr>
          <w:p w14:paraId="472A5F6D"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Alexandra</w:t>
            </w:r>
          </w:p>
        </w:tc>
        <w:tc>
          <w:tcPr>
            <w:tcW w:w="2268" w:type="dxa"/>
            <w:vAlign w:val="bottom"/>
          </w:tcPr>
          <w:p w14:paraId="3F9BB37C"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Otago</w:t>
            </w:r>
          </w:p>
        </w:tc>
        <w:tc>
          <w:tcPr>
            <w:tcW w:w="1164" w:type="dxa"/>
            <w:vAlign w:val="bottom"/>
          </w:tcPr>
          <w:p w14:paraId="5341828C"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0.0121</w:t>
            </w:r>
          </w:p>
        </w:tc>
        <w:tc>
          <w:tcPr>
            <w:tcW w:w="1164" w:type="dxa"/>
            <w:vAlign w:val="bottom"/>
          </w:tcPr>
          <w:p w14:paraId="133A2149"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381B9AA1"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13.3010</w:t>
            </w:r>
          </w:p>
        </w:tc>
      </w:tr>
      <w:tr w:rsidR="00AE365A" w14:paraId="4A10DFFB" w14:textId="77777777" w:rsidTr="00B04A8E">
        <w:tc>
          <w:tcPr>
            <w:tcW w:w="1696" w:type="dxa"/>
            <w:vAlign w:val="bottom"/>
          </w:tcPr>
          <w:p w14:paraId="45420F62"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63</w:t>
            </w:r>
          </w:p>
        </w:tc>
        <w:tc>
          <w:tcPr>
            <w:tcW w:w="1616" w:type="dxa"/>
            <w:vAlign w:val="bottom"/>
          </w:tcPr>
          <w:p w14:paraId="1254F759"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Waihi</w:t>
            </w:r>
          </w:p>
        </w:tc>
        <w:tc>
          <w:tcPr>
            <w:tcW w:w="2268" w:type="dxa"/>
            <w:vAlign w:val="bottom"/>
          </w:tcPr>
          <w:p w14:paraId="60A1D584"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Waikato</w:t>
            </w:r>
          </w:p>
        </w:tc>
        <w:tc>
          <w:tcPr>
            <w:tcW w:w="1164" w:type="dxa"/>
            <w:vAlign w:val="bottom"/>
          </w:tcPr>
          <w:p w14:paraId="3B890E08"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0.0040</w:t>
            </w:r>
          </w:p>
        </w:tc>
        <w:tc>
          <w:tcPr>
            <w:tcW w:w="1164" w:type="dxa"/>
            <w:vAlign w:val="bottom"/>
          </w:tcPr>
          <w:p w14:paraId="13EC240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652EA8DC"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4.3405</w:t>
            </w:r>
          </w:p>
        </w:tc>
      </w:tr>
      <w:tr w:rsidR="00AE365A" w14:paraId="1666983A" w14:textId="77777777" w:rsidTr="00B04A8E">
        <w:tc>
          <w:tcPr>
            <w:tcW w:w="1696" w:type="dxa"/>
            <w:vAlign w:val="bottom"/>
          </w:tcPr>
          <w:p w14:paraId="046D74C8"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66</w:t>
            </w:r>
          </w:p>
        </w:tc>
        <w:tc>
          <w:tcPr>
            <w:tcW w:w="1616" w:type="dxa"/>
            <w:vAlign w:val="bottom"/>
          </w:tcPr>
          <w:p w14:paraId="7625D2E7"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Dannevirke</w:t>
            </w:r>
          </w:p>
        </w:tc>
        <w:tc>
          <w:tcPr>
            <w:tcW w:w="2268" w:type="dxa"/>
            <w:vAlign w:val="bottom"/>
          </w:tcPr>
          <w:p w14:paraId="2418D53E"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Manawatu-Whanganui</w:t>
            </w:r>
          </w:p>
        </w:tc>
        <w:tc>
          <w:tcPr>
            <w:tcW w:w="1164" w:type="dxa"/>
            <w:vAlign w:val="bottom"/>
          </w:tcPr>
          <w:p w14:paraId="67B95F99"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0.0021</w:t>
            </w:r>
          </w:p>
        </w:tc>
        <w:tc>
          <w:tcPr>
            <w:tcW w:w="1164" w:type="dxa"/>
            <w:vAlign w:val="bottom"/>
          </w:tcPr>
          <w:p w14:paraId="4D9553A3"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74B672FF"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2.3316</w:t>
            </w:r>
          </w:p>
        </w:tc>
      </w:tr>
      <w:tr w:rsidR="00AE365A" w14:paraId="0BB4B8A1" w14:textId="77777777" w:rsidTr="00B04A8E">
        <w:tc>
          <w:tcPr>
            <w:tcW w:w="1696" w:type="dxa"/>
            <w:vAlign w:val="bottom"/>
          </w:tcPr>
          <w:p w14:paraId="78EA98A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67</w:t>
            </w:r>
          </w:p>
        </w:tc>
        <w:tc>
          <w:tcPr>
            <w:tcW w:w="1616" w:type="dxa"/>
            <w:vAlign w:val="bottom"/>
          </w:tcPr>
          <w:p w14:paraId="5AEEFF41"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Ngongotaha</w:t>
            </w:r>
          </w:p>
        </w:tc>
        <w:tc>
          <w:tcPr>
            <w:tcW w:w="2268" w:type="dxa"/>
            <w:vAlign w:val="bottom"/>
          </w:tcPr>
          <w:p w14:paraId="1DC350A2"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Bay of Plenty</w:t>
            </w:r>
          </w:p>
        </w:tc>
        <w:tc>
          <w:tcPr>
            <w:tcW w:w="1164" w:type="dxa"/>
            <w:vAlign w:val="bottom"/>
          </w:tcPr>
          <w:p w14:paraId="68F91F88"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0.0180</w:t>
            </w:r>
          </w:p>
        </w:tc>
        <w:tc>
          <w:tcPr>
            <w:tcW w:w="1164" w:type="dxa"/>
            <w:vAlign w:val="bottom"/>
          </w:tcPr>
          <w:p w14:paraId="383B8597"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0.0007</w:t>
            </w:r>
          </w:p>
        </w:tc>
        <w:tc>
          <w:tcPr>
            <w:tcW w:w="1164" w:type="dxa"/>
            <w:gridSpan w:val="2"/>
            <w:vAlign w:val="bottom"/>
          </w:tcPr>
          <w:p w14:paraId="5E80BBE2"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25.7381</w:t>
            </w:r>
          </w:p>
        </w:tc>
      </w:tr>
      <w:tr w:rsidR="00AE365A" w14:paraId="5339A807" w14:textId="77777777" w:rsidTr="00B04A8E">
        <w:tc>
          <w:tcPr>
            <w:tcW w:w="1696" w:type="dxa"/>
            <w:vAlign w:val="bottom"/>
          </w:tcPr>
          <w:p w14:paraId="2F1B9EB4"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70</w:t>
            </w:r>
          </w:p>
        </w:tc>
        <w:tc>
          <w:tcPr>
            <w:tcW w:w="1616" w:type="dxa"/>
            <w:vAlign w:val="bottom"/>
          </w:tcPr>
          <w:p w14:paraId="51A42B4B"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Taumarunui</w:t>
            </w:r>
          </w:p>
        </w:tc>
        <w:tc>
          <w:tcPr>
            <w:tcW w:w="2268" w:type="dxa"/>
            <w:vAlign w:val="bottom"/>
          </w:tcPr>
          <w:p w14:paraId="221DB62A"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Manawatu-Whanganui</w:t>
            </w:r>
          </w:p>
        </w:tc>
        <w:tc>
          <w:tcPr>
            <w:tcW w:w="1164" w:type="dxa"/>
            <w:vAlign w:val="bottom"/>
          </w:tcPr>
          <w:p w14:paraId="68E21B88"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0.0171</w:t>
            </w:r>
          </w:p>
        </w:tc>
        <w:tc>
          <w:tcPr>
            <w:tcW w:w="1164" w:type="dxa"/>
            <w:vAlign w:val="bottom"/>
          </w:tcPr>
          <w:p w14:paraId="45472C0A"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6714A3B"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18.7760</w:t>
            </w:r>
          </w:p>
        </w:tc>
      </w:tr>
      <w:tr w:rsidR="00AE365A" w14:paraId="0311F7DA" w14:textId="77777777" w:rsidTr="00B04A8E">
        <w:tc>
          <w:tcPr>
            <w:tcW w:w="1696" w:type="dxa"/>
            <w:vAlign w:val="bottom"/>
          </w:tcPr>
          <w:p w14:paraId="65EFF247"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71</w:t>
            </w:r>
          </w:p>
        </w:tc>
        <w:tc>
          <w:tcPr>
            <w:tcW w:w="1616" w:type="dxa"/>
            <w:vAlign w:val="bottom"/>
          </w:tcPr>
          <w:p w14:paraId="412E708C"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Opotiki</w:t>
            </w:r>
          </w:p>
        </w:tc>
        <w:tc>
          <w:tcPr>
            <w:tcW w:w="2268" w:type="dxa"/>
            <w:vAlign w:val="bottom"/>
          </w:tcPr>
          <w:p w14:paraId="2DA09423"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Bay of Plenty</w:t>
            </w:r>
          </w:p>
        </w:tc>
        <w:tc>
          <w:tcPr>
            <w:tcW w:w="1164" w:type="dxa"/>
            <w:vAlign w:val="bottom"/>
          </w:tcPr>
          <w:p w14:paraId="045FBE10"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0.0019</w:t>
            </w:r>
          </w:p>
        </w:tc>
        <w:tc>
          <w:tcPr>
            <w:tcW w:w="1164" w:type="dxa"/>
            <w:vAlign w:val="bottom"/>
          </w:tcPr>
          <w:p w14:paraId="680B19E4"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0CED34DF"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2.0371</w:t>
            </w:r>
          </w:p>
        </w:tc>
      </w:tr>
      <w:tr w:rsidR="00AE365A" w14:paraId="3CE22FCF" w14:textId="77777777" w:rsidTr="00B04A8E">
        <w:tc>
          <w:tcPr>
            <w:tcW w:w="1696" w:type="dxa"/>
            <w:vAlign w:val="bottom"/>
          </w:tcPr>
          <w:p w14:paraId="635E1972"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75</w:t>
            </w:r>
          </w:p>
        </w:tc>
        <w:tc>
          <w:tcPr>
            <w:tcW w:w="1616" w:type="dxa"/>
            <w:vAlign w:val="bottom"/>
          </w:tcPr>
          <w:p w14:paraId="2C030D8C" w14:textId="77777777" w:rsidR="00AE365A" w:rsidRPr="009142D7" w:rsidRDefault="00AE365A" w:rsidP="00B04A8E">
            <w:pPr>
              <w:rPr>
                <w:rFonts w:asciiTheme="majorBidi" w:hAnsiTheme="majorBidi" w:cstheme="majorBidi"/>
                <w:color w:val="000000"/>
                <w:sz w:val="22"/>
                <w:szCs w:val="22"/>
              </w:rPr>
            </w:pPr>
            <w:proofErr w:type="spellStart"/>
            <w:r w:rsidRPr="009142D7">
              <w:rPr>
                <w:rFonts w:asciiTheme="majorBidi" w:hAnsiTheme="majorBidi" w:cstheme="majorBidi"/>
                <w:color w:val="000000"/>
                <w:sz w:val="22"/>
                <w:szCs w:val="22"/>
              </w:rPr>
              <w:t>Waipukurau</w:t>
            </w:r>
            <w:proofErr w:type="spellEnd"/>
          </w:p>
        </w:tc>
        <w:tc>
          <w:tcPr>
            <w:tcW w:w="2268" w:type="dxa"/>
            <w:vAlign w:val="bottom"/>
          </w:tcPr>
          <w:p w14:paraId="0C2B8A41"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Hawke's Bay</w:t>
            </w:r>
          </w:p>
        </w:tc>
        <w:tc>
          <w:tcPr>
            <w:tcW w:w="1164" w:type="dxa"/>
            <w:vAlign w:val="bottom"/>
          </w:tcPr>
          <w:p w14:paraId="7D63A3A5"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0.0030</w:t>
            </w:r>
          </w:p>
        </w:tc>
        <w:tc>
          <w:tcPr>
            <w:tcW w:w="1164" w:type="dxa"/>
            <w:vAlign w:val="bottom"/>
          </w:tcPr>
          <w:p w14:paraId="7289EE72"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308D6ED8"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3.3412</w:t>
            </w:r>
          </w:p>
        </w:tc>
      </w:tr>
      <w:tr w:rsidR="00AE365A" w14:paraId="5081DD59" w14:textId="77777777" w:rsidTr="00B04A8E">
        <w:tc>
          <w:tcPr>
            <w:tcW w:w="1696" w:type="dxa"/>
            <w:vAlign w:val="bottom"/>
          </w:tcPr>
          <w:p w14:paraId="4C50DBC9"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77</w:t>
            </w:r>
          </w:p>
        </w:tc>
        <w:tc>
          <w:tcPr>
            <w:tcW w:w="1616" w:type="dxa"/>
            <w:vAlign w:val="bottom"/>
          </w:tcPr>
          <w:p w14:paraId="550C81B7"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Kaikohe</w:t>
            </w:r>
          </w:p>
        </w:tc>
        <w:tc>
          <w:tcPr>
            <w:tcW w:w="2268" w:type="dxa"/>
            <w:vAlign w:val="bottom"/>
          </w:tcPr>
          <w:p w14:paraId="5BD91F32"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Northland</w:t>
            </w:r>
          </w:p>
        </w:tc>
        <w:tc>
          <w:tcPr>
            <w:tcW w:w="1164" w:type="dxa"/>
            <w:vAlign w:val="bottom"/>
          </w:tcPr>
          <w:p w14:paraId="338EB993"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0.0080</w:t>
            </w:r>
          </w:p>
        </w:tc>
        <w:tc>
          <w:tcPr>
            <w:tcW w:w="1164" w:type="dxa"/>
            <w:vAlign w:val="bottom"/>
          </w:tcPr>
          <w:p w14:paraId="0572124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0433C10E"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8.7467</w:t>
            </w:r>
          </w:p>
        </w:tc>
      </w:tr>
      <w:tr w:rsidR="00AE365A" w14:paraId="18B0ABC1" w14:textId="77777777" w:rsidTr="00B04A8E">
        <w:tc>
          <w:tcPr>
            <w:tcW w:w="1696" w:type="dxa"/>
            <w:vAlign w:val="bottom"/>
          </w:tcPr>
          <w:p w14:paraId="21158011"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80</w:t>
            </w:r>
          </w:p>
        </w:tc>
        <w:tc>
          <w:tcPr>
            <w:tcW w:w="1616" w:type="dxa"/>
            <w:vAlign w:val="bottom"/>
          </w:tcPr>
          <w:p w14:paraId="50DED2C2"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Westport</w:t>
            </w:r>
          </w:p>
        </w:tc>
        <w:tc>
          <w:tcPr>
            <w:tcW w:w="2268" w:type="dxa"/>
            <w:vAlign w:val="bottom"/>
          </w:tcPr>
          <w:p w14:paraId="0F483A5D"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West Coast</w:t>
            </w:r>
          </w:p>
        </w:tc>
        <w:tc>
          <w:tcPr>
            <w:tcW w:w="1164" w:type="dxa"/>
            <w:vAlign w:val="bottom"/>
          </w:tcPr>
          <w:p w14:paraId="60F3CC1D"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0.0020</w:t>
            </w:r>
          </w:p>
        </w:tc>
        <w:tc>
          <w:tcPr>
            <w:tcW w:w="1164" w:type="dxa"/>
            <w:vAlign w:val="bottom"/>
          </w:tcPr>
          <w:p w14:paraId="03EA5592"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4FE17E22"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2.1989</w:t>
            </w:r>
          </w:p>
        </w:tc>
      </w:tr>
      <w:tr w:rsidR="00AE365A" w14:paraId="2E9C4731" w14:textId="77777777" w:rsidTr="00B04A8E">
        <w:tc>
          <w:tcPr>
            <w:tcW w:w="1696" w:type="dxa"/>
            <w:vAlign w:val="bottom"/>
          </w:tcPr>
          <w:p w14:paraId="4CB9D6F1"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82</w:t>
            </w:r>
          </w:p>
        </w:tc>
        <w:tc>
          <w:tcPr>
            <w:tcW w:w="1616" w:type="dxa"/>
            <w:vAlign w:val="bottom"/>
          </w:tcPr>
          <w:p w14:paraId="1077AE80"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Balclutha</w:t>
            </w:r>
          </w:p>
        </w:tc>
        <w:tc>
          <w:tcPr>
            <w:tcW w:w="2268" w:type="dxa"/>
            <w:vAlign w:val="bottom"/>
          </w:tcPr>
          <w:p w14:paraId="5A6E1AE6"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Otago</w:t>
            </w:r>
          </w:p>
        </w:tc>
        <w:tc>
          <w:tcPr>
            <w:tcW w:w="1164" w:type="dxa"/>
            <w:vAlign w:val="bottom"/>
          </w:tcPr>
          <w:p w14:paraId="4D0ABE73"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0.0069</w:t>
            </w:r>
          </w:p>
        </w:tc>
        <w:tc>
          <w:tcPr>
            <w:tcW w:w="1164" w:type="dxa"/>
            <w:vAlign w:val="bottom"/>
          </w:tcPr>
          <w:p w14:paraId="303913E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18BD3B65"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7.5367</w:t>
            </w:r>
          </w:p>
        </w:tc>
      </w:tr>
      <w:tr w:rsidR="00AE365A" w14:paraId="49415BDB" w14:textId="77777777" w:rsidTr="00B04A8E">
        <w:tc>
          <w:tcPr>
            <w:tcW w:w="1696" w:type="dxa"/>
            <w:vAlign w:val="bottom"/>
          </w:tcPr>
          <w:p w14:paraId="3C63F0CD"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84</w:t>
            </w:r>
          </w:p>
        </w:tc>
        <w:tc>
          <w:tcPr>
            <w:tcW w:w="1616" w:type="dxa"/>
            <w:vAlign w:val="bottom"/>
          </w:tcPr>
          <w:p w14:paraId="6119C5AF"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Inglewood</w:t>
            </w:r>
          </w:p>
        </w:tc>
        <w:tc>
          <w:tcPr>
            <w:tcW w:w="2268" w:type="dxa"/>
            <w:vAlign w:val="bottom"/>
          </w:tcPr>
          <w:p w14:paraId="34C1A2EA"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Taranaki</w:t>
            </w:r>
          </w:p>
        </w:tc>
        <w:tc>
          <w:tcPr>
            <w:tcW w:w="1164" w:type="dxa"/>
            <w:vAlign w:val="bottom"/>
          </w:tcPr>
          <w:p w14:paraId="0393CAC5"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0.0027</w:t>
            </w:r>
          </w:p>
        </w:tc>
        <w:tc>
          <w:tcPr>
            <w:tcW w:w="1164" w:type="dxa"/>
            <w:vAlign w:val="bottom"/>
          </w:tcPr>
          <w:p w14:paraId="57D6A049"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FCFFD9D"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3.0099</w:t>
            </w:r>
          </w:p>
        </w:tc>
      </w:tr>
      <w:tr w:rsidR="00AE365A" w14:paraId="3AB6A1E6" w14:textId="77777777" w:rsidTr="00B04A8E">
        <w:tc>
          <w:tcPr>
            <w:tcW w:w="1696" w:type="dxa"/>
            <w:vAlign w:val="bottom"/>
          </w:tcPr>
          <w:p w14:paraId="6B6DC902"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85</w:t>
            </w:r>
          </w:p>
        </w:tc>
        <w:tc>
          <w:tcPr>
            <w:tcW w:w="1616" w:type="dxa"/>
            <w:vAlign w:val="bottom"/>
          </w:tcPr>
          <w:p w14:paraId="6DC53381"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Turangi</w:t>
            </w:r>
          </w:p>
        </w:tc>
        <w:tc>
          <w:tcPr>
            <w:tcW w:w="2268" w:type="dxa"/>
            <w:vAlign w:val="bottom"/>
          </w:tcPr>
          <w:p w14:paraId="4155DDB7"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Waikato</w:t>
            </w:r>
          </w:p>
        </w:tc>
        <w:tc>
          <w:tcPr>
            <w:tcW w:w="1164" w:type="dxa"/>
            <w:vAlign w:val="bottom"/>
          </w:tcPr>
          <w:p w14:paraId="16278715"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0.0126</w:t>
            </w:r>
          </w:p>
        </w:tc>
        <w:tc>
          <w:tcPr>
            <w:tcW w:w="1164" w:type="dxa"/>
            <w:vAlign w:val="bottom"/>
          </w:tcPr>
          <w:p w14:paraId="0575DCB1"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15A01E49"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13.8632</w:t>
            </w:r>
          </w:p>
        </w:tc>
      </w:tr>
      <w:tr w:rsidR="00AE365A" w14:paraId="5E87AACB" w14:textId="77777777" w:rsidTr="00B04A8E">
        <w:tc>
          <w:tcPr>
            <w:tcW w:w="1696" w:type="dxa"/>
            <w:vAlign w:val="bottom"/>
          </w:tcPr>
          <w:p w14:paraId="0B6DC40F"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87</w:t>
            </w:r>
          </w:p>
        </w:tc>
        <w:tc>
          <w:tcPr>
            <w:tcW w:w="1616" w:type="dxa"/>
            <w:vAlign w:val="bottom"/>
          </w:tcPr>
          <w:p w14:paraId="0D071C37"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Riverhead</w:t>
            </w:r>
          </w:p>
        </w:tc>
        <w:tc>
          <w:tcPr>
            <w:tcW w:w="2268" w:type="dxa"/>
            <w:vAlign w:val="bottom"/>
          </w:tcPr>
          <w:p w14:paraId="64D21643"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Auckland</w:t>
            </w:r>
          </w:p>
        </w:tc>
        <w:tc>
          <w:tcPr>
            <w:tcW w:w="1164" w:type="dxa"/>
            <w:vAlign w:val="bottom"/>
          </w:tcPr>
          <w:p w14:paraId="6AACEF97"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0.0360</w:t>
            </w:r>
          </w:p>
        </w:tc>
        <w:tc>
          <w:tcPr>
            <w:tcW w:w="1164" w:type="dxa"/>
            <w:vAlign w:val="bottom"/>
          </w:tcPr>
          <w:p w14:paraId="0770593D"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7C1C236B"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39.1178</w:t>
            </w:r>
          </w:p>
        </w:tc>
      </w:tr>
      <w:tr w:rsidR="00AE365A" w14:paraId="4989B5F5" w14:textId="77777777" w:rsidTr="00B04A8E">
        <w:tc>
          <w:tcPr>
            <w:tcW w:w="1696" w:type="dxa"/>
            <w:vAlign w:val="bottom"/>
          </w:tcPr>
          <w:p w14:paraId="15B00F61"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94</w:t>
            </w:r>
          </w:p>
        </w:tc>
        <w:tc>
          <w:tcPr>
            <w:tcW w:w="1616" w:type="dxa"/>
            <w:vAlign w:val="bottom"/>
          </w:tcPr>
          <w:p w14:paraId="1E4AC9B7"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Foxton</w:t>
            </w:r>
          </w:p>
        </w:tc>
        <w:tc>
          <w:tcPr>
            <w:tcW w:w="2268" w:type="dxa"/>
            <w:vAlign w:val="bottom"/>
          </w:tcPr>
          <w:p w14:paraId="36294447"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Manawatu-Whanganui</w:t>
            </w:r>
          </w:p>
        </w:tc>
        <w:tc>
          <w:tcPr>
            <w:tcW w:w="1164" w:type="dxa"/>
            <w:vAlign w:val="bottom"/>
          </w:tcPr>
          <w:p w14:paraId="682D269E"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0.0041</w:t>
            </w:r>
          </w:p>
        </w:tc>
        <w:tc>
          <w:tcPr>
            <w:tcW w:w="1164" w:type="dxa"/>
            <w:vAlign w:val="bottom"/>
          </w:tcPr>
          <w:p w14:paraId="272F5889"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E645124"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4.4992</w:t>
            </w:r>
          </w:p>
        </w:tc>
      </w:tr>
      <w:tr w:rsidR="00AE365A" w14:paraId="40FD5BFE" w14:textId="77777777" w:rsidTr="00B04A8E">
        <w:tc>
          <w:tcPr>
            <w:tcW w:w="1696" w:type="dxa"/>
            <w:vAlign w:val="bottom"/>
          </w:tcPr>
          <w:p w14:paraId="431656B7"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100</w:t>
            </w:r>
          </w:p>
        </w:tc>
        <w:tc>
          <w:tcPr>
            <w:tcW w:w="1616" w:type="dxa"/>
            <w:vAlign w:val="bottom"/>
          </w:tcPr>
          <w:p w14:paraId="4B0974BC"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Geraldine</w:t>
            </w:r>
          </w:p>
        </w:tc>
        <w:tc>
          <w:tcPr>
            <w:tcW w:w="2268" w:type="dxa"/>
            <w:vAlign w:val="bottom"/>
          </w:tcPr>
          <w:p w14:paraId="44D02A5C"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Canterbury</w:t>
            </w:r>
          </w:p>
        </w:tc>
        <w:tc>
          <w:tcPr>
            <w:tcW w:w="1164" w:type="dxa"/>
            <w:vAlign w:val="bottom"/>
          </w:tcPr>
          <w:p w14:paraId="00F5F201"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0.0032</w:t>
            </w:r>
          </w:p>
        </w:tc>
        <w:tc>
          <w:tcPr>
            <w:tcW w:w="1164" w:type="dxa"/>
            <w:vAlign w:val="bottom"/>
          </w:tcPr>
          <w:p w14:paraId="7651B706"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37E756E5"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3.5123</w:t>
            </w:r>
          </w:p>
        </w:tc>
      </w:tr>
      <w:tr w:rsidR="00AE365A" w14:paraId="297BBA72" w14:textId="77777777" w:rsidTr="00B04A8E">
        <w:tc>
          <w:tcPr>
            <w:tcW w:w="1696" w:type="dxa"/>
            <w:vAlign w:val="bottom"/>
          </w:tcPr>
          <w:p w14:paraId="52BF0014"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101</w:t>
            </w:r>
          </w:p>
        </w:tc>
        <w:tc>
          <w:tcPr>
            <w:tcW w:w="1616" w:type="dxa"/>
            <w:vAlign w:val="bottom"/>
          </w:tcPr>
          <w:p w14:paraId="0472F32F"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Te Anau</w:t>
            </w:r>
          </w:p>
        </w:tc>
        <w:tc>
          <w:tcPr>
            <w:tcW w:w="2268" w:type="dxa"/>
            <w:vAlign w:val="bottom"/>
          </w:tcPr>
          <w:p w14:paraId="48E8057A" w14:textId="77777777" w:rsidR="00AE365A" w:rsidRPr="009142D7" w:rsidRDefault="00AE365A" w:rsidP="00B04A8E">
            <w:pPr>
              <w:rPr>
                <w:rFonts w:asciiTheme="majorBidi" w:hAnsiTheme="majorBidi" w:cstheme="majorBidi"/>
                <w:color w:val="000000"/>
                <w:sz w:val="22"/>
                <w:szCs w:val="22"/>
              </w:rPr>
            </w:pPr>
            <w:r w:rsidRPr="009142D7">
              <w:rPr>
                <w:rFonts w:asciiTheme="majorBidi" w:hAnsiTheme="majorBidi" w:cstheme="majorBidi"/>
                <w:color w:val="000000"/>
                <w:sz w:val="22"/>
                <w:szCs w:val="22"/>
              </w:rPr>
              <w:t>Southland</w:t>
            </w:r>
          </w:p>
        </w:tc>
        <w:tc>
          <w:tcPr>
            <w:tcW w:w="1164" w:type="dxa"/>
            <w:vAlign w:val="bottom"/>
          </w:tcPr>
          <w:p w14:paraId="0826E407" w14:textId="77777777" w:rsidR="00AE365A" w:rsidRPr="009142D7" w:rsidRDefault="00AE365A" w:rsidP="00B04A8E">
            <w:pPr>
              <w:jc w:val="center"/>
              <w:rPr>
                <w:rFonts w:asciiTheme="majorBidi" w:hAnsiTheme="majorBidi" w:cstheme="majorBidi"/>
                <w:color w:val="000000"/>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0.0075</w:t>
            </w:r>
          </w:p>
        </w:tc>
        <w:tc>
          <w:tcPr>
            <w:tcW w:w="1164" w:type="dxa"/>
            <w:vAlign w:val="bottom"/>
          </w:tcPr>
          <w:p w14:paraId="570697B0" w14:textId="77777777" w:rsidR="00AE365A" w:rsidRPr="009142D7" w:rsidRDefault="00AE365A" w:rsidP="00B04A8E">
            <w:pPr>
              <w:jc w:val="center"/>
              <w:rPr>
                <w:rFonts w:asciiTheme="majorBidi" w:hAnsiTheme="majorBidi" w:cstheme="majorBidi"/>
                <w:color w:val="000000"/>
                <w:sz w:val="22"/>
                <w:szCs w:val="22"/>
              </w:rPr>
            </w:pPr>
            <w:r w:rsidRPr="009142D7">
              <w:rPr>
                <w:rFonts w:asciiTheme="majorBidi" w:hAnsiTheme="majorBidi" w:cstheme="majorBidi"/>
                <w:color w:val="000000"/>
                <w:sz w:val="22"/>
                <w:szCs w:val="22"/>
              </w:rPr>
              <w:t>0.0009</w:t>
            </w:r>
          </w:p>
        </w:tc>
        <w:tc>
          <w:tcPr>
            <w:tcW w:w="1164" w:type="dxa"/>
            <w:gridSpan w:val="2"/>
            <w:vAlign w:val="bottom"/>
          </w:tcPr>
          <w:p w14:paraId="32F62F27" w14:textId="77777777" w:rsidR="00AE365A" w:rsidRPr="009142D7" w:rsidRDefault="00AE365A" w:rsidP="00B04A8E">
            <w:pPr>
              <w:tabs>
                <w:tab w:val="decimal" w:pos="397"/>
              </w:tabs>
              <w:rPr>
                <w:rFonts w:asciiTheme="majorBidi" w:hAnsiTheme="majorBidi" w:cstheme="majorBidi"/>
                <w:color w:val="000000"/>
                <w:sz w:val="22"/>
                <w:szCs w:val="22"/>
              </w:rPr>
            </w:pPr>
            <w:r w:rsidRPr="009142D7">
              <w:rPr>
                <w:rFonts w:asciiTheme="majorBidi" w:hAnsiTheme="majorBidi" w:cstheme="majorBidi"/>
                <w:color w:val="000000"/>
                <w:sz w:val="22"/>
                <w:szCs w:val="22"/>
              </w:rPr>
              <w:t>8.2667</w:t>
            </w:r>
          </w:p>
        </w:tc>
      </w:tr>
      <w:tr w:rsidR="00AE365A" w14:paraId="4AD06A10" w14:textId="77777777" w:rsidTr="00B04A8E">
        <w:tc>
          <w:tcPr>
            <w:tcW w:w="1696" w:type="dxa"/>
            <w:vAlign w:val="bottom"/>
          </w:tcPr>
          <w:p w14:paraId="0AAC61A3"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106</w:t>
            </w:r>
          </w:p>
        </w:tc>
        <w:tc>
          <w:tcPr>
            <w:tcW w:w="1616" w:type="dxa"/>
            <w:vAlign w:val="bottom"/>
          </w:tcPr>
          <w:p w14:paraId="122A62DD"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Greytown</w:t>
            </w:r>
          </w:p>
        </w:tc>
        <w:tc>
          <w:tcPr>
            <w:tcW w:w="2268" w:type="dxa"/>
            <w:vAlign w:val="bottom"/>
          </w:tcPr>
          <w:p w14:paraId="7F1F780C"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Wellington</w:t>
            </w:r>
          </w:p>
        </w:tc>
        <w:tc>
          <w:tcPr>
            <w:tcW w:w="1164" w:type="dxa"/>
            <w:vAlign w:val="bottom"/>
          </w:tcPr>
          <w:p w14:paraId="754D544D"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0.0044</w:t>
            </w:r>
          </w:p>
        </w:tc>
        <w:tc>
          <w:tcPr>
            <w:tcW w:w="1164" w:type="dxa"/>
            <w:vAlign w:val="bottom"/>
          </w:tcPr>
          <w:p w14:paraId="32A7F633"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709CCF7A"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4.9507</w:t>
            </w:r>
          </w:p>
        </w:tc>
      </w:tr>
      <w:tr w:rsidR="00AE365A" w14:paraId="310DC6A0" w14:textId="77777777" w:rsidTr="00B04A8E">
        <w:tc>
          <w:tcPr>
            <w:tcW w:w="1696" w:type="dxa"/>
            <w:vAlign w:val="bottom"/>
          </w:tcPr>
          <w:p w14:paraId="3881D3A3"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119</w:t>
            </w:r>
          </w:p>
        </w:tc>
        <w:tc>
          <w:tcPr>
            <w:tcW w:w="1616" w:type="dxa"/>
            <w:vAlign w:val="bottom"/>
          </w:tcPr>
          <w:p w14:paraId="67A0D64D"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Otaki Beach</w:t>
            </w:r>
          </w:p>
        </w:tc>
        <w:tc>
          <w:tcPr>
            <w:tcW w:w="2268" w:type="dxa"/>
            <w:vAlign w:val="bottom"/>
          </w:tcPr>
          <w:p w14:paraId="204A29C2"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Wellington</w:t>
            </w:r>
          </w:p>
        </w:tc>
        <w:tc>
          <w:tcPr>
            <w:tcW w:w="1164" w:type="dxa"/>
            <w:vAlign w:val="bottom"/>
          </w:tcPr>
          <w:p w14:paraId="5830AC86"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0.0360</w:t>
            </w:r>
          </w:p>
        </w:tc>
        <w:tc>
          <w:tcPr>
            <w:tcW w:w="1164" w:type="dxa"/>
            <w:vAlign w:val="bottom"/>
          </w:tcPr>
          <w:p w14:paraId="5E578198"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E139A28"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40.1079</w:t>
            </w:r>
          </w:p>
        </w:tc>
      </w:tr>
      <w:tr w:rsidR="00AE365A" w14:paraId="65962969" w14:textId="77777777" w:rsidTr="00B04A8E">
        <w:tc>
          <w:tcPr>
            <w:tcW w:w="1696" w:type="dxa"/>
            <w:vAlign w:val="bottom"/>
          </w:tcPr>
          <w:p w14:paraId="7889B6A6"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120</w:t>
            </w:r>
          </w:p>
        </w:tc>
        <w:tc>
          <w:tcPr>
            <w:tcW w:w="1616" w:type="dxa"/>
            <w:vAlign w:val="bottom"/>
          </w:tcPr>
          <w:p w14:paraId="5630E5EE"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Foxton Beach</w:t>
            </w:r>
          </w:p>
        </w:tc>
        <w:tc>
          <w:tcPr>
            <w:tcW w:w="2268" w:type="dxa"/>
            <w:vAlign w:val="bottom"/>
          </w:tcPr>
          <w:p w14:paraId="2CF1BD65"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Manawatu-Whanganui</w:t>
            </w:r>
          </w:p>
        </w:tc>
        <w:tc>
          <w:tcPr>
            <w:tcW w:w="1164" w:type="dxa"/>
            <w:vAlign w:val="bottom"/>
          </w:tcPr>
          <w:p w14:paraId="50FB8EAD"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0.0024</w:t>
            </w:r>
          </w:p>
        </w:tc>
        <w:tc>
          <w:tcPr>
            <w:tcW w:w="1164" w:type="dxa"/>
            <w:vAlign w:val="bottom"/>
          </w:tcPr>
          <w:p w14:paraId="5D9D6B85"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7B32C400"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2.5410</w:t>
            </w:r>
          </w:p>
        </w:tc>
      </w:tr>
      <w:tr w:rsidR="00AE365A" w14:paraId="3CEE4D1A" w14:textId="77777777" w:rsidTr="00B04A8E">
        <w:tc>
          <w:tcPr>
            <w:tcW w:w="1696" w:type="dxa"/>
            <w:vAlign w:val="bottom"/>
          </w:tcPr>
          <w:p w14:paraId="4CBF9343"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123</w:t>
            </w:r>
          </w:p>
        </w:tc>
        <w:tc>
          <w:tcPr>
            <w:tcW w:w="1616" w:type="dxa"/>
            <w:vAlign w:val="bottom"/>
          </w:tcPr>
          <w:p w14:paraId="6C813D51"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Milton</w:t>
            </w:r>
          </w:p>
        </w:tc>
        <w:tc>
          <w:tcPr>
            <w:tcW w:w="2268" w:type="dxa"/>
            <w:vAlign w:val="bottom"/>
          </w:tcPr>
          <w:p w14:paraId="351A2D4F"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Otago</w:t>
            </w:r>
          </w:p>
        </w:tc>
        <w:tc>
          <w:tcPr>
            <w:tcW w:w="1164" w:type="dxa"/>
            <w:vAlign w:val="bottom"/>
          </w:tcPr>
          <w:p w14:paraId="4849044B"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0.0048</w:t>
            </w:r>
          </w:p>
        </w:tc>
        <w:tc>
          <w:tcPr>
            <w:tcW w:w="1164" w:type="dxa"/>
            <w:vAlign w:val="bottom"/>
          </w:tcPr>
          <w:p w14:paraId="34368DDC"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2BECF7E1"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5.2940</w:t>
            </w:r>
          </w:p>
        </w:tc>
      </w:tr>
      <w:tr w:rsidR="00AE365A" w14:paraId="6E8BDC01" w14:textId="77777777" w:rsidTr="00B04A8E">
        <w:tc>
          <w:tcPr>
            <w:tcW w:w="1696" w:type="dxa"/>
            <w:vAlign w:val="bottom"/>
          </w:tcPr>
          <w:p w14:paraId="1D10BA89"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126</w:t>
            </w:r>
          </w:p>
        </w:tc>
        <w:tc>
          <w:tcPr>
            <w:tcW w:w="1616" w:type="dxa"/>
            <w:vAlign w:val="bottom"/>
          </w:tcPr>
          <w:p w14:paraId="25D0D650"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Clive</w:t>
            </w:r>
          </w:p>
        </w:tc>
        <w:tc>
          <w:tcPr>
            <w:tcW w:w="2268" w:type="dxa"/>
            <w:vAlign w:val="bottom"/>
          </w:tcPr>
          <w:p w14:paraId="57BA8BE9"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Hawke's Bay</w:t>
            </w:r>
          </w:p>
        </w:tc>
        <w:tc>
          <w:tcPr>
            <w:tcW w:w="1164" w:type="dxa"/>
            <w:vAlign w:val="bottom"/>
          </w:tcPr>
          <w:p w14:paraId="2A96431C"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0.0446</w:t>
            </w:r>
          </w:p>
        </w:tc>
        <w:tc>
          <w:tcPr>
            <w:tcW w:w="1164" w:type="dxa"/>
            <w:vAlign w:val="bottom"/>
          </w:tcPr>
          <w:p w14:paraId="61995E5D"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53C603C7"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49.0209</w:t>
            </w:r>
          </w:p>
        </w:tc>
      </w:tr>
      <w:tr w:rsidR="00AE365A" w14:paraId="78BF757A" w14:textId="77777777" w:rsidTr="00B04A8E">
        <w:tc>
          <w:tcPr>
            <w:tcW w:w="1696" w:type="dxa"/>
            <w:vAlign w:val="bottom"/>
          </w:tcPr>
          <w:p w14:paraId="06841617"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130</w:t>
            </w:r>
          </w:p>
        </w:tc>
        <w:tc>
          <w:tcPr>
            <w:tcW w:w="1616" w:type="dxa"/>
            <w:vAlign w:val="bottom"/>
          </w:tcPr>
          <w:p w14:paraId="1450306C"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Edgecumbe</w:t>
            </w:r>
          </w:p>
        </w:tc>
        <w:tc>
          <w:tcPr>
            <w:tcW w:w="2268" w:type="dxa"/>
            <w:vAlign w:val="bottom"/>
          </w:tcPr>
          <w:p w14:paraId="635E5E52"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Bay of Plenty</w:t>
            </w:r>
          </w:p>
        </w:tc>
        <w:tc>
          <w:tcPr>
            <w:tcW w:w="1164" w:type="dxa"/>
            <w:vAlign w:val="bottom"/>
          </w:tcPr>
          <w:p w14:paraId="36556DBF"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0.0021</w:t>
            </w:r>
          </w:p>
        </w:tc>
        <w:tc>
          <w:tcPr>
            <w:tcW w:w="1164" w:type="dxa"/>
            <w:vAlign w:val="bottom"/>
          </w:tcPr>
          <w:p w14:paraId="065FF8D4"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2AD99896"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2.3316</w:t>
            </w:r>
          </w:p>
        </w:tc>
      </w:tr>
      <w:tr w:rsidR="00AE365A" w14:paraId="0033E87C" w14:textId="77777777" w:rsidTr="00B04A8E">
        <w:tc>
          <w:tcPr>
            <w:tcW w:w="1696" w:type="dxa"/>
            <w:vAlign w:val="bottom"/>
          </w:tcPr>
          <w:p w14:paraId="640AB1FE"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132</w:t>
            </w:r>
          </w:p>
        </w:tc>
        <w:tc>
          <w:tcPr>
            <w:tcW w:w="1616" w:type="dxa"/>
            <w:vAlign w:val="bottom"/>
          </w:tcPr>
          <w:p w14:paraId="095B540A"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Twizel</w:t>
            </w:r>
          </w:p>
        </w:tc>
        <w:tc>
          <w:tcPr>
            <w:tcW w:w="2268" w:type="dxa"/>
            <w:vAlign w:val="bottom"/>
          </w:tcPr>
          <w:p w14:paraId="0FB3B34A" w14:textId="77777777" w:rsidR="00AE365A" w:rsidRPr="009142D7" w:rsidRDefault="00AE365A" w:rsidP="00B04A8E">
            <w:pPr>
              <w:rPr>
                <w:rFonts w:asciiTheme="majorBidi" w:hAnsiTheme="majorBidi" w:cstheme="majorBidi"/>
                <w:sz w:val="22"/>
                <w:szCs w:val="22"/>
              </w:rPr>
            </w:pPr>
            <w:r w:rsidRPr="009142D7">
              <w:rPr>
                <w:rFonts w:asciiTheme="majorBidi" w:hAnsiTheme="majorBidi" w:cstheme="majorBidi"/>
                <w:color w:val="000000"/>
                <w:sz w:val="22"/>
                <w:szCs w:val="22"/>
              </w:rPr>
              <w:t>Canterbury</w:t>
            </w:r>
          </w:p>
        </w:tc>
        <w:tc>
          <w:tcPr>
            <w:tcW w:w="1164" w:type="dxa"/>
            <w:vAlign w:val="bottom"/>
          </w:tcPr>
          <w:p w14:paraId="7BF1E570" w14:textId="77777777" w:rsidR="00AE365A" w:rsidRPr="009142D7" w:rsidRDefault="00AE365A" w:rsidP="00B04A8E">
            <w:pPr>
              <w:jc w:val="center"/>
              <w:rPr>
                <w:rFonts w:asciiTheme="majorBidi" w:hAnsiTheme="majorBidi" w:cstheme="majorBidi"/>
                <w:sz w:val="22"/>
                <w:szCs w:val="22"/>
              </w:rPr>
            </w:pPr>
            <w:r>
              <w:rPr>
                <w:rFonts w:asciiTheme="majorBidi" w:hAnsiTheme="majorBidi" w:cstheme="majorBidi"/>
                <w:color w:val="000000"/>
                <w:sz w:val="22"/>
                <w:szCs w:val="22"/>
              </w:rPr>
              <w:t>−</w:t>
            </w:r>
            <w:r w:rsidRPr="009142D7">
              <w:rPr>
                <w:rFonts w:asciiTheme="majorBidi" w:hAnsiTheme="majorBidi" w:cstheme="majorBidi"/>
                <w:color w:val="000000"/>
                <w:sz w:val="22"/>
                <w:szCs w:val="22"/>
              </w:rPr>
              <w:t>0.0152</w:t>
            </w:r>
          </w:p>
        </w:tc>
        <w:tc>
          <w:tcPr>
            <w:tcW w:w="1164" w:type="dxa"/>
            <w:vAlign w:val="bottom"/>
          </w:tcPr>
          <w:p w14:paraId="09FBE570" w14:textId="77777777" w:rsidR="00AE365A" w:rsidRPr="009142D7" w:rsidRDefault="00AE365A" w:rsidP="00B04A8E">
            <w:pPr>
              <w:jc w:val="center"/>
              <w:rPr>
                <w:rFonts w:asciiTheme="majorBidi" w:hAnsiTheme="majorBidi" w:cstheme="majorBidi"/>
                <w:sz w:val="22"/>
                <w:szCs w:val="22"/>
              </w:rPr>
            </w:pPr>
            <w:r w:rsidRPr="009142D7">
              <w:rPr>
                <w:rFonts w:asciiTheme="majorBidi" w:hAnsiTheme="majorBidi" w:cstheme="majorBidi"/>
                <w:color w:val="000000"/>
                <w:sz w:val="22"/>
                <w:szCs w:val="22"/>
              </w:rPr>
              <w:t>0.0009</w:t>
            </w:r>
          </w:p>
        </w:tc>
        <w:tc>
          <w:tcPr>
            <w:tcW w:w="1164" w:type="dxa"/>
            <w:gridSpan w:val="2"/>
            <w:vAlign w:val="bottom"/>
          </w:tcPr>
          <w:p w14:paraId="1F9DB4F5" w14:textId="77777777" w:rsidR="00AE365A" w:rsidRPr="009142D7" w:rsidRDefault="00AE365A" w:rsidP="00B04A8E">
            <w:pPr>
              <w:tabs>
                <w:tab w:val="decimal" w:pos="397"/>
              </w:tabs>
              <w:rPr>
                <w:rFonts w:asciiTheme="majorBidi" w:hAnsiTheme="majorBidi" w:cstheme="majorBidi"/>
                <w:sz w:val="22"/>
                <w:szCs w:val="22"/>
              </w:rPr>
            </w:pPr>
            <w:r w:rsidRPr="009142D7">
              <w:rPr>
                <w:rFonts w:asciiTheme="majorBidi" w:hAnsiTheme="majorBidi" w:cstheme="majorBidi"/>
                <w:color w:val="000000"/>
                <w:sz w:val="22"/>
                <w:szCs w:val="22"/>
              </w:rPr>
              <w:t>16.6081</w:t>
            </w:r>
          </w:p>
        </w:tc>
      </w:tr>
      <w:tr w:rsidR="00AE365A" w14:paraId="2C290283" w14:textId="77777777" w:rsidTr="00B04A8E">
        <w:trPr>
          <w:gridAfter w:val="1"/>
          <w:wAfter w:w="56" w:type="dxa"/>
        </w:trPr>
        <w:tc>
          <w:tcPr>
            <w:tcW w:w="9016" w:type="dxa"/>
            <w:gridSpan w:val="6"/>
            <w:tcBorders>
              <w:top w:val="single" w:sz="4" w:space="0" w:color="auto"/>
            </w:tcBorders>
          </w:tcPr>
          <w:p w14:paraId="626A897A" w14:textId="77777777" w:rsidR="00AE365A" w:rsidRPr="002719BC" w:rsidRDefault="00AE365A" w:rsidP="00B04A8E">
            <w:pPr>
              <w:spacing w:before="40"/>
              <w:rPr>
                <w:rFonts w:asciiTheme="majorBidi" w:hAnsiTheme="majorBidi" w:cstheme="majorBidi"/>
                <w:sz w:val="20"/>
                <w:szCs w:val="20"/>
              </w:rPr>
            </w:pPr>
            <w:r>
              <w:rPr>
                <w:rFonts w:asciiTheme="majorBidi" w:hAnsiTheme="majorBidi" w:cstheme="majorBidi"/>
                <w:i/>
                <w:iCs/>
                <w:sz w:val="20"/>
                <w:szCs w:val="20"/>
              </w:rPr>
              <w:t>Note:</w:t>
            </w:r>
            <w:r>
              <w:rPr>
                <w:rFonts w:asciiTheme="majorBidi" w:hAnsiTheme="majorBidi" w:cstheme="majorBidi"/>
                <w:sz w:val="20"/>
                <w:szCs w:val="20"/>
              </w:rPr>
              <w:t xml:space="preserve"> The population rank is also the map key in Figure 4. Robust standard errors clustered at city/town-level.</w:t>
            </w:r>
          </w:p>
        </w:tc>
      </w:tr>
    </w:tbl>
    <w:p w14:paraId="35BF3254" w14:textId="77777777" w:rsidR="00AE365A" w:rsidRDefault="00AE365A" w:rsidP="00E44F40">
      <w:pPr>
        <w:ind w:firstLine="720"/>
        <w:jc w:val="both"/>
        <w:rPr>
          <w:rFonts w:ascii="Times New Roman" w:hAnsi="Times New Roman" w:cs="Times New Roman"/>
        </w:rPr>
      </w:pPr>
    </w:p>
    <w:p w14:paraId="361984B9" w14:textId="3C5220C0" w:rsidR="00D139FA" w:rsidRDefault="006E1FA4" w:rsidP="00E44F40">
      <w:pPr>
        <w:ind w:firstLine="720"/>
        <w:jc w:val="both"/>
        <w:rPr>
          <w:rFonts w:ascii="Times New Roman" w:hAnsi="Times New Roman" w:cs="Times New Roman"/>
        </w:rPr>
      </w:pPr>
      <w:r>
        <w:rPr>
          <w:rFonts w:ascii="Times New Roman" w:hAnsi="Times New Roman" w:cs="Times New Roman"/>
        </w:rPr>
        <w:lastRenderedPageBreak/>
        <w:t>While the switch from sheep to dairy farming gives a more intensive use of land with higher on-farm labour use, far less labour is used to process dairy products for export than was used for exports from the sheep industry. Moreover, dairy industry expansion occurred elsewhere, such as Canterbury and Southland, and so did not necessarily offset the employment losses from closure of meat works and wool processing plants.</w:t>
      </w:r>
      <w:r>
        <w:rPr>
          <w:rStyle w:val="FootnoteReference"/>
          <w:rFonts w:ascii="Times New Roman" w:hAnsi="Times New Roman" w:cs="Times New Roman"/>
        </w:rPr>
        <w:footnoteReference w:id="13"/>
      </w:r>
      <w:r>
        <w:rPr>
          <w:rFonts w:ascii="Times New Roman" w:hAnsi="Times New Roman" w:cs="Times New Roman"/>
        </w:rPr>
        <w:t xml:space="preserve"> The conversion of North Island hill country farms to forestry has also</w:t>
      </w:r>
      <w:r w:rsidRPr="00517666">
        <w:rPr>
          <w:rFonts w:ascii="Times New Roman" w:hAnsi="Times New Roman" w:cs="Times New Roman"/>
        </w:rPr>
        <w:t xml:space="preserve"> adversely affected rural towns, especially in the Gisborne, </w:t>
      </w:r>
      <w:r w:rsidRPr="00517666">
        <w:rPr>
          <w:rFonts w:asciiTheme="majorBidi" w:hAnsiTheme="majorBidi" w:cstheme="majorBidi"/>
          <w:color w:val="000000"/>
        </w:rPr>
        <w:t>Manawatu and Hawke’s Bay regions</w:t>
      </w:r>
      <w:r>
        <w:rPr>
          <w:rFonts w:asciiTheme="majorBidi" w:hAnsiTheme="majorBidi" w:cstheme="majorBidi"/>
          <w:color w:val="000000"/>
        </w:rPr>
        <w:t xml:space="preserve">, for two reasons. First, there is less labour needed to plant and maintain trees (primarily </w:t>
      </w:r>
      <w:r>
        <w:rPr>
          <w:rFonts w:asciiTheme="majorBidi" w:hAnsiTheme="majorBidi" w:cstheme="majorBidi"/>
          <w:i/>
          <w:iCs/>
          <w:color w:val="000000"/>
        </w:rPr>
        <w:t>Pinus Radiata</w:t>
      </w:r>
      <w:r>
        <w:rPr>
          <w:rFonts w:asciiTheme="majorBidi" w:hAnsiTheme="majorBidi" w:cstheme="majorBidi"/>
          <w:color w:val="000000"/>
        </w:rPr>
        <w:t xml:space="preserve">) especially where the tree-planting is for carbon-farming reasons and so there may be little harvest-related labour demand. Second, even with expansion of forested area, there has been a sustained contraction in </w:t>
      </w:r>
      <w:r w:rsidRPr="00806850">
        <w:rPr>
          <w:rFonts w:ascii="Times New Roman" w:hAnsi="Times New Roman" w:cs="Times New Roman"/>
        </w:rPr>
        <w:t xml:space="preserve">timber milling and wood processing </w:t>
      </w:r>
      <w:r>
        <w:rPr>
          <w:rFonts w:ascii="Times New Roman" w:hAnsi="Times New Roman" w:cs="Times New Roman"/>
        </w:rPr>
        <w:t xml:space="preserve">due to </w:t>
      </w:r>
      <w:r w:rsidRPr="00806850">
        <w:rPr>
          <w:rFonts w:ascii="Times New Roman" w:hAnsi="Times New Roman" w:cs="Times New Roman"/>
        </w:rPr>
        <w:t xml:space="preserve">high domestic energy prices and </w:t>
      </w:r>
      <w:r>
        <w:rPr>
          <w:rFonts w:ascii="Times New Roman" w:hAnsi="Times New Roman" w:cs="Times New Roman"/>
        </w:rPr>
        <w:t xml:space="preserve">so </w:t>
      </w:r>
      <w:r w:rsidRPr="00806850">
        <w:rPr>
          <w:rFonts w:ascii="Times New Roman" w:hAnsi="Times New Roman" w:cs="Times New Roman"/>
        </w:rPr>
        <w:t xml:space="preserve">more wood </w:t>
      </w:r>
      <w:r>
        <w:rPr>
          <w:rFonts w:ascii="Times New Roman" w:hAnsi="Times New Roman" w:cs="Times New Roman"/>
        </w:rPr>
        <w:t xml:space="preserve">is </w:t>
      </w:r>
      <w:r w:rsidRPr="00806850">
        <w:rPr>
          <w:rFonts w:ascii="Times New Roman" w:hAnsi="Times New Roman" w:cs="Times New Roman"/>
        </w:rPr>
        <w:t>being exported as logs</w:t>
      </w:r>
      <w:r>
        <w:rPr>
          <w:rFonts w:ascii="Times New Roman" w:hAnsi="Times New Roman" w:cs="Times New Roman"/>
        </w:rPr>
        <w:t>.</w:t>
      </w:r>
      <w:r w:rsidRPr="00806850">
        <w:rPr>
          <w:rFonts w:ascii="Times New Roman" w:hAnsi="Times New Roman" w:cs="Times New Roman"/>
        </w:rPr>
        <w:t xml:space="preserve"> For </w:t>
      </w:r>
      <w:r>
        <w:rPr>
          <w:rFonts w:ascii="Times New Roman" w:hAnsi="Times New Roman" w:cs="Times New Roman"/>
        </w:rPr>
        <w:t>example</w:t>
      </w:r>
      <w:r w:rsidRPr="00806850">
        <w:rPr>
          <w:rFonts w:ascii="Times New Roman" w:hAnsi="Times New Roman" w:cs="Times New Roman"/>
        </w:rPr>
        <w:t>,</w:t>
      </w:r>
      <w:r>
        <w:rPr>
          <w:rFonts w:ascii="Times New Roman" w:hAnsi="Times New Roman" w:cs="Times New Roman"/>
        </w:rPr>
        <w:t xml:space="preserve"> the closure </w:t>
      </w:r>
      <w:r w:rsidR="004A7D6A">
        <w:rPr>
          <w:rFonts w:ascii="Times New Roman" w:hAnsi="Times New Roman" w:cs="Times New Roman"/>
        </w:rPr>
        <w:t xml:space="preserve">of </w:t>
      </w:r>
      <w:r w:rsidR="004A7D6A" w:rsidRPr="00806850">
        <w:rPr>
          <w:rFonts w:ascii="Times New Roman" w:hAnsi="Times New Roman" w:cs="Times New Roman"/>
        </w:rPr>
        <w:t>Mataura</w:t>
      </w:r>
      <w:r>
        <w:rPr>
          <w:rFonts w:ascii="Times New Roman" w:hAnsi="Times New Roman" w:cs="Times New Roman"/>
        </w:rPr>
        <w:t xml:space="preserve"> Paper in 2000 negatively affected nearby Gore, and closure of the Kopu sawmill in 2008 affected Thames (which had earlier been affected by closure of the Toyota car assembly plant after the removal of tariffs in 1987). More recently, there have been mill closures near </w:t>
      </w:r>
      <w:r w:rsidRPr="00806850">
        <w:rPr>
          <w:rFonts w:ascii="Times New Roman" w:hAnsi="Times New Roman" w:cs="Times New Roman"/>
        </w:rPr>
        <w:t>Edgecumbe</w:t>
      </w:r>
      <w:r>
        <w:rPr>
          <w:rFonts w:ascii="Times New Roman" w:hAnsi="Times New Roman" w:cs="Times New Roman"/>
        </w:rPr>
        <w:t xml:space="preserve">, </w:t>
      </w:r>
      <w:r w:rsidRPr="00806850">
        <w:rPr>
          <w:rFonts w:ascii="Times New Roman" w:hAnsi="Times New Roman" w:cs="Times New Roman"/>
        </w:rPr>
        <w:t>Kaikohe</w:t>
      </w:r>
      <w:r>
        <w:rPr>
          <w:rFonts w:ascii="Times New Roman" w:hAnsi="Times New Roman" w:cs="Times New Roman"/>
        </w:rPr>
        <w:t xml:space="preserve">, </w:t>
      </w:r>
      <w:r w:rsidRPr="009142D7">
        <w:rPr>
          <w:rFonts w:asciiTheme="majorBidi" w:hAnsiTheme="majorBidi" w:cstheme="majorBidi"/>
          <w:color w:val="000000"/>
          <w:sz w:val="22"/>
          <w:szCs w:val="22"/>
        </w:rPr>
        <w:t>Taumarunui</w:t>
      </w:r>
      <w:r>
        <w:rPr>
          <w:rFonts w:ascii="Times New Roman" w:hAnsi="Times New Roman" w:cs="Times New Roman"/>
        </w:rPr>
        <w:t xml:space="preserve"> and </w:t>
      </w:r>
      <w:r w:rsidRPr="00806850">
        <w:rPr>
          <w:rFonts w:ascii="Times New Roman" w:hAnsi="Times New Roman" w:cs="Times New Roman"/>
        </w:rPr>
        <w:t>Turangi</w:t>
      </w:r>
      <w:r>
        <w:rPr>
          <w:rFonts w:ascii="Times New Roman" w:hAnsi="Times New Roman" w:cs="Times New Roman"/>
        </w:rPr>
        <w:t>.</w:t>
      </w:r>
    </w:p>
    <w:p w14:paraId="400533C3" w14:textId="1D561852" w:rsidR="00FF778E" w:rsidRDefault="00FF778E" w:rsidP="00E44F40">
      <w:pPr>
        <w:ind w:firstLine="720"/>
        <w:jc w:val="both"/>
        <w:rPr>
          <w:rFonts w:asciiTheme="majorBidi" w:hAnsiTheme="majorBidi" w:cstheme="majorBidi"/>
        </w:rPr>
      </w:pPr>
      <w:r w:rsidRPr="00FF778E">
        <w:rPr>
          <w:rFonts w:asciiTheme="majorBidi" w:hAnsiTheme="majorBidi" w:cstheme="majorBidi"/>
        </w:rPr>
        <w:t xml:space="preserve">Resource depletion and changing energy policies have also contributed to contraction in some towns. The depletion of gas fields in Taranaki </w:t>
      </w:r>
      <w:r>
        <w:rPr>
          <w:rFonts w:asciiTheme="majorBidi" w:hAnsiTheme="majorBidi" w:cstheme="majorBidi"/>
        </w:rPr>
        <w:t xml:space="preserve">affected </w:t>
      </w:r>
      <w:r w:rsidRPr="00FF778E">
        <w:rPr>
          <w:rFonts w:asciiTheme="majorBidi" w:hAnsiTheme="majorBidi" w:cstheme="majorBidi"/>
        </w:rPr>
        <w:t xml:space="preserve">settlements such as Stratford and Hawera. On the West Coast, declining demand for coal and restructuring of the mining sector contributed to contractions in towns such as Westport following the collapse of Solid Energy and the subsequent downsizing of mining operations. In Waihi, suspension of mining at the Martha Pit in 2015 reduced economic activity in a town whose development had long been tied to mineral extraction. These examples </w:t>
      </w:r>
      <w:r>
        <w:rPr>
          <w:rFonts w:asciiTheme="majorBidi" w:hAnsiTheme="majorBidi" w:cstheme="majorBidi"/>
        </w:rPr>
        <w:t>show</w:t>
      </w:r>
      <w:r w:rsidRPr="00FF778E">
        <w:rPr>
          <w:rFonts w:asciiTheme="majorBidi" w:hAnsiTheme="majorBidi" w:cstheme="majorBidi"/>
        </w:rPr>
        <w:t xml:space="preserve"> how towns </w:t>
      </w:r>
      <w:r>
        <w:rPr>
          <w:rFonts w:asciiTheme="majorBidi" w:hAnsiTheme="majorBidi" w:cstheme="majorBidi"/>
        </w:rPr>
        <w:t xml:space="preserve">dependent </w:t>
      </w:r>
      <w:r w:rsidRPr="00FF778E">
        <w:rPr>
          <w:rFonts w:asciiTheme="majorBidi" w:hAnsiTheme="majorBidi" w:cstheme="majorBidi"/>
        </w:rPr>
        <w:t>on non-renewable resources can face contraction when resource endowments diminish, extraction becomes uneconomic, or environmental policies alter the viability of particular industries.</w:t>
      </w:r>
    </w:p>
    <w:p w14:paraId="72C99EA0" w14:textId="339371C2" w:rsidR="00FF778E" w:rsidRDefault="00FF778E" w:rsidP="00E44F40">
      <w:pPr>
        <w:ind w:firstLine="720"/>
        <w:jc w:val="both"/>
        <w:rPr>
          <w:rFonts w:asciiTheme="majorBidi" w:hAnsiTheme="majorBidi" w:cstheme="majorBidi"/>
        </w:rPr>
      </w:pPr>
      <w:r w:rsidRPr="00FF778E">
        <w:rPr>
          <w:rFonts w:asciiTheme="majorBidi" w:hAnsiTheme="majorBidi" w:cstheme="majorBidi"/>
        </w:rPr>
        <w:t xml:space="preserve">Natural hazards and changing perceptions of environmental risk may also influence long-run urban trajectories. Edgecumbe provides a notable example, where </w:t>
      </w:r>
      <w:r w:rsidR="001A7E26">
        <w:rPr>
          <w:rFonts w:asciiTheme="majorBidi" w:hAnsiTheme="majorBidi" w:cstheme="majorBidi"/>
        </w:rPr>
        <w:t xml:space="preserve">an earthquake and then a sequence floods </w:t>
      </w:r>
      <w:r w:rsidRPr="00FF778E">
        <w:rPr>
          <w:rFonts w:asciiTheme="majorBidi" w:hAnsiTheme="majorBidi" w:cstheme="majorBidi"/>
        </w:rPr>
        <w:t xml:space="preserve">have </w:t>
      </w:r>
      <w:r w:rsidR="001A7E26">
        <w:rPr>
          <w:rFonts w:asciiTheme="majorBidi" w:hAnsiTheme="majorBidi" w:cstheme="majorBidi"/>
        </w:rPr>
        <w:t xml:space="preserve">harmed urban </w:t>
      </w:r>
      <w:r w:rsidRPr="00FF778E">
        <w:rPr>
          <w:rFonts w:asciiTheme="majorBidi" w:hAnsiTheme="majorBidi" w:cstheme="majorBidi"/>
        </w:rPr>
        <w:t>development.</w:t>
      </w:r>
      <w:r>
        <w:rPr>
          <w:rStyle w:val="FootnoteReference"/>
          <w:rFonts w:asciiTheme="majorBidi" w:hAnsiTheme="majorBidi" w:cstheme="majorBidi"/>
        </w:rPr>
        <w:footnoteReference w:id="14"/>
      </w:r>
      <w:r w:rsidRPr="00FF778E">
        <w:rPr>
          <w:rFonts w:asciiTheme="majorBidi" w:hAnsiTheme="majorBidi" w:cstheme="majorBidi"/>
        </w:rPr>
        <w:t xml:space="preserve"> Other towns, including Ngongotah</w:t>
      </w:r>
      <w:r w:rsidR="001A7E26">
        <w:rPr>
          <w:rFonts w:asciiTheme="majorBidi" w:hAnsiTheme="majorBidi" w:cstheme="majorBidi"/>
        </w:rPr>
        <w:t>a</w:t>
      </w:r>
      <w:r w:rsidRPr="00FF778E">
        <w:rPr>
          <w:rFonts w:asciiTheme="majorBidi" w:hAnsiTheme="majorBidi" w:cstheme="majorBidi"/>
        </w:rPr>
        <w:t xml:space="preserve"> and Westport, have experienced repeated flooding events, while concerns about future flood or coastal inundation risk may have affected development in locations such as Riverhead, Clive and </w:t>
      </w:r>
      <w:r w:rsidR="00D35ADD">
        <w:rPr>
          <w:rFonts w:asciiTheme="majorBidi" w:hAnsiTheme="majorBidi" w:cstheme="majorBidi"/>
        </w:rPr>
        <w:t>O</w:t>
      </w:r>
      <w:r w:rsidRPr="00FF778E">
        <w:rPr>
          <w:rFonts w:asciiTheme="majorBidi" w:hAnsiTheme="majorBidi" w:cstheme="majorBidi"/>
        </w:rPr>
        <w:t xml:space="preserve">taki Beach. </w:t>
      </w:r>
      <w:r w:rsidR="001A7E26">
        <w:rPr>
          <w:rFonts w:asciiTheme="majorBidi" w:hAnsiTheme="majorBidi" w:cstheme="majorBidi"/>
        </w:rPr>
        <w:t xml:space="preserve">Thus, </w:t>
      </w:r>
      <w:r w:rsidRPr="00FF778E">
        <w:rPr>
          <w:rFonts w:asciiTheme="majorBidi" w:hAnsiTheme="majorBidi" w:cstheme="majorBidi"/>
        </w:rPr>
        <w:t xml:space="preserve">contraction is not solely a consequence of changing commodity markets and industrial restructuring. Natural hazards, environmental risks, and </w:t>
      </w:r>
      <w:r w:rsidR="001A7E26">
        <w:rPr>
          <w:rFonts w:asciiTheme="majorBidi" w:hAnsiTheme="majorBidi" w:cstheme="majorBidi"/>
        </w:rPr>
        <w:t xml:space="preserve">rationalization of </w:t>
      </w:r>
      <w:r w:rsidRPr="00FF778E">
        <w:rPr>
          <w:rFonts w:asciiTheme="majorBidi" w:hAnsiTheme="majorBidi" w:cstheme="majorBidi"/>
        </w:rPr>
        <w:t xml:space="preserve">services in </w:t>
      </w:r>
      <w:r w:rsidR="001A7E26">
        <w:rPr>
          <w:rFonts w:asciiTheme="majorBidi" w:hAnsiTheme="majorBidi" w:cstheme="majorBidi"/>
        </w:rPr>
        <w:t xml:space="preserve">smaller </w:t>
      </w:r>
      <w:r w:rsidRPr="00FF778E">
        <w:rPr>
          <w:rFonts w:asciiTheme="majorBidi" w:hAnsiTheme="majorBidi" w:cstheme="majorBidi"/>
        </w:rPr>
        <w:t>centres can also contribute to declining urban footprints.</w:t>
      </w:r>
    </w:p>
    <w:p w14:paraId="1E137BF6" w14:textId="58C02E7A" w:rsidR="00B74238" w:rsidRDefault="00B74238" w:rsidP="00E44F40">
      <w:pPr>
        <w:ind w:firstLine="720"/>
        <w:jc w:val="both"/>
        <w:rPr>
          <w:rFonts w:asciiTheme="majorBidi" w:hAnsiTheme="majorBidi" w:cstheme="majorBidi"/>
        </w:rPr>
      </w:pPr>
      <w:r>
        <w:rPr>
          <w:rFonts w:asciiTheme="majorBidi" w:hAnsiTheme="majorBidi" w:cstheme="majorBidi"/>
        </w:rPr>
        <w:t xml:space="preserve">There is at least one anomaly in Table 3, which is </w:t>
      </w:r>
      <w:r w:rsidRPr="00B74238">
        <w:rPr>
          <w:rFonts w:asciiTheme="majorBidi" w:hAnsiTheme="majorBidi" w:cstheme="majorBidi"/>
        </w:rPr>
        <w:t>Waiheke Island</w:t>
      </w:r>
      <w:r>
        <w:rPr>
          <w:rFonts w:asciiTheme="majorBidi" w:hAnsiTheme="majorBidi" w:cstheme="majorBidi"/>
        </w:rPr>
        <w:t xml:space="preserve">, located 40 minutes from Auckland city </w:t>
      </w:r>
      <w:r w:rsidR="009553AA">
        <w:rPr>
          <w:rFonts w:asciiTheme="majorBidi" w:hAnsiTheme="majorBidi" w:cstheme="majorBidi"/>
        </w:rPr>
        <w:t xml:space="preserve">by </w:t>
      </w:r>
      <w:r>
        <w:rPr>
          <w:rFonts w:asciiTheme="majorBidi" w:hAnsiTheme="majorBidi" w:cstheme="majorBidi"/>
        </w:rPr>
        <w:t xml:space="preserve">public ferry. While the </w:t>
      </w:r>
      <w:r w:rsidRPr="00B74238">
        <w:rPr>
          <w:rFonts w:asciiTheme="majorBidi" w:hAnsiTheme="majorBidi" w:cstheme="majorBidi"/>
        </w:rPr>
        <w:t xml:space="preserve">resident population </w:t>
      </w:r>
      <w:r>
        <w:rPr>
          <w:rFonts w:asciiTheme="majorBidi" w:hAnsiTheme="majorBidi" w:cstheme="majorBidi"/>
        </w:rPr>
        <w:t xml:space="preserve">is growing </w:t>
      </w:r>
      <w:r w:rsidRPr="00B74238">
        <w:rPr>
          <w:rFonts w:asciiTheme="majorBidi" w:hAnsiTheme="majorBidi" w:cstheme="majorBidi"/>
        </w:rPr>
        <w:t xml:space="preserve">slowly, from about 8,300 in 2013 to around 9,000 in both the 2018 and 2023 censuses, </w:t>
      </w:r>
      <w:r>
        <w:rPr>
          <w:rFonts w:asciiTheme="majorBidi" w:hAnsiTheme="majorBidi" w:cstheme="majorBidi"/>
        </w:rPr>
        <w:t xml:space="preserve">this population </w:t>
      </w:r>
      <w:r w:rsidR="0025218F">
        <w:rPr>
          <w:rFonts w:asciiTheme="majorBidi" w:hAnsiTheme="majorBidi" w:cstheme="majorBidi"/>
        </w:rPr>
        <w:t xml:space="preserve">swells </w:t>
      </w:r>
      <w:r w:rsidR="0025218F">
        <w:rPr>
          <w:rFonts w:asciiTheme="majorBidi" w:hAnsiTheme="majorBidi" w:cstheme="majorBidi"/>
        </w:rPr>
        <w:lastRenderedPageBreak/>
        <w:t xml:space="preserve">seasonally due to </w:t>
      </w:r>
      <w:r>
        <w:rPr>
          <w:rFonts w:asciiTheme="majorBidi" w:hAnsiTheme="majorBidi" w:cstheme="majorBidi"/>
        </w:rPr>
        <w:t xml:space="preserve">visitors and so the lit area footprint </w:t>
      </w:r>
      <w:r w:rsidR="0025218F">
        <w:rPr>
          <w:rFonts w:asciiTheme="majorBidi" w:hAnsiTheme="majorBidi" w:cstheme="majorBidi"/>
        </w:rPr>
        <w:t xml:space="preserve">from </w:t>
      </w:r>
      <w:r>
        <w:rPr>
          <w:rFonts w:asciiTheme="majorBidi" w:hAnsiTheme="majorBidi" w:cstheme="majorBidi"/>
        </w:rPr>
        <w:t xml:space="preserve">accommodation and </w:t>
      </w:r>
      <w:r w:rsidRPr="00B74238">
        <w:rPr>
          <w:rFonts w:asciiTheme="majorBidi" w:hAnsiTheme="majorBidi" w:cstheme="majorBidi"/>
        </w:rPr>
        <w:t>hospitality</w:t>
      </w:r>
      <w:r>
        <w:rPr>
          <w:rFonts w:asciiTheme="majorBidi" w:hAnsiTheme="majorBidi" w:cstheme="majorBidi"/>
        </w:rPr>
        <w:t xml:space="preserve"> is likely greater than for typical towns with population of around 9,000. Moreover,</w:t>
      </w:r>
      <w:r w:rsidRPr="00B74238">
        <w:rPr>
          <w:rFonts w:asciiTheme="majorBidi" w:hAnsiTheme="majorBidi" w:cstheme="majorBidi"/>
        </w:rPr>
        <w:t xml:space="preserve"> Waiheke is also one of New Zealand’s most expensive housing markets, </w:t>
      </w:r>
      <w:r w:rsidR="009553AA">
        <w:rPr>
          <w:rFonts w:asciiTheme="majorBidi" w:hAnsiTheme="majorBidi" w:cstheme="majorBidi"/>
        </w:rPr>
        <w:t xml:space="preserve">with average house prices more than double those of the greater Auckland area, </w:t>
      </w:r>
      <w:r w:rsidRPr="00B74238">
        <w:rPr>
          <w:rFonts w:asciiTheme="majorBidi" w:hAnsiTheme="majorBidi" w:cstheme="majorBidi"/>
        </w:rPr>
        <w:t>so it is not plausibly a declining or distressed settlement in the usual regional-development sense. A more likely explanation for its negative trend in illuminated area is deliberate restraint on artificial lighting, associated with local efforts to obtain dark-sky recognition. Thus, Waiheke illustrates an important limitation of using night-time lights: in places where reduced illumination is itself an amenity or policy objective, falling luminosity may reflect environmental preferences rather than contraction of settlement or economic activity.</w:t>
      </w:r>
      <w:r w:rsidR="009553AA">
        <w:rPr>
          <w:rStyle w:val="FootnoteReference"/>
          <w:rFonts w:asciiTheme="majorBidi" w:hAnsiTheme="majorBidi" w:cstheme="majorBidi"/>
        </w:rPr>
        <w:footnoteReference w:id="15"/>
      </w:r>
      <w:r w:rsidRPr="00B74238">
        <w:rPr>
          <w:rFonts w:asciiTheme="majorBidi" w:hAnsiTheme="majorBidi" w:cstheme="majorBidi"/>
        </w:rPr>
        <w:t xml:space="preserve"> </w:t>
      </w:r>
    </w:p>
    <w:p w14:paraId="7177275A" w14:textId="1F5959AA" w:rsidR="00CC6193" w:rsidRDefault="00CC6193" w:rsidP="00322295">
      <w:pPr>
        <w:keepNext/>
        <w:jc w:val="both"/>
        <w:rPr>
          <w:rFonts w:asciiTheme="majorBidi" w:hAnsiTheme="majorBidi" w:cstheme="majorBidi"/>
          <w:b/>
          <w:bCs/>
        </w:rPr>
      </w:pPr>
      <w:r>
        <w:rPr>
          <w:rFonts w:asciiTheme="majorBidi" w:hAnsiTheme="majorBidi" w:cstheme="majorBidi"/>
          <w:b/>
          <w:bCs/>
        </w:rPr>
        <w:t>5.</w:t>
      </w:r>
      <w:r>
        <w:rPr>
          <w:rFonts w:asciiTheme="majorBidi" w:hAnsiTheme="majorBidi" w:cstheme="majorBidi"/>
          <w:b/>
          <w:bCs/>
        </w:rPr>
        <w:tab/>
        <w:t xml:space="preserve">Discussion and Conclusions </w:t>
      </w:r>
    </w:p>
    <w:p w14:paraId="4CA1461D" w14:textId="424DC2EA" w:rsidR="00ED5EDB" w:rsidRDefault="00ED5EDB" w:rsidP="00322295">
      <w:pPr>
        <w:keepNext/>
        <w:jc w:val="both"/>
        <w:rPr>
          <w:rFonts w:asciiTheme="majorBidi" w:hAnsiTheme="majorBidi" w:cstheme="majorBidi"/>
        </w:rPr>
      </w:pPr>
      <w:r w:rsidRPr="00ED5EDB">
        <w:rPr>
          <w:rFonts w:asciiTheme="majorBidi" w:hAnsiTheme="majorBidi" w:cstheme="majorBidi"/>
        </w:rPr>
        <w:t xml:space="preserve">This paper has examined long-run changes in the physical extent of 133 New Zealand towns and cities using reconstructed night-time lights data from 1993 to 2021. The results reveal substantial heterogeneity in urban trajectories. Rapid expansion is concentrated in commuter settlements surrounding major cities, particularly in Canterbury and the northern Waikato, and in amenity-oriented locations such as the Queenstown Lakes district and selected coastal towns. At the same time, a number of smaller settlements exhibit persistent contraction. These declines are not attributable to a single cause but instead reflect a range of processes, including restructuring of pastoral agriculture and associated processing industries, changing patterns of employment and service provision, </w:t>
      </w:r>
      <w:r>
        <w:rPr>
          <w:rFonts w:asciiTheme="majorBidi" w:hAnsiTheme="majorBidi" w:cstheme="majorBidi"/>
        </w:rPr>
        <w:t xml:space="preserve">natural hazards </w:t>
      </w:r>
      <w:r w:rsidRPr="00ED5EDB">
        <w:rPr>
          <w:rFonts w:asciiTheme="majorBidi" w:hAnsiTheme="majorBidi" w:cstheme="majorBidi"/>
        </w:rPr>
        <w:t>and shifts in the relative attractiveness of different locations. Taken together, the results suggest that regional change in New Zealand is characterised less by uniform growth or decline than by increasingly differentiated urban trajectories.</w:t>
      </w:r>
    </w:p>
    <w:p w14:paraId="00474F46" w14:textId="25E3F89F" w:rsidR="002674A0" w:rsidRDefault="002674A0" w:rsidP="00E44F40">
      <w:pPr>
        <w:keepNext/>
        <w:ind w:firstLine="720"/>
        <w:jc w:val="both"/>
        <w:rPr>
          <w:rFonts w:asciiTheme="majorBidi" w:hAnsiTheme="majorBidi" w:cstheme="majorBidi"/>
        </w:rPr>
      </w:pPr>
      <w:r w:rsidRPr="002674A0">
        <w:rPr>
          <w:rFonts w:asciiTheme="majorBidi" w:hAnsiTheme="majorBidi" w:cstheme="majorBidi"/>
        </w:rPr>
        <w:t xml:space="preserve">A second contribution of the paper is methodological. Previous studies have often treated night-time lights data as a homogeneous source of information, with relatively little attention paid to differences between sensor generations and the implications of spatial resolution for the questions being studied. For large metropolitan areas, the coarse spatial footprint of the original DMSP imagery may be of limited consequence. However, for the smaller settlements that comprise much of New Zealand’s urban system, the measurement problems inherent in DMSP can materially affect inference. The results </w:t>
      </w:r>
      <w:r w:rsidR="00D03C99">
        <w:rPr>
          <w:rFonts w:asciiTheme="majorBidi" w:hAnsiTheme="majorBidi" w:cstheme="majorBidi"/>
        </w:rPr>
        <w:t xml:space="preserve">reported here </w:t>
      </w:r>
      <w:r w:rsidRPr="002674A0">
        <w:rPr>
          <w:rFonts w:asciiTheme="majorBidi" w:hAnsiTheme="majorBidi" w:cstheme="majorBidi"/>
        </w:rPr>
        <w:t xml:space="preserve">show that the original DMSP imagery both obscures the independent evolution of some towns and </w:t>
      </w:r>
      <w:r w:rsidR="00D03C99">
        <w:rPr>
          <w:rFonts w:asciiTheme="majorBidi" w:hAnsiTheme="majorBidi" w:cstheme="majorBidi"/>
        </w:rPr>
        <w:t xml:space="preserve">seems to </w:t>
      </w:r>
      <w:r w:rsidRPr="002674A0">
        <w:rPr>
          <w:rFonts w:asciiTheme="majorBidi" w:hAnsiTheme="majorBidi" w:cstheme="majorBidi"/>
        </w:rPr>
        <w:t xml:space="preserve">systematically understate rates of urban expansion, to the point that the average settlement appears to be shrinking rather than growing. More generally, </w:t>
      </w:r>
      <w:r w:rsidR="00D03C99">
        <w:rPr>
          <w:rFonts w:asciiTheme="majorBidi" w:hAnsiTheme="majorBidi" w:cstheme="majorBidi"/>
        </w:rPr>
        <w:t xml:space="preserve">our </w:t>
      </w:r>
      <w:r w:rsidRPr="002674A0">
        <w:rPr>
          <w:rFonts w:asciiTheme="majorBidi" w:hAnsiTheme="majorBidi" w:cstheme="majorBidi"/>
        </w:rPr>
        <w:t>findings highlight the importance of considering the spatial properties of remotely sensed data when using them to study long-run urban dynamics, regional inequality, or local economic development.</w:t>
      </w:r>
    </w:p>
    <w:p w14:paraId="292843DC" w14:textId="1180D54A" w:rsidR="002674A0" w:rsidRDefault="002674A0" w:rsidP="00E44F40">
      <w:pPr>
        <w:keepNext/>
        <w:ind w:firstLine="720"/>
        <w:jc w:val="both"/>
        <w:rPr>
          <w:rFonts w:asciiTheme="majorBidi" w:hAnsiTheme="majorBidi" w:cstheme="majorBidi"/>
        </w:rPr>
      </w:pPr>
      <w:r w:rsidRPr="002674A0">
        <w:rPr>
          <w:rFonts w:asciiTheme="majorBidi" w:hAnsiTheme="majorBidi" w:cstheme="majorBidi"/>
        </w:rPr>
        <w:t xml:space="preserve">The availability of reconstructed night-time lights series also creates new opportunities for regional science research. In New Zealand, annual measures of urban extent provide a </w:t>
      </w:r>
      <w:r w:rsidRPr="002674A0">
        <w:rPr>
          <w:rFonts w:asciiTheme="majorBidi" w:hAnsiTheme="majorBidi" w:cstheme="majorBidi"/>
        </w:rPr>
        <w:lastRenderedPageBreak/>
        <w:t xml:space="preserve">useful complement to census-based population statistics because they allow settlement </w:t>
      </w:r>
      <w:r w:rsidR="00E559ED">
        <w:rPr>
          <w:rFonts w:asciiTheme="majorBidi" w:hAnsiTheme="majorBidi" w:cstheme="majorBidi"/>
        </w:rPr>
        <w:t>footprint</w:t>
      </w:r>
      <w:r w:rsidRPr="002674A0">
        <w:rPr>
          <w:rFonts w:asciiTheme="majorBidi" w:hAnsiTheme="majorBidi" w:cstheme="majorBidi"/>
        </w:rPr>
        <w:t xml:space="preserve">s to evolve through time rather than remaining fixed by administrative definitions. More broadly, the approach developed here could be used to examine changing urban hierarchies, the effects of transport infrastructure, the growth of commuter belts around major cities, and the role of natural amenities in shaping settlement patterns. The results </w:t>
      </w:r>
      <w:r w:rsidR="00D03C99">
        <w:rPr>
          <w:rFonts w:asciiTheme="majorBidi" w:hAnsiTheme="majorBidi" w:cstheme="majorBidi"/>
        </w:rPr>
        <w:t xml:space="preserve">described here </w:t>
      </w:r>
      <w:r w:rsidRPr="002674A0">
        <w:rPr>
          <w:rFonts w:asciiTheme="majorBidi" w:hAnsiTheme="majorBidi" w:cstheme="majorBidi"/>
        </w:rPr>
        <w:t>suggest that concerns about “zombie towns” capture only part of the story of regional change</w:t>
      </w:r>
      <w:r w:rsidR="00D03C99">
        <w:rPr>
          <w:rFonts w:asciiTheme="majorBidi" w:hAnsiTheme="majorBidi" w:cstheme="majorBidi"/>
        </w:rPr>
        <w:t xml:space="preserve"> despite their prominence in the media</w:t>
      </w:r>
      <w:r w:rsidRPr="002674A0">
        <w:rPr>
          <w:rFonts w:asciiTheme="majorBidi" w:hAnsiTheme="majorBidi" w:cstheme="majorBidi"/>
        </w:rPr>
        <w:t>. While some settlements have experienced long-run contraction, others have expanded rapidly through amenity migration, tourism growth, and closer integration with larger urban centres. Understanding these increasingly differentiated trajectories remains an important challenge for both regional science and regional policy.</w:t>
      </w:r>
    </w:p>
    <w:p w14:paraId="26359A8F" w14:textId="77777777" w:rsidR="00CC6193" w:rsidRDefault="00CC6193" w:rsidP="00B74238">
      <w:pPr>
        <w:rPr>
          <w:rFonts w:asciiTheme="majorBidi" w:hAnsiTheme="majorBidi" w:cstheme="majorBidi"/>
        </w:rPr>
      </w:pPr>
    </w:p>
    <w:p w14:paraId="34909EBE" w14:textId="4B204640" w:rsidR="0038761C" w:rsidRPr="000E48E9" w:rsidRDefault="000E214C" w:rsidP="000E48E9">
      <w:pPr>
        <w:rPr>
          <w:rFonts w:asciiTheme="majorBidi" w:hAnsiTheme="majorBidi" w:cstheme="majorBidi"/>
        </w:rPr>
      </w:pPr>
      <w:r w:rsidRPr="000E214C">
        <w:rPr>
          <w:rFonts w:asciiTheme="majorBidi" w:hAnsiTheme="majorBidi" w:cstheme="majorBidi"/>
          <w:b/>
          <w:bCs/>
        </w:rPr>
        <w:t>References</w:t>
      </w:r>
    </w:p>
    <w:p w14:paraId="5BD8C93B" w14:textId="77777777" w:rsidR="000E214C" w:rsidRDefault="000E214C" w:rsidP="00E30C81">
      <w:pPr>
        <w:spacing w:after="120" w:line="240" w:lineRule="auto"/>
        <w:ind w:left="720" w:hanging="720"/>
        <w:rPr>
          <w:rFonts w:asciiTheme="majorBidi" w:hAnsiTheme="majorBidi" w:cstheme="majorBidi"/>
        </w:rPr>
      </w:pPr>
      <w:r w:rsidRPr="008D3DA1">
        <w:rPr>
          <w:rFonts w:asciiTheme="majorBidi" w:hAnsiTheme="majorBidi" w:cstheme="majorBidi"/>
        </w:rPr>
        <w:t>Abrahams, A., Oram, C., &amp; Lozano-Gracia, N. (2018). Deblurring DMSP nighttime lights: A new method using Gaussian filters and frequencies of illumination. </w:t>
      </w:r>
      <w:r w:rsidRPr="008D3DA1">
        <w:rPr>
          <w:rFonts w:asciiTheme="majorBidi" w:hAnsiTheme="majorBidi" w:cstheme="majorBidi"/>
          <w:i/>
          <w:iCs/>
        </w:rPr>
        <w:t>Remote Sensing of Environment</w:t>
      </w:r>
      <w:r w:rsidRPr="008D3DA1">
        <w:rPr>
          <w:rFonts w:asciiTheme="majorBidi" w:hAnsiTheme="majorBidi" w:cstheme="majorBidi"/>
        </w:rPr>
        <w:t>, </w:t>
      </w:r>
      <w:r w:rsidRPr="008D3DA1">
        <w:rPr>
          <w:rFonts w:asciiTheme="majorBidi" w:hAnsiTheme="majorBidi" w:cstheme="majorBidi"/>
          <w:i/>
          <w:iCs/>
        </w:rPr>
        <w:t>210</w:t>
      </w:r>
      <w:r w:rsidRPr="008D3DA1">
        <w:rPr>
          <w:rFonts w:asciiTheme="majorBidi" w:hAnsiTheme="majorBidi" w:cstheme="majorBidi"/>
        </w:rPr>
        <w:t>, 242-258.</w:t>
      </w:r>
    </w:p>
    <w:p w14:paraId="26ACC27D" w14:textId="77777777" w:rsidR="000E214C" w:rsidRDefault="000E214C" w:rsidP="00E30C81">
      <w:pPr>
        <w:spacing w:after="120" w:line="240" w:lineRule="auto"/>
        <w:ind w:left="720" w:hanging="720"/>
        <w:rPr>
          <w:rFonts w:asciiTheme="majorBidi" w:hAnsiTheme="majorBidi" w:cstheme="majorBidi"/>
          <w:lang w:val="en-US"/>
        </w:rPr>
      </w:pPr>
      <w:r w:rsidRPr="008B2BD5">
        <w:rPr>
          <w:rFonts w:asciiTheme="majorBidi" w:hAnsiTheme="majorBidi" w:cstheme="majorBidi"/>
        </w:rPr>
        <w:t xml:space="preserve">Abramitzky, R., </w:t>
      </w:r>
      <w:proofErr w:type="spellStart"/>
      <w:r w:rsidRPr="008B2BD5">
        <w:rPr>
          <w:rFonts w:asciiTheme="majorBidi" w:hAnsiTheme="majorBidi" w:cstheme="majorBidi"/>
        </w:rPr>
        <w:t>Boustan</w:t>
      </w:r>
      <w:proofErr w:type="spellEnd"/>
      <w:r w:rsidRPr="008B2BD5">
        <w:rPr>
          <w:rFonts w:asciiTheme="majorBidi" w:hAnsiTheme="majorBidi" w:cstheme="majorBidi"/>
        </w:rPr>
        <w:t>, L. P., &amp; Storeygard, A. (2025). New Data and Insights in Regional and Urban Economics.</w:t>
      </w:r>
      <w:r>
        <w:rPr>
          <w:rFonts w:asciiTheme="majorBidi" w:hAnsiTheme="majorBidi" w:cstheme="majorBidi"/>
          <w:lang w:val="en-US"/>
        </w:rPr>
        <w:t xml:space="preserve"> In </w:t>
      </w:r>
      <w:r>
        <w:rPr>
          <w:rFonts w:asciiTheme="majorBidi" w:hAnsiTheme="majorBidi" w:cstheme="majorBidi"/>
          <w:i/>
          <w:iCs/>
          <w:lang w:val="en-US"/>
        </w:rPr>
        <w:t>Handbook of Regional and Urban Economics</w:t>
      </w:r>
      <w:r>
        <w:rPr>
          <w:rFonts w:asciiTheme="majorBidi" w:hAnsiTheme="majorBidi" w:cstheme="majorBidi"/>
          <w:lang w:val="en-US"/>
        </w:rPr>
        <w:t xml:space="preserve"> D. Donaldson and S. Redding (eds), Vol. 6, Chapter 11, pp. 715-777.</w:t>
      </w:r>
    </w:p>
    <w:p w14:paraId="384A4F8C" w14:textId="2EB7F0E0" w:rsidR="001D2570" w:rsidRPr="00382F13" w:rsidRDefault="001D2570" w:rsidP="00E30C81">
      <w:pPr>
        <w:spacing w:after="120" w:line="240" w:lineRule="auto"/>
        <w:ind w:left="720" w:hanging="720"/>
        <w:rPr>
          <w:rFonts w:asciiTheme="majorBidi" w:hAnsiTheme="majorBidi" w:cstheme="majorBidi"/>
        </w:rPr>
      </w:pPr>
      <w:r w:rsidRPr="001D2570">
        <w:rPr>
          <w:rFonts w:asciiTheme="majorBidi" w:hAnsiTheme="majorBidi" w:cstheme="majorBidi"/>
        </w:rPr>
        <w:t>Bilicka, K., &amp; Seidel, A. (2026). Measuring firm activity from outer space. </w:t>
      </w:r>
      <w:r w:rsidRPr="001D2570">
        <w:rPr>
          <w:rFonts w:asciiTheme="majorBidi" w:hAnsiTheme="majorBidi" w:cstheme="majorBidi"/>
          <w:i/>
          <w:iCs/>
        </w:rPr>
        <w:t>Journal of Economic Geography</w:t>
      </w:r>
      <w:r>
        <w:rPr>
          <w:rFonts w:asciiTheme="majorBidi" w:hAnsiTheme="majorBidi" w:cstheme="majorBidi"/>
        </w:rPr>
        <w:t xml:space="preserve"> (</w:t>
      </w:r>
      <w:hyperlink r:id="rId15" w:history="1">
        <w:r w:rsidRPr="001D2570">
          <w:rPr>
            <w:rStyle w:val="Hyperlink"/>
            <w:rFonts w:asciiTheme="majorBidi" w:hAnsiTheme="majorBidi" w:cstheme="majorBidi"/>
          </w:rPr>
          <w:t>https://doi.org/10.1093/jeg/lbag021</w:t>
        </w:r>
      </w:hyperlink>
      <w:r>
        <w:rPr>
          <w:rFonts w:asciiTheme="majorBidi" w:hAnsiTheme="majorBidi" w:cstheme="majorBidi"/>
        </w:rPr>
        <w:t>)</w:t>
      </w:r>
    </w:p>
    <w:p w14:paraId="2CAB3E59" w14:textId="4FDB7C9B" w:rsidR="00507BD7" w:rsidRDefault="00507BD7" w:rsidP="00507BD7">
      <w:pPr>
        <w:widowControl w:val="0"/>
        <w:spacing w:after="120" w:line="240" w:lineRule="auto"/>
        <w:ind w:left="720" w:hanging="720"/>
        <w:rPr>
          <w:rFonts w:asciiTheme="majorBidi" w:hAnsiTheme="majorBidi" w:cstheme="majorBidi"/>
        </w:rPr>
      </w:pPr>
      <w:r w:rsidRPr="00507BD7">
        <w:rPr>
          <w:rFonts w:asciiTheme="majorBidi" w:hAnsiTheme="majorBidi" w:cstheme="majorBidi"/>
        </w:rPr>
        <w:t>Brabyn, L. (2017). Declining towns and rapidly growing cities in New Zealand: developing an empirically-based model that can inform policy.</w:t>
      </w:r>
      <w:r>
        <w:rPr>
          <w:rFonts w:asciiTheme="majorBidi" w:hAnsiTheme="majorBidi" w:cstheme="majorBidi"/>
        </w:rPr>
        <w:t xml:space="preserve"> </w:t>
      </w:r>
      <w:r w:rsidRPr="00507BD7">
        <w:rPr>
          <w:rFonts w:asciiTheme="majorBidi" w:hAnsiTheme="majorBidi" w:cstheme="majorBidi"/>
          <w:i/>
          <w:iCs/>
        </w:rPr>
        <w:t>Policy Quarterly</w:t>
      </w:r>
      <w:r>
        <w:rPr>
          <w:rFonts w:asciiTheme="majorBidi" w:hAnsiTheme="majorBidi" w:cstheme="majorBidi"/>
        </w:rPr>
        <w:t>,</w:t>
      </w:r>
      <w:r w:rsidRPr="00507BD7">
        <w:rPr>
          <w:rFonts w:asciiTheme="majorBidi" w:hAnsiTheme="majorBidi" w:cstheme="majorBidi"/>
        </w:rPr>
        <w:t xml:space="preserve"> </w:t>
      </w:r>
      <w:r w:rsidRPr="00507BD7">
        <w:rPr>
          <w:rFonts w:asciiTheme="majorBidi" w:hAnsiTheme="majorBidi" w:cstheme="majorBidi"/>
          <w:i/>
          <w:iCs/>
        </w:rPr>
        <w:t>37</w:t>
      </w:r>
      <w:r w:rsidRPr="00507BD7">
        <w:rPr>
          <w:rFonts w:asciiTheme="majorBidi" w:hAnsiTheme="majorBidi" w:cstheme="majorBidi"/>
        </w:rPr>
        <w:t>(</w:t>
      </w:r>
      <w:r>
        <w:rPr>
          <w:rFonts w:asciiTheme="majorBidi" w:hAnsiTheme="majorBidi" w:cstheme="majorBidi"/>
        </w:rPr>
        <w:t>1</w:t>
      </w:r>
      <w:r w:rsidRPr="00507BD7">
        <w:rPr>
          <w:rFonts w:asciiTheme="majorBidi" w:hAnsiTheme="majorBidi" w:cstheme="majorBidi"/>
        </w:rPr>
        <w:t>): 37-46.</w:t>
      </w:r>
    </w:p>
    <w:p w14:paraId="4BCDC3A7" w14:textId="1DA4242B" w:rsidR="00D870DB" w:rsidRDefault="00D870DB" w:rsidP="00D870DB">
      <w:pPr>
        <w:widowControl w:val="0"/>
        <w:spacing w:after="120" w:line="240" w:lineRule="auto"/>
        <w:ind w:left="720" w:hanging="720"/>
        <w:rPr>
          <w:rFonts w:asciiTheme="majorBidi" w:hAnsiTheme="majorBidi" w:cstheme="majorBidi"/>
        </w:rPr>
      </w:pPr>
      <w:r w:rsidRPr="00D870DB">
        <w:rPr>
          <w:rFonts w:asciiTheme="majorBidi" w:hAnsiTheme="majorBidi" w:cstheme="majorBidi"/>
        </w:rPr>
        <w:t>Cameron, M. P., &amp; Cochrane, W. (2017). Using land-use modelling to statistically downscale population projections to small areas. </w:t>
      </w:r>
      <w:r w:rsidRPr="00D870DB">
        <w:rPr>
          <w:rFonts w:asciiTheme="majorBidi" w:hAnsiTheme="majorBidi" w:cstheme="majorBidi"/>
          <w:i/>
          <w:iCs/>
        </w:rPr>
        <w:t>Australasian Journal of Regional Studies,</w:t>
      </w:r>
      <w:r>
        <w:rPr>
          <w:rFonts w:asciiTheme="majorBidi" w:hAnsiTheme="majorBidi" w:cstheme="majorBidi"/>
        </w:rPr>
        <w:t xml:space="preserve"> </w:t>
      </w:r>
      <w:r w:rsidRPr="00D870DB">
        <w:rPr>
          <w:rFonts w:asciiTheme="majorBidi" w:hAnsiTheme="majorBidi" w:cstheme="majorBidi"/>
          <w:i/>
          <w:iCs/>
        </w:rPr>
        <w:t>23</w:t>
      </w:r>
      <w:r w:rsidRPr="00D870DB">
        <w:rPr>
          <w:rFonts w:asciiTheme="majorBidi" w:hAnsiTheme="majorBidi" w:cstheme="majorBidi"/>
        </w:rPr>
        <w:t>(2), 195-216.</w:t>
      </w:r>
    </w:p>
    <w:p w14:paraId="6E81703F" w14:textId="1A9B1480" w:rsidR="002F4393" w:rsidRDefault="002F4393" w:rsidP="002F4393">
      <w:pPr>
        <w:widowControl w:val="0"/>
        <w:spacing w:after="120" w:line="240" w:lineRule="auto"/>
        <w:ind w:left="720" w:hanging="720"/>
        <w:rPr>
          <w:rFonts w:asciiTheme="majorBidi" w:hAnsiTheme="majorBidi" w:cstheme="majorBidi"/>
        </w:rPr>
      </w:pPr>
      <w:r w:rsidRPr="002F4393">
        <w:rPr>
          <w:rFonts w:asciiTheme="majorBidi" w:hAnsiTheme="majorBidi" w:cstheme="majorBidi"/>
        </w:rPr>
        <w:t>Coleman, A. M. G., Maré, D. C., &amp; Zheng, G. (2019). New jobs, old jobs: The evolution of work in New Zealand's cities and towns.</w:t>
      </w:r>
      <w:r>
        <w:rPr>
          <w:rFonts w:asciiTheme="majorBidi" w:hAnsiTheme="majorBidi" w:cstheme="majorBidi"/>
        </w:rPr>
        <w:t xml:space="preserve"> </w:t>
      </w:r>
      <w:r>
        <w:rPr>
          <w:rFonts w:asciiTheme="majorBidi" w:hAnsiTheme="majorBidi" w:cstheme="majorBidi"/>
          <w:i/>
          <w:iCs/>
        </w:rPr>
        <w:t>Working Paper</w:t>
      </w:r>
      <w:r>
        <w:rPr>
          <w:rFonts w:asciiTheme="majorBidi" w:hAnsiTheme="majorBidi" w:cstheme="majorBidi"/>
        </w:rPr>
        <w:t xml:space="preserve"> No. 2019/1.</w:t>
      </w:r>
      <w:r w:rsidRPr="002F4393">
        <w:rPr>
          <w:rFonts w:asciiTheme="majorBidi" w:hAnsiTheme="majorBidi" w:cstheme="majorBidi"/>
        </w:rPr>
        <w:t xml:space="preserve"> New Zealand Productivity Commission, Te Kōmihana </w:t>
      </w:r>
      <w:proofErr w:type="spellStart"/>
      <w:r w:rsidRPr="002F4393">
        <w:rPr>
          <w:rFonts w:asciiTheme="majorBidi" w:hAnsiTheme="majorBidi" w:cstheme="majorBidi"/>
        </w:rPr>
        <w:t>Whai</w:t>
      </w:r>
      <w:proofErr w:type="spellEnd"/>
      <w:r w:rsidRPr="002F4393">
        <w:rPr>
          <w:rFonts w:asciiTheme="majorBidi" w:hAnsiTheme="majorBidi" w:cstheme="majorBidi"/>
        </w:rPr>
        <w:t xml:space="preserve"> Hua o Aotearoa.</w:t>
      </w:r>
    </w:p>
    <w:p w14:paraId="0950D9EC" w14:textId="6D363BE1" w:rsidR="00B54624" w:rsidRDefault="00B54624" w:rsidP="00B54624">
      <w:pPr>
        <w:widowControl w:val="0"/>
        <w:spacing w:after="120" w:line="240" w:lineRule="auto"/>
        <w:ind w:left="720" w:hanging="720"/>
        <w:rPr>
          <w:rFonts w:asciiTheme="majorBidi" w:hAnsiTheme="majorBidi" w:cstheme="majorBidi"/>
        </w:rPr>
      </w:pPr>
      <w:r w:rsidRPr="00B54624">
        <w:rPr>
          <w:rFonts w:asciiTheme="majorBidi" w:hAnsiTheme="majorBidi" w:cstheme="majorBidi"/>
        </w:rPr>
        <w:t>Eaqub, S. (2014). </w:t>
      </w:r>
      <w:r w:rsidRPr="00B54624">
        <w:rPr>
          <w:rFonts w:asciiTheme="majorBidi" w:hAnsiTheme="majorBidi" w:cstheme="majorBidi"/>
          <w:i/>
          <w:iCs/>
        </w:rPr>
        <w:t xml:space="preserve">Growing </w:t>
      </w:r>
      <w:r>
        <w:rPr>
          <w:rFonts w:asciiTheme="majorBidi" w:hAnsiTheme="majorBidi" w:cstheme="majorBidi"/>
          <w:i/>
          <w:iCs/>
        </w:rPr>
        <w:t>A</w:t>
      </w:r>
      <w:r w:rsidRPr="00B54624">
        <w:rPr>
          <w:rFonts w:asciiTheme="majorBidi" w:hAnsiTheme="majorBidi" w:cstheme="majorBidi"/>
          <w:i/>
          <w:iCs/>
        </w:rPr>
        <w:t xml:space="preserve">part: </w:t>
      </w:r>
      <w:r>
        <w:rPr>
          <w:rFonts w:asciiTheme="majorBidi" w:hAnsiTheme="majorBidi" w:cstheme="majorBidi"/>
          <w:i/>
          <w:iCs/>
        </w:rPr>
        <w:t>R</w:t>
      </w:r>
      <w:r w:rsidRPr="00B54624">
        <w:rPr>
          <w:rFonts w:asciiTheme="majorBidi" w:hAnsiTheme="majorBidi" w:cstheme="majorBidi"/>
          <w:i/>
          <w:iCs/>
        </w:rPr>
        <w:t xml:space="preserve">egional </w:t>
      </w:r>
      <w:r>
        <w:rPr>
          <w:rFonts w:asciiTheme="majorBidi" w:hAnsiTheme="majorBidi" w:cstheme="majorBidi"/>
          <w:i/>
          <w:iCs/>
        </w:rPr>
        <w:t>P</w:t>
      </w:r>
      <w:r w:rsidRPr="00B54624">
        <w:rPr>
          <w:rFonts w:asciiTheme="majorBidi" w:hAnsiTheme="majorBidi" w:cstheme="majorBidi"/>
          <w:i/>
          <w:iCs/>
        </w:rPr>
        <w:t>rosperity in New Zealand</w:t>
      </w:r>
      <w:r w:rsidRPr="00B54624">
        <w:rPr>
          <w:rFonts w:asciiTheme="majorBidi" w:hAnsiTheme="majorBidi" w:cstheme="majorBidi"/>
        </w:rPr>
        <w:t xml:space="preserve">. </w:t>
      </w:r>
      <w:r>
        <w:rPr>
          <w:rFonts w:asciiTheme="majorBidi" w:hAnsiTheme="majorBidi" w:cstheme="majorBidi"/>
        </w:rPr>
        <w:t xml:space="preserve">Wellington: </w:t>
      </w:r>
      <w:r w:rsidRPr="00B54624">
        <w:rPr>
          <w:rFonts w:asciiTheme="majorBidi" w:hAnsiTheme="majorBidi" w:cstheme="majorBidi"/>
        </w:rPr>
        <w:t>Bridget Williams Books.</w:t>
      </w:r>
    </w:p>
    <w:p w14:paraId="4910C403" w14:textId="0A384B3E" w:rsidR="000E214C" w:rsidRDefault="000E214C" w:rsidP="00E30C81">
      <w:pPr>
        <w:widowControl w:val="0"/>
        <w:spacing w:after="120" w:line="240" w:lineRule="auto"/>
        <w:ind w:left="720" w:hanging="720"/>
        <w:rPr>
          <w:rFonts w:asciiTheme="majorBidi" w:hAnsiTheme="majorBidi" w:cstheme="majorBidi"/>
        </w:rPr>
      </w:pPr>
      <w:r w:rsidRPr="008A6DF3">
        <w:rPr>
          <w:rFonts w:asciiTheme="majorBidi" w:hAnsiTheme="majorBidi" w:cstheme="majorBidi"/>
        </w:rPr>
        <w:t>Elvidge, C. D., Baugh, K. E., Kihn, E. A., Kroehl, H. W., &amp; Davis, E. R. (1997). Mapping city lights with nighttime data from the DMSP Operational Linescan</w:t>
      </w:r>
      <w:r>
        <w:rPr>
          <w:rFonts w:asciiTheme="majorBidi" w:hAnsiTheme="majorBidi" w:cstheme="majorBidi"/>
        </w:rPr>
        <w:t xml:space="preserve"> System.</w:t>
      </w:r>
      <w:r w:rsidRPr="008A6DF3">
        <w:rPr>
          <w:rFonts w:asciiTheme="majorBidi" w:hAnsiTheme="majorBidi" w:cstheme="majorBidi"/>
        </w:rPr>
        <w:t xml:space="preserve"> </w:t>
      </w:r>
      <w:r w:rsidRPr="008A6DF3">
        <w:rPr>
          <w:rFonts w:asciiTheme="majorBidi" w:hAnsiTheme="majorBidi" w:cstheme="majorBidi"/>
          <w:i/>
          <w:iCs/>
        </w:rPr>
        <w:t>Photogrammetric Engineering and Remote Sensing</w:t>
      </w:r>
      <w:r w:rsidRPr="008A6DF3">
        <w:rPr>
          <w:rFonts w:asciiTheme="majorBidi" w:hAnsiTheme="majorBidi" w:cstheme="majorBidi"/>
        </w:rPr>
        <w:t>, </w:t>
      </w:r>
      <w:r w:rsidRPr="008A6DF3">
        <w:rPr>
          <w:rFonts w:asciiTheme="majorBidi" w:hAnsiTheme="majorBidi" w:cstheme="majorBidi"/>
          <w:i/>
          <w:iCs/>
        </w:rPr>
        <w:t>63</w:t>
      </w:r>
      <w:r w:rsidRPr="008A6DF3">
        <w:rPr>
          <w:rFonts w:asciiTheme="majorBidi" w:hAnsiTheme="majorBidi" w:cstheme="majorBidi"/>
        </w:rPr>
        <w:t>(6), 727-734.</w:t>
      </w:r>
    </w:p>
    <w:p w14:paraId="233C8C05" w14:textId="77777777" w:rsidR="000E214C" w:rsidRDefault="000E214C" w:rsidP="00E30C81">
      <w:pPr>
        <w:spacing w:after="120" w:line="240" w:lineRule="auto"/>
        <w:ind w:left="720" w:hanging="720"/>
        <w:rPr>
          <w:rFonts w:asciiTheme="majorBidi" w:hAnsiTheme="majorBidi" w:cstheme="majorBidi"/>
        </w:rPr>
      </w:pPr>
      <w:r w:rsidRPr="00DE154E">
        <w:rPr>
          <w:rFonts w:asciiTheme="majorBidi" w:hAnsiTheme="majorBidi" w:cstheme="majorBidi"/>
        </w:rPr>
        <w:t>Elvidge, C. D., Baugh, K. E., Zhizhin, M., &amp; Hsu, F. C. (2013). Why VIIRS data are superior to DMSP for mapping nighttime lights. </w:t>
      </w:r>
      <w:r w:rsidRPr="00DE154E">
        <w:rPr>
          <w:rFonts w:asciiTheme="majorBidi" w:hAnsiTheme="majorBidi" w:cstheme="majorBidi"/>
          <w:i/>
          <w:iCs/>
        </w:rPr>
        <w:t>Proceedings of the Asia-Pacific Advanced Network</w:t>
      </w:r>
      <w:r w:rsidRPr="00DE154E">
        <w:rPr>
          <w:rFonts w:asciiTheme="majorBidi" w:hAnsiTheme="majorBidi" w:cstheme="majorBidi"/>
        </w:rPr>
        <w:t>, </w:t>
      </w:r>
      <w:r w:rsidRPr="00DE154E">
        <w:rPr>
          <w:rFonts w:asciiTheme="majorBidi" w:hAnsiTheme="majorBidi" w:cstheme="majorBidi"/>
          <w:i/>
          <w:iCs/>
        </w:rPr>
        <w:t>35</w:t>
      </w:r>
      <w:r w:rsidRPr="00DE154E">
        <w:rPr>
          <w:rFonts w:asciiTheme="majorBidi" w:hAnsiTheme="majorBidi" w:cstheme="majorBidi"/>
        </w:rPr>
        <w:t>(</w:t>
      </w:r>
      <w:r>
        <w:rPr>
          <w:rFonts w:asciiTheme="majorBidi" w:hAnsiTheme="majorBidi" w:cstheme="majorBidi"/>
        </w:rPr>
        <w:t>1</w:t>
      </w:r>
      <w:r w:rsidRPr="00DE154E">
        <w:rPr>
          <w:rFonts w:asciiTheme="majorBidi" w:hAnsiTheme="majorBidi" w:cstheme="majorBidi"/>
        </w:rPr>
        <w:t>), 62</w:t>
      </w:r>
      <w:r>
        <w:rPr>
          <w:rFonts w:asciiTheme="majorBidi" w:hAnsiTheme="majorBidi" w:cstheme="majorBidi"/>
        </w:rPr>
        <w:t>-69.</w:t>
      </w:r>
    </w:p>
    <w:p w14:paraId="6587AD8D" w14:textId="37ED3617" w:rsidR="00E30D9E" w:rsidRDefault="00E30D9E" w:rsidP="00E30D9E">
      <w:pPr>
        <w:spacing w:after="120" w:line="240" w:lineRule="auto"/>
        <w:ind w:left="720" w:hanging="720"/>
        <w:rPr>
          <w:rFonts w:asciiTheme="majorBidi" w:hAnsiTheme="majorBidi" w:cstheme="majorBidi"/>
        </w:rPr>
      </w:pPr>
      <w:r w:rsidRPr="00E30D9E">
        <w:rPr>
          <w:rFonts w:asciiTheme="majorBidi" w:hAnsiTheme="majorBidi" w:cstheme="majorBidi"/>
        </w:rPr>
        <w:t>Elvidge, C. D., Zhizhin, M., Ghosh, T., Hsu, F. C., &amp; Taneja, J. (2021). Annual time series of global VIIRS nighttime lights derived from monthly averages: 2012 to 2019. </w:t>
      </w:r>
      <w:r w:rsidRPr="00E30D9E">
        <w:rPr>
          <w:rFonts w:asciiTheme="majorBidi" w:hAnsiTheme="majorBidi" w:cstheme="majorBidi"/>
          <w:i/>
          <w:iCs/>
        </w:rPr>
        <w:t>Remote Sensing</w:t>
      </w:r>
      <w:r w:rsidRPr="00E30D9E">
        <w:rPr>
          <w:rFonts w:asciiTheme="majorBidi" w:hAnsiTheme="majorBidi" w:cstheme="majorBidi"/>
        </w:rPr>
        <w:t>, </w:t>
      </w:r>
      <w:r w:rsidRPr="00E30D9E">
        <w:rPr>
          <w:rFonts w:asciiTheme="majorBidi" w:hAnsiTheme="majorBidi" w:cstheme="majorBidi"/>
          <w:i/>
          <w:iCs/>
        </w:rPr>
        <w:t>13</w:t>
      </w:r>
      <w:r w:rsidRPr="00E30D9E">
        <w:rPr>
          <w:rFonts w:asciiTheme="majorBidi" w:hAnsiTheme="majorBidi" w:cstheme="majorBidi"/>
        </w:rPr>
        <w:t>(5), 922.</w:t>
      </w:r>
    </w:p>
    <w:p w14:paraId="252D1C20" w14:textId="678779C8" w:rsidR="000E214C" w:rsidRDefault="000E214C" w:rsidP="00E30C81">
      <w:pPr>
        <w:spacing w:after="120" w:line="240" w:lineRule="auto"/>
        <w:ind w:left="720" w:hanging="720"/>
        <w:rPr>
          <w:rFonts w:asciiTheme="majorBidi" w:hAnsiTheme="majorBidi" w:cstheme="majorBidi"/>
        </w:rPr>
      </w:pPr>
      <w:r w:rsidRPr="000E214C">
        <w:rPr>
          <w:rFonts w:asciiTheme="majorBidi" w:hAnsiTheme="majorBidi" w:cstheme="majorBidi"/>
        </w:rPr>
        <w:t>Elvidge, C. D., Hsu, F. C., Zhizhin, M., Ghosh, T., &amp; Sparks, T. (2024). Statistical moments of VIIRS night-time lights. </w:t>
      </w:r>
      <w:r w:rsidRPr="000E214C">
        <w:rPr>
          <w:rFonts w:asciiTheme="majorBidi" w:hAnsiTheme="majorBidi" w:cstheme="majorBidi"/>
          <w:i/>
          <w:iCs/>
        </w:rPr>
        <w:t>International Journal of Remote Sensing</w:t>
      </w:r>
      <w:r w:rsidRPr="000E214C">
        <w:rPr>
          <w:rFonts w:asciiTheme="majorBidi" w:hAnsiTheme="majorBidi" w:cstheme="majorBidi"/>
        </w:rPr>
        <w:t>, </w:t>
      </w:r>
      <w:r w:rsidRPr="000E214C">
        <w:rPr>
          <w:rFonts w:asciiTheme="majorBidi" w:hAnsiTheme="majorBidi" w:cstheme="majorBidi"/>
          <w:i/>
          <w:iCs/>
        </w:rPr>
        <w:t>45</w:t>
      </w:r>
      <w:r w:rsidRPr="000E214C">
        <w:rPr>
          <w:rFonts w:asciiTheme="majorBidi" w:hAnsiTheme="majorBidi" w:cstheme="majorBidi"/>
        </w:rPr>
        <w:t>(21), 7778-7802.</w:t>
      </w:r>
    </w:p>
    <w:p w14:paraId="64D468FE" w14:textId="77777777" w:rsidR="000E214C" w:rsidRDefault="000E214C" w:rsidP="00E30C81">
      <w:pPr>
        <w:spacing w:after="120" w:line="240" w:lineRule="auto"/>
        <w:ind w:left="720" w:hanging="720"/>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lastRenderedPageBreak/>
        <w:t>Ghosh, T., Baugh, K., Elvidge, C.</w:t>
      </w:r>
      <w:r w:rsidRPr="00ED7E77">
        <w:rPr>
          <w:rFonts w:asciiTheme="majorBidi" w:hAnsiTheme="majorBidi" w:cstheme="majorBidi"/>
          <w:color w:val="000000" w:themeColor="text1"/>
          <w:shd w:val="clear" w:color="auto" w:fill="FFFFFF"/>
        </w:rPr>
        <w:t>, Zh</w:t>
      </w:r>
      <w:r>
        <w:rPr>
          <w:rFonts w:asciiTheme="majorBidi" w:hAnsiTheme="majorBidi" w:cstheme="majorBidi"/>
          <w:color w:val="000000" w:themeColor="text1"/>
          <w:shd w:val="clear" w:color="auto" w:fill="FFFFFF"/>
        </w:rPr>
        <w:t xml:space="preserve">izhin, M., </w:t>
      </w:r>
      <w:proofErr w:type="spellStart"/>
      <w:r>
        <w:rPr>
          <w:rFonts w:asciiTheme="majorBidi" w:hAnsiTheme="majorBidi" w:cstheme="majorBidi"/>
          <w:color w:val="000000" w:themeColor="text1"/>
          <w:shd w:val="clear" w:color="auto" w:fill="FFFFFF"/>
        </w:rPr>
        <w:t>Poyda</w:t>
      </w:r>
      <w:proofErr w:type="spellEnd"/>
      <w:r>
        <w:rPr>
          <w:rFonts w:asciiTheme="majorBidi" w:hAnsiTheme="majorBidi" w:cstheme="majorBidi"/>
          <w:color w:val="000000" w:themeColor="text1"/>
          <w:shd w:val="clear" w:color="auto" w:fill="FFFFFF"/>
        </w:rPr>
        <w:t>, A., &amp; Hsu, F-</w:t>
      </w:r>
      <w:r w:rsidRPr="00ED7E77">
        <w:rPr>
          <w:rFonts w:asciiTheme="majorBidi" w:hAnsiTheme="majorBidi" w:cstheme="majorBidi"/>
          <w:color w:val="000000" w:themeColor="text1"/>
          <w:shd w:val="clear" w:color="auto" w:fill="FFFFFF"/>
        </w:rPr>
        <w:t>C. (2021). Extending the DMSP nighttime lights time series beyond 2013. </w:t>
      </w:r>
      <w:r w:rsidRPr="00ED7E77">
        <w:rPr>
          <w:rFonts w:asciiTheme="majorBidi" w:hAnsiTheme="majorBidi" w:cstheme="majorBidi"/>
          <w:i/>
          <w:iCs/>
          <w:color w:val="000000" w:themeColor="text1"/>
          <w:shd w:val="clear" w:color="auto" w:fill="FFFFFF"/>
        </w:rPr>
        <w:t>Remote Sensing</w:t>
      </w:r>
      <w:r w:rsidRPr="00ED7E77">
        <w:rPr>
          <w:rFonts w:asciiTheme="majorBidi" w:hAnsiTheme="majorBidi" w:cstheme="majorBidi"/>
          <w:color w:val="000000" w:themeColor="text1"/>
          <w:shd w:val="clear" w:color="auto" w:fill="FFFFFF"/>
        </w:rPr>
        <w:t>, </w:t>
      </w:r>
      <w:r w:rsidRPr="00ED7E77">
        <w:rPr>
          <w:rFonts w:asciiTheme="majorBidi" w:hAnsiTheme="majorBidi" w:cstheme="majorBidi"/>
          <w:i/>
          <w:iCs/>
          <w:color w:val="000000" w:themeColor="text1"/>
          <w:shd w:val="clear" w:color="auto" w:fill="FFFFFF"/>
        </w:rPr>
        <w:t>13</w:t>
      </w:r>
      <w:r w:rsidRPr="00ED7E77">
        <w:rPr>
          <w:rFonts w:asciiTheme="majorBidi" w:hAnsiTheme="majorBidi" w:cstheme="majorBidi"/>
          <w:color w:val="000000" w:themeColor="text1"/>
          <w:shd w:val="clear" w:color="auto" w:fill="FFFFFF"/>
        </w:rPr>
        <w:t>(24), 5004.</w:t>
      </w:r>
    </w:p>
    <w:p w14:paraId="2C8E5D6C" w14:textId="654678C1" w:rsidR="001D2570" w:rsidRDefault="001D2570" w:rsidP="00E30C81">
      <w:pPr>
        <w:spacing w:after="120" w:line="240" w:lineRule="auto"/>
        <w:ind w:left="720" w:hanging="720"/>
        <w:rPr>
          <w:rFonts w:asciiTheme="majorBidi" w:hAnsiTheme="majorBidi" w:cstheme="majorBidi"/>
          <w:color w:val="000000" w:themeColor="text1"/>
          <w:shd w:val="clear" w:color="auto" w:fill="FFFFFF"/>
        </w:rPr>
      </w:pPr>
      <w:r w:rsidRPr="001D2570">
        <w:rPr>
          <w:rFonts w:asciiTheme="majorBidi" w:hAnsiTheme="majorBidi" w:cstheme="majorBidi"/>
          <w:color w:val="000000" w:themeColor="text1"/>
          <w:shd w:val="clear" w:color="auto" w:fill="FFFFFF"/>
        </w:rPr>
        <w:t>Gibson, J., Boe-Gibson, G., &amp; Stichbury, G. (2015). Urban land expansion in India 1992–</w:t>
      </w:r>
      <w:r>
        <w:rPr>
          <w:rFonts w:asciiTheme="majorBidi" w:hAnsiTheme="majorBidi" w:cstheme="majorBidi"/>
          <w:color w:val="000000" w:themeColor="text1"/>
          <w:shd w:val="clear" w:color="auto" w:fill="FFFFFF"/>
        </w:rPr>
        <w:t>2012.</w:t>
      </w:r>
      <w:r w:rsidRPr="001D2570">
        <w:rPr>
          <w:rFonts w:asciiTheme="majorBidi" w:hAnsiTheme="majorBidi" w:cstheme="majorBidi"/>
          <w:color w:val="000000" w:themeColor="text1"/>
          <w:shd w:val="clear" w:color="auto" w:fill="FFFFFF"/>
        </w:rPr>
        <w:t> </w:t>
      </w:r>
      <w:r w:rsidRPr="001D2570">
        <w:rPr>
          <w:rFonts w:asciiTheme="majorBidi" w:hAnsiTheme="majorBidi" w:cstheme="majorBidi"/>
          <w:i/>
          <w:iCs/>
          <w:color w:val="000000" w:themeColor="text1"/>
          <w:shd w:val="clear" w:color="auto" w:fill="FFFFFF"/>
        </w:rPr>
        <w:t>Food Policy</w:t>
      </w:r>
      <w:r w:rsidRPr="001D2570">
        <w:rPr>
          <w:rFonts w:asciiTheme="majorBidi" w:hAnsiTheme="majorBidi" w:cstheme="majorBidi"/>
          <w:color w:val="000000" w:themeColor="text1"/>
          <w:shd w:val="clear" w:color="auto" w:fill="FFFFFF"/>
        </w:rPr>
        <w:t>, </w:t>
      </w:r>
      <w:r w:rsidRPr="001D2570">
        <w:rPr>
          <w:rFonts w:asciiTheme="majorBidi" w:hAnsiTheme="majorBidi" w:cstheme="majorBidi"/>
          <w:i/>
          <w:iCs/>
          <w:color w:val="000000" w:themeColor="text1"/>
          <w:shd w:val="clear" w:color="auto" w:fill="FFFFFF"/>
        </w:rPr>
        <w:t>56</w:t>
      </w:r>
      <w:r w:rsidRPr="001D2570">
        <w:rPr>
          <w:rFonts w:asciiTheme="majorBidi" w:hAnsiTheme="majorBidi" w:cstheme="majorBidi"/>
          <w:color w:val="000000" w:themeColor="text1"/>
          <w:shd w:val="clear" w:color="auto" w:fill="FFFFFF"/>
        </w:rPr>
        <w:t>, 100-113.</w:t>
      </w:r>
    </w:p>
    <w:p w14:paraId="153E60D4" w14:textId="386C1780" w:rsidR="00866BC9" w:rsidRDefault="00866BC9" w:rsidP="00866BC9">
      <w:pPr>
        <w:spacing w:after="120" w:line="240" w:lineRule="auto"/>
        <w:ind w:left="720" w:hanging="720"/>
        <w:rPr>
          <w:rFonts w:asciiTheme="majorBidi" w:hAnsiTheme="majorBidi" w:cstheme="majorBidi"/>
        </w:rPr>
      </w:pPr>
      <w:r w:rsidRPr="00866BC9">
        <w:rPr>
          <w:rFonts w:asciiTheme="majorBidi" w:hAnsiTheme="majorBidi" w:cstheme="majorBidi"/>
        </w:rPr>
        <w:t xml:space="preserve">Gibson, J., Datt, G., </w:t>
      </w:r>
      <w:proofErr w:type="spellStart"/>
      <w:r w:rsidRPr="00866BC9">
        <w:rPr>
          <w:rFonts w:asciiTheme="majorBidi" w:hAnsiTheme="majorBidi" w:cstheme="majorBidi"/>
        </w:rPr>
        <w:t>Murgai</w:t>
      </w:r>
      <w:proofErr w:type="spellEnd"/>
      <w:r w:rsidRPr="00866BC9">
        <w:rPr>
          <w:rFonts w:asciiTheme="majorBidi" w:hAnsiTheme="majorBidi" w:cstheme="majorBidi"/>
        </w:rPr>
        <w:t>, R., &amp; Ravallion, M. (2017). For India’s rural poor, growing towns matter more than growing cities. </w:t>
      </w:r>
      <w:r w:rsidRPr="00866BC9">
        <w:rPr>
          <w:rFonts w:asciiTheme="majorBidi" w:hAnsiTheme="majorBidi" w:cstheme="majorBidi"/>
          <w:i/>
          <w:iCs/>
        </w:rPr>
        <w:t>World Development</w:t>
      </w:r>
      <w:r w:rsidRPr="00866BC9">
        <w:rPr>
          <w:rFonts w:asciiTheme="majorBidi" w:hAnsiTheme="majorBidi" w:cstheme="majorBidi"/>
        </w:rPr>
        <w:t>, </w:t>
      </w:r>
      <w:r w:rsidRPr="00866BC9">
        <w:rPr>
          <w:rFonts w:asciiTheme="majorBidi" w:hAnsiTheme="majorBidi" w:cstheme="majorBidi"/>
          <w:i/>
          <w:iCs/>
        </w:rPr>
        <w:t>98</w:t>
      </w:r>
      <w:r w:rsidRPr="00866BC9">
        <w:rPr>
          <w:rFonts w:asciiTheme="majorBidi" w:hAnsiTheme="majorBidi" w:cstheme="majorBidi"/>
        </w:rPr>
        <w:t>, 413-429.</w:t>
      </w:r>
    </w:p>
    <w:p w14:paraId="5C752227" w14:textId="7ADD421E" w:rsidR="000E214C" w:rsidRPr="008D3DA1" w:rsidRDefault="000E214C" w:rsidP="00E30C81">
      <w:pPr>
        <w:spacing w:after="120" w:line="240" w:lineRule="auto"/>
        <w:ind w:left="720" w:hanging="720"/>
        <w:rPr>
          <w:rFonts w:asciiTheme="majorBidi" w:hAnsiTheme="majorBidi" w:cstheme="majorBidi"/>
        </w:rPr>
      </w:pPr>
      <w:r w:rsidRPr="000E214C">
        <w:rPr>
          <w:rFonts w:asciiTheme="majorBidi" w:hAnsiTheme="majorBidi" w:cstheme="majorBidi"/>
        </w:rPr>
        <w:t>Gibson, J., Olivia, S., &amp; Boe‐Gibson, G. (2020). Night lights in economics: Sources and uses.</w:t>
      </w:r>
      <w:r>
        <w:rPr>
          <w:rFonts w:asciiTheme="majorBidi" w:hAnsiTheme="majorBidi" w:cstheme="majorBidi"/>
        </w:rPr>
        <w:t xml:space="preserve"> </w:t>
      </w:r>
      <w:r w:rsidRPr="000E214C">
        <w:rPr>
          <w:rFonts w:asciiTheme="majorBidi" w:hAnsiTheme="majorBidi" w:cstheme="majorBidi"/>
          <w:i/>
          <w:iCs/>
        </w:rPr>
        <w:t>Journal of Economic Surveys</w:t>
      </w:r>
      <w:r w:rsidRPr="000E214C">
        <w:rPr>
          <w:rFonts w:asciiTheme="majorBidi" w:hAnsiTheme="majorBidi" w:cstheme="majorBidi"/>
        </w:rPr>
        <w:t>, </w:t>
      </w:r>
      <w:r w:rsidRPr="000E214C">
        <w:rPr>
          <w:rFonts w:asciiTheme="majorBidi" w:hAnsiTheme="majorBidi" w:cstheme="majorBidi"/>
          <w:i/>
          <w:iCs/>
        </w:rPr>
        <w:t>34</w:t>
      </w:r>
      <w:r w:rsidRPr="000E214C">
        <w:rPr>
          <w:rFonts w:asciiTheme="majorBidi" w:hAnsiTheme="majorBidi" w:cstheme="majorBidi"/>
        </w:rPr>
        <w:t>(5), 955-980.</w:t>
      </w:r>
    </w:p>
    <w:p w14:paraId="43CCB58F" w14:textId="77777777" w:rsidR="000E214C" w:rsidRDefault="000E214C" w:rsidP="00E30C81">
      <w:pPr>
        <w:spacing w:after="120" w:line="240" w:lineRule="auto"/>
        <w:ind w:left="720" w:hanging="720"/>
        <w:rPr>
          <w:rFonts w:asciiTheme="majorBidi" w:hAnsiTheme="majorBidi" w:cstheme="majorBidi"/>
        </w:rPr>
      </w:pPr>
      <w:r w:rsidRPr="008D3DA1">
        <w:rPr>
          <w:rFonts w:asciiTheme="majorBidi" w:hAnsiTheme="majorBidi" w:cstheme="majorBidi"/>
        </w:rPr>
        <w:t>Gibson, J. (2021). Better night lights data, for longer. </w:t>
      </w:r>
      <w:r w:rsidRPr="008D3DA1">
        <w:rPr>
          <w:rFonts w:asciiTheme="majorBidi" w:hAnsiTheme="majorBidi" w:cstheme="majorBidi"/>
          <w:i/>
          <w:iCs/>
        </w:rPr>
        <w:t>Oxford Bulletin of Economics and Statistics</w:t>
      </w:r>
      <w:r w:rsidRPr="008D3DA1">
        <w:rPr>
          <w:rFonts w:asciiTheme="majorBidi" w:hAnsiTheme="majorBidi" w:cstheme="majorBidi"/>
        </w:rPr>
        <w:t>, </w:t>
      </w:r>
      <w:r w:rsidRPr="008D3DA1">
        <w:rPr>
          <w:rFonts w:asciiTheme="majorBidi" w:hAnsiTheme="majorBidi" w:cstheme="majorBidi"/>
          <w:i/>
          <w:iCs/>
        </w:rPr>
        <w:t>83</w:t>
      </w:r>
      <w:r w:rsidRPr="008D3DA1">
        <w:rPr>
          <w:rFonts w:asciiTheme="majorBidi" w:hAnsiTheme="majorBidi" w:cstheme="majorBidi"/>
        </w:rPr>
        <w:t>(3), 770-791.</w:t>
      </w:r>
    </w:p>
    <w:p w14:paraId="1F5E0E43" w14:textId="77777777" w:rsidR="000E214C" w:rsidRDefault="000E214C" w:rsidP="00E30C81">
      <w:pPr>
        <w:spacing w:after="120" w:line="240" w:lineRule="auto"/>
        <w:ind w:left="720" w:hanging="720"/>
        <w:rPr>
          <w:rFonts w:asciiTheme="majorBidi" w:hAnsiTheme="majorBidi" w:cstheme="majorBidi"/>
        </w:rPr>
      </w:pPr>
      <w:r w:rsidRPr="009601E0">
        <w:rPr>
          <w:rFonts w:asciiTheme="majorBidi" w:hAnsiTheme="majorBidi" w:cstheme="majorBidi"/>
        </w:rPr>
        <w:t>Gibson, J., Jiang, Y., Zhang, X., &amp; Boe-Gibson, G. (2024). Are disaster impact estimates distorted by errors in popular night-time lights data? </w:t>
      </w:r>
      <w:r w:rsidRPr="009601E0">
        <w:rPr>
          <w:rFonts w:asciiTheme="majorBidi" w:hAnsiTheme="majorBidi" w:cstheme="majorBidi"/>
          <w:i/>
          <w:iCs/>
        </w:rPr>
        <w:t>Economics of Disasters and Climate Change</w:t>
      </w:r>
      <w:r w:rsidRPr="009601E0">
        <w:rPr>
          <w:rFonts w:asciiTheme="majorBidi" w:hAnsiTheme="majorBidi" w:cstheme="majorBidi"/>
        </w:rPr>
        <w:t>, </w:t>
      </w:r>
      <w:r w:rsidRPr="009601E0">
        <w:rPr>
          <w:rFonts w:asciiTheme="majorBidi" w:hAnsiTheme="majorBidi" w:cstheme="majorBidi"/>
          <w:i/>
          <w:iCs/>
        </w:rPr>
        <w:t>8</w:t>
      </w:r>
      <w:r w:rsidRPr="009601E0">
        <w:rPr>
          <w:rFonts w:asciiTheme="majorBidi" w:hAnsiTheme="majorBidi" w:cstheme="majorBidi"/>
        </w:rPr>
        <w:t>(3), 391-416.</w:t>
      </w:r>
    </w:p>
    <w:p w14:paraId="08A25469" w14:textId="32C8105D" w:rsidR="0024095C" w:rsidRDefault="0024095C" w:rsidP="0024095C">
      <w:pPr>
        <w:spacing w:after="120" w:line="240" w:lineRule="auto"/>
        <w:ind w:left="720" w:hanging="720"/>
        <w:rPr>
          <w:rFonts w:asciiTheme="majorBidi" w:hAnsiTheme="majorBidi" w:cstheme="majorBidi"/>
        </w:rPr>
      </w:pPr>
      <w:r w:rsidRPr="0024095C">
        <w:rPr>
          <w:rFonts w:asciiTheme="majorBidi" w:hAnsiTheme="majorBidi" w:cstheme="majorBidi"/>
        </w:rPr>
        <w:t>Grimes, A., &amp; Young, C. (2011). Spatial effects of</w:t>
      </w:r>
      <w:r>
        <w:rPr>
          <w:rFonts w:asciiTheme="majorBidi" w:hAnsiTheme="majorBidi" w:cstheme="majorBidi"/>
        </w:rPr>
        <w:t xml:space="preserve"> </w:t>
      </w:r>
      <w:r w:rsidR="00F41C6F">
        <w:rPr>
          <w:rFonts w:asciiTheme="majorBidi" w:hAnsiTheme="majorBidi" w:cstheme="majorBidi"/>
        </w:rPr>
        <w:t>‘</w:t>
      </w:r>
      <w:r w:rsidRPr="0024095C">
        <w:rPr>
          <w:rFonts w:asciiTheme="majorBidi" w:hAnsiTheme="majorBidi" w:cstheme="majorBidi"/>
        </w:rPr>
        <w:t>mill</w:t>
      </w:r>
      <w:r w:rsidR="00F41C6F">
        <w:rPr>
          <w:rFonts w:asciiTheme="majorBidi" w:hAnsiTheme="majorBidi" w:cstheme="majorBidi"/>
        </w:rPr>
        <w:t>’</w:t>
      </w:r>
      <w:r>
        <w:rPr>
          <w:rFonts w:asciiTheme="majorBidi" w:hAnsiTheme="majorBidi" w:cstheme="majorBidi"/>
        </w:rPr>
        <w:t xml:space="preserve"> </w:t>
      </w:r>
      <w:r w:rsidRPr="0024095C">
        <w:rPr>
          <w:rFonts w:asciiTheme="majorBidi" w:hAnsiTheme="majorBidi" w:cstheme="majorBidi"/>
        </w:rPr>
        <w:t>closures: Does distance</w:t>
      </w:r>
      <w:r>
        <w:rPr>
          <w:rFonts w:asciiTheme="majorBidi" w:hAnsiTheme="majorBidi" w:cstheme="majorBidi"/>
        </w:rPr>
        <w:t xml:space="preserve"> matter?</w:t>
      </w:r>
      <w:r w:rsidRPr="0024095C">
        <w:rPr>
          <w:rFonts w:asciiTheme="majorBidi" w:hAnsiTheme="majorBidi" w:cstheme="majorBidi"/>
        </w:rPr>
        <w:t xml:space="preserve"> </w:t>
      </w:r>
      <w:r w:rsidRPr="0024095C">
        <w:rPr>
          <w:rFonts w:asciiTheme="majorBidi" w:hAnsiTheme="majorBidi" w:cstheme="majorBidi"/>
          <w:i/>
          <w:iCs/>
        </w:rPr>
        <w:t>Australasian Journal of Regional Studies</w:t>
      </w:r>
      <w:r w:rsidRPr="0024095C">
        <w:rPr>
          <w:rFonts w:asciiTheme="majorBidi" w:hAnsiTheme="majorBidi" w:cstheme="majorBidi"/>
        </w:rPr>
        <w:t>, </w:t>
      </w:r>
      <w:r w:rsidRPr="0024095C">
        <w:rPr>
          <w:rFonts w:asciiTheme="majorBidi" w:hAnsiTheme="majorBidi" w:cstheme="majorBidi"/>
          <w:i/>
          <w:iCs/>
        </w:rPr>
        <w:t>17</w:t>
      </w:r>
      <w:r w:rsidRPr="0024095C">
        <w:rPr>
          <w:rFonts w:asciiTheme="majorBidi" w:hAnsiTheme="majorBidi" w:cstheme="majorBidi"/>
        </w:rPr>
        <w:t>(3), 264-299.</w:t>
      </w:r>
    </w:p>
    <w:p w14:paraId="313D60F7" w14:textId="4E5C99FD" w:rsidR="002178F4" w:rsidRDefault="002178F4" w:rsidP="002178F4">
      <w:pPr>
        <w:spacing w:after="120" w:line="240" w:lineRule="auto"/>
        <w:ind w:left="720" w:hanging="720"/>
        <w:rPr>
          <w:rFonts w:asciiTheme="majorBidi" w:hAnsiTheme="majorBidi" w:cstheme="majorBidi"/>
        </w:rPr>
      </w:pPr>
      <w:r w:rsidRPr="002178F4">
        <w:rPr>
          <w:rFonts w:asciiTheme="majorBidi" w:hAnsiTheme="majorBidi" w:cstheme="majorBidi"/>
        </w:rPr>
        <w:t xml:space="preserve">Grimes, A., </w:t>
      </w:r>
      <w:proofErr w:type="spellStart"/>
      <w:r w:rsidRPr="002178F4">
        <w:rPr>
          <w:rFonts w:asciiTheme="majorBidi" w:hAnsiTheme="majorBidi" w:cstheme="majorBidi"/>
        </w:rPr>
        <w:t>Apatov</w:t>
      </w:r>
      <w:proofErr w:type="spellEnd"/>
      <w:r w:rsidRPr="002178F4">
        <w:rPr>
          <w:rFonts w:asciiTheme="majorBidi" w:hAnsiTheme="majorBidi" w:cstheme="majorBidi"/>
        </w:rPr>
        <w:t>, E., Lutchman, L., &amp; Robinson, A. (2016). Eighty years of urban development in New Zealand: impacts of economic and natural factors. </w:t>
      </w:r>
      <w:r w:rsidRPr="002178F4">
        <w:rPr>
          <w:rFonts w:asciiTheme="majorBidi" w:hAnsiTheme="majorBidi" w:cstheme="majorBidi"/>
          <w:i/>
          <w:iCs/>
        </w:rPr>
        <w:t>New Zealand Economic Papers</w:t>
      </w:r>
      <w:r w:rsidRPr="002178F4">
        <w:rPr>
          <w:rFonts w:asciiTheme="majorBidi" w:hAnsiTheme="majorBidi" w:cstheme="majorBidi"/>
        </w:rPr>
        <w:t>, </w:t>
      </w:r>
      <w:r w:rsidRPr="002178F4">
        <w:rPr>
          <w:rFonts w:asciiTheme="majorBidi" w:hAnsiTheme="majorBidi" w:cstheme="majorBidi"/>
          <w:i/>
          <w:iCs/>
        </w:rPr>
        <w:t>50</w:t>
      </w:r>
      <w:r w:rsidRPr="002178F4">
        <w:rPr>
          <w:rFonts w:asciiTheme="majorBidi" w:hAnsiTheme="majorBidi" w:cstheme="majorBidi"/>
        </w:rPr>
        <w:t>(3), 303-322.</w:t>
      </w:r>
    </w:p>
    <w:p w14:paraId="76455E52" w14:textId="77777777" w:rsidR="000E214C" w:rsidRDefault="000E214C" w:rsidP="00E30C81">
      <w:pPr>
        <w:spacing w:after="120" w:line="240" w:lineRule="auto"/>
        <w:ind w:left="720" w:hanging="720"/>
        <w:rPr>
          <w:rFonts w:asciiTheme="majorBidi" w:hAnsiTheme="majorBidi" w:cstheme="majorBidi"/>
        </w:rPr>
      </w:pPr>
      <w:r w:rsidRPr="00D7431D">
        <w:rPr>
          <w:rFonts w:asciiTheme="majorBidi" w:hAnsiTheme="majorBidi" w:cstheme="majorBidi"/>
        </w:rPr>
        <w:t>Guo, J., Zhang, F., Zhao, H., Pan, B., &amp; Mei, L. (2025). Global reconstruction of three decades of fine-grained nighttime light data with analysis of large-scale infrastructure and landmarks. </w:t>
      </w:r>
      <w:r w:rsidRPr="00D7431D">
        <w:rPr>
          <w:rFonts w:asciiTheme="majorBidi" w:hAnsiTheme="majorBidi" w:cstheme="majorBidi"/>
          <w:i/>
          <w:iCs/>
        </w:rPr>
        <w:t>Remote Sensing of Environment</w:t>
      </w:r>
      <w:r w:rsidRPr="00D7431D">
        <w:rPr>
          <w:rFonts w:asciiTheme="majorBidi" w:hAnsiTheme="majorBidi" w:cstheme="majorBidi"/>
        </w:rPr>
        <w:t>, </w:t>
      </w:r>
      <w:r w:rsidRPr="00D7431D">
        <w:rPr>
          <w:rFonts w:asciiTheme="majorBidi" w:hAnsiTheme="majorBidi" w:cstheme="majorBidi"/>
          <w:i/>
          <w:iCs/>
        </w:rPr>
        <w:t>331</w:t>
      </w:r>
      <w:r w:rsidRPr="00D7431D">
        <w:rPr>
          <w:rFonts w:asciiTheme="majorBidi" w:hAnsiTheme="majorBidi" w:cstheme="majorBidi"/>
        </w:rPr>
        <w:t>, 115036.</w:t>
      </w:r>
    </w:p>
    <w:p w14:paraId="0E73AA4D" w14:textId="5624EADD" w:rsidR="00507BD7" w:rsidRDefault="00507BD7" w:rsidP="00507BD7">
      <w:pPr>
        <w:spacing w:after="120" w:line="240" w:lineRule="auto"/>
        <w:ind w:left="720" w:hanging="720"/>
        <w:rPr>
          <w:rFonts w:asciiTheme="majorBidi" w:hAnsiTheme="majorBidi" w:cstheme="majorBidi"/>
        </w:rPr>
      </w:pPr>
      <w:r w:rsidRPr="00507BD7">
        <w:rPr>
          <w:rFonts w:asciiTheme="majorBidi" w:hAnsiTheme="majorBidi" w:cstheme="majorBidi"/>
        </w:rPr>
        <w:t>Jackson, N., &amp; Cameron, M. P. (2018). The unavoidable nature of population ageing and the ageing-driven end of growth–an update for New Zealand. </w:t>
      </w:r>
      <w:r w:rsidRPr="00507BD7">
        <w:rPr>
          <w:rFonts w:asciiTheme="majorBidi" w:hAnsiTheme="majorBidi" w:cstheme="majorBidi"/>
          <w:i/>
          <w:iCs/>
        </w:rPr>
        <w:t>Journal of Population Ageing</w:t>
      </w:r>
      <w:r w:rsidRPr="00507BD7">
        <w:rPr>
          <w:rFonts w:asciiTheme="majorBidi" w:hAnsiTheme="majorBidi" w:cstheme="majorBidi"/>
        </w:rPr>
        <w:t>, </w:t>
      </w:r>
      <w:r w:rsidRPr="00507BD7">
        <w:rPr>
          <w:rFonts w:asciiTheme="majorBidi" w:hAnsiTheme="majorBidi" w:cstheme="majorBidi"/>
          <w:i/>
          <w:iCs/>
        </w:rPr>
        <w:t>11</w:t>
      </w:r>
      <w:r w:rsidRPr="00507BD7">
        <w:rPr>
          <w:rFonts w:asciiTheme="majorBidi" w:hAnsiTheme="majorBidi" w:cstheme="majorBidi"/>
        </w:rPr>
        <w:t>(3), 239-264.</w:t>
      </w:r>
    </w:p>
    <w:p w14:paraId="00D7625D" w14:textId="3D157E8C" w:rsidR="00B54624" w:rsidRDefault="00B54624" w:rsidP="00B54624">
      <w:pPr>
        <w:spacing w:after="120" w:line="240" w:lineRule="auto"/>
        <w:ind w:left="720" w:hanging="720"/>
        <w:rPr>
          <w:rFonts w:asciiTheme="majorBidi" w:hAnsiTheme="majorBidi" w:cstheme="majorBidi"/>
        </w:rPr>
      </w:pPr>
      <w:r w:rsidRPr="00B54624">
        <w:rPr>
          <w:rFonts w:asciiTheme="majorBidi" w:hAnsiTheme="majorBidi" w:cstheme="majorBidi"/>
        </w:rPr>
        <w:t>Jackson, N., Brabyn, L., Maré, D., Cameron, M., &amp; Pool, I. (2019). From ageing-driven growth towards the ending of growth. Subnational population trends in New Zealand. In </w:t>
      </w:r>
      <w:r w:rsidR="008330A9">
        <w:rPr>
          <w:rFonts w:asciiTheme="majorBidi" w:hAnsiTheme="majorBidi" w:cstheme="majorBidi"/>
        </w:rPr>
        <w:t xml:space="preserve">J. Anson, W. Bartl, A. Kulczycki (eds) </w:t>
      </w:r>
      <w:r w:rsidRPr="00B54624">
        <w:rPr>
          <w:rFonts w:asciiTheme="majorBidi" w:hAnsiTheme="majorBidi" w:cstheme="majorBidi"/>
          <w:i/>
          <w:iCs/>
        </w:rPr>
        <w:t xml:space="preserve">Studies in the </w:t>
      </w:r>
      <w:r>
        <w:rPr>
          <w:rFonts w:asciiTheme="majorBidi" w:hAnsiTheme="majorBidi" w:cstheme="majorBidi"/>
          <w:i/>
          <w:iCs/>
        </w:rPr>
        <w:t>S</w:t>
      </w:r>
      <w:r w:rsidRPr="00B54624">
        <w:rPr>
          <w:rFonts w:asciiTheme="majorBidi" w:hAnsiTheme="majorBidi" w:cstheme="majorBidi"/>
          <w:i/>
          <w:iCs/>
        </w:rPr>
        <w:t xml:space="preserve">ociology of </w:t>
      </w:r>
      <w:r>
        <w:rPr>
          <w:rFonts w:asciiTheme="majorBidi" w:hAnsiTheme="majorBidi" w:cstheme="majorBidi"/>
          <w:i/>
          <w:iCs/>
        </w:rPr>
        <w:t>P</w:t>
      </w:r>
      <w:r w:rsidRPr="00B54624">
        <w:rPr>
          <w:rFonts w:asciiTheme="majorBidi" w:hAnsiTheme="majorBidi" w:cstheme="majorBidi"/>
          <w:i/>
          <w:iCs/>
        </w:rPr>
        <w:t xml:space="preserve">opulation: International </w:t>
      </w:r>
      <w:r>
        <w:rPr>
          <w:rFonts w:asciiTheme="majorBidi" w:hAnsiTheme="majorBidi" w:cstheme="majorBidi"/>
          <w:i/>
          <w:iCs/>
        </w:rPr>
        <w:t>P</w:t>
      </w:r>
      <w:r w:rsidRPr="00B54624">
        <w:rPr>
          <w:rFonts w:asciiTheme="majorBidi" w:hAnsiTheme="majorBidi" w:cstheme="majorBidi"/>
          <w:i/>
          <w:iCs/>
        </w:rPr>
        <w:t>erspectives</w:t>
      </w:r>
      <w:r w:rsidRPr="00B54624">
        <w:rPr>
          <w:rFonts w:asciiTheme="majorBidi" w:hAnsiTheme="majorBidi" w:cstheme="majorBidi"/>
        </w:rPr>
        <w:t> (pp. 161-193). Cham: Springer International Publishing.</w:t>
      </w:r>
    </w:p>
    <w:p w14:paraId="13FB414C" w14:textId="10626F78" w:rsidR="000B5B79" w:rsidRDefault="000B5B79" w:rsidP="000B5B79">
      <w:pPr>
        <w:spacing w:after="120" w:line="240" w:lineRule="auto"/>
        <w:ind w:left="720" w:hanging="720"/>
        <w:rPr>
          <w:rFonts w:asciiTheme="majorBidi" w:hAnsiTheme="majorBidi" w:cstheme="majorBidi"/>
        </w:rPr>
      </w:pPr>
      <w:r w:rsidRPr="000B5B79">
        <w:rPr>
          <w:rFonts w:asciiTheme="majorBidi" w:hAnsiTheme="majorBidi" w:cstheme="majorBidi"/>
        </w:rPr>
        <w:t>Nel, E., Connelly, S., &amp; Stevenson, T. (2019). New Zealand's small town transition: The experience of demographic and economic change and place based responses. </w:t>
      </w:r>
      <w:r w:rsidRPr="000B5B79">
        <w:rPr>
          <w:rFonts w:asciiTheme="majorBidi" w:hAnsiTheme="majorBidi" w:cstheme="majorBidi"/>
          <w:i/>
          <w:iCs/>
        </w:rPr>
        <w:t>New Zealand Geographer</w:t>
      </w:r>
      <w:r w:rsidRPr="000B5B79">
        <w:rPr>
          <w:rFonts w:asciiTheme="majorBidi" w:hAnsiTheme="majorBidi" w:cstheme="majorBidi"/>
        </w:rPr>
        <w:t>, </w:t>
      </w:r>
      <w:r w:rsidRPr="000B5B79">
        <w:rPr>
          <w:rFonts w:asciiTheme="majorBidi" w:hAnsiTheme="majorBidi" w:cstheme="majorBidi"/>
          <w:i/>
          <w:iCs/>
        </w:rPr>
        <w:t>75</w:t>
      </w:r>
      <w:r w:rsidRPr="000B5B79">
        <w:rPr>
          <w:rFonts w:asciiTheme="majorBidi" w:hAnsiTheme="majorBidi" w:cstheme="majorBidi"/>
        </w:rPr>
        <w:t>(3), 163-176.</w:t>
      </w:r>
    </w:p>
    <w:p w14:paraId="3AED0C52" w14:textId="7E666581" w:rsidR="007D7C41" w:rsidRDefault="007D7C41" w:rsidP="007D7C41">
      <w:pPr>
        <w:spacing w:after="120" w:line="240" w:lineRule="auto"/>
        <w:ind w:left="720" w:hanging="720"/>
        <w:rPr>
          <w:rFonts w:asciiTheme="majorBidi" w:hAnsiTheme="majorBidi" w:cstheme="majorBidi"/>
        </w:rPr>
      </w:pPr>
      <w:r w:rsidRPr="007D7C41">
        <w:rPr>
          <w:rFonts w:asciiTheme="majorBidi" w:hAnsiTheme="majorBidi" w:cstheme="majorBidi"/>
        </w:rPr>
        <w:t xml:space="preserve">Olivia, S., Boe‐Gibson, G., Stitchbury, G., Brabyn, L., &amp; Gibson, J. (2018). Urban land expansion in Indonesia 1992–2012: </w:t>
      </w:r>
      <w:r>
        <w:rPr>
          <w:rFonts w:asciiTheme="majorBidi" w:hAnsiTheme="majorBidi" w:cstheme="majorBidi"/>
        </w:rPr>
        <w:t>E</w:t>
      </w:r>
      <w:r w:rsidRPr="007D7C41">
        <w:rPr>
          <w:rFonts w:asciiTheme="majorBidi" w:hAnsiTheme="majorBidi" w:cstheme="majorBidi"/>
        </w:rPr>
        <w:t xml:space="preserve">vidence from satellite‐detected </w:t>
      </w:r>
      <w:r>
        <w:rPr>
          <w:rFonts w:asciiTheme="majorBidi" w:hAnsiTheme="majorBidi" w:cstheme="majorBidi"/>
        </w:rPr>
        <w:t xml:space="preserve">luminosity. </w:t>
      </w:r>
      <w:r w:rsidRPr="007D7C41">
        <w:rPr>
          <w:rFonts w:asciiTheme="majorBidi" w:hAnsiTheme="majorBidi" w:cstheme="majorBidi"/>
          <w:i/>
          <w:iCs/>
        </w:rPr>
        <w:t>Australian Journal of Agricultural and Resource Economics</w:t>
      </w:r>
      <w:r w:rsidRPr="007D7C41">
        <w:rPr>
          <w:rFonts w:asciiTheme="majorBidi" w:hAnsiTheme="majorBidi" w:cstheme="majorBidi"/>
        </w:rPr>
        <w:t>, </w:t>
      </w:r>
      <w:r w:rsidRPr="007D7C41">
        <w:rPr>
          <w:rFonts w:asciiTheme="majorBidi" w:hAnsiTheme="majorBidi" w:cstheme="majorBidi"/>
          <w:i/>
          <w:iCs/>
        </w:rPr>
        <w:t>62</w:t>
      </w:r>
      <w:r w:rsidRPr="007D7C41">
        <w:rPr>
          <w:rFonts w:asciiTheme="majorBidi" w:hAnsiTheme="majorBidi" w:cstheme="majorBidi"/>
        </w:rPr>
        <w:t>(3), 438-456.</w:t>
      </w:r>
    </w:p>
    <w:p w14:paraId="64DA936A" w14:textId="76D5676A" w:rsidR="001D2570" w:rsidRDefault="001D2570" w:rsidP="00E30C81">
      <w:pPr>
        <w:spacing w:after="120" w:line="240" w:lineRule="auto"/>
        <w:ind w:left="720" w:hanging="720"/>
        <w:rPr>
          <w:rFonts w:asciiTheme="majorBidi" w:hAnsiTheme="majorBidi" w:cstheme="majorBidi"/>
        </w:rPr>
      </w:pPr>
      <w:r w:rsidRPr="001D2570">
        <w:rPr>
          <w:rFonts w:asciiTheme="majorBidi" w:hAnsiTheme="majorBidi" w:cstheme="majorBidi"/>
        </w:rPr>
        <w:t>Small, C., Pozzi, F., &amp; Elvidge, C. D. (2005). Spatial analysis of global urban extent from DMSP-OLS night lights. </w:t>
      </w:r>
      <w:r w:rsidRPr="001D2570">
        <w:rPr>
          <w:rFonts w:asciiTheme="majorBidi" w:hAnsiTheme="majorBidi" w:cstheme="majorBidi"/>
          <w:i/>
          <w:iCs/>
        </w:rPr>
        <w:t>Remote Sensing of Environment</w:t>
      </w:r>
      <w:r w:rsidRPr="001D2570">
        <w:rPr>
          <w:rFonts w:asciiTheme="majorBidi" w:hAnsiTheme="majorBidi" w:cstheme="majorBidi"/>
        </w:rPr>
        <w:t>, </w:t>
      </w:r>
      <w:r w:rsidRPr="001D2570">
        <w:rPr>
          <w:rFonts w:asciiTheme="majorBidi" w:hAnsiTheme="majorBidi" w:cstheme="majorBidi"/>
          <w:i/>
          <w:iCs/>
        </w:rPr>
        <w:t>96</w:t>
      </w:r>
      <w:r w:rsidRPr="001D2570">
        <w:rPr>
          <w:rFonts w:asciiTheme="majorBidi" w:hAnsiTheme="majorBidi" w:cstheme="majorBidi"/>
        </w:rPr>
        <w:t>(3-4), 277-291.</w:t>
      </w:r>
    </w:p>
    <w:p w14:paraId="40496C9E" w14:textId="071CC886" w:rsidR="000E214C" w:rsidRDefault="000E214C" w:rsidP="00E30C81">
      <w:pPr>
        <w:spacing w:after="120" w:line="240" w:lineRule="auto"/>
        <w:ind w:left="720" w:hanging="720"/>
        <w:rPr>
          <w:rFonts w:asciiTheme="majorBidi" w:hAnsiTheme="majorBidi" w:cstheme="majorBidi"/>
        </w:rPr>
      </w:pPr>
      <w:r w:rsidRPr="00F85510">
        <w:rPr>
          <w:rFonts w:asciiTheme="majorBidi" w:hAnsiTheme="majorBidi" w:cstheme="majorBidi"/>
        </w:rPr>
        <w:t>Tuttle, B. T., Anderson, S. J., Sutton, P. C., Elvidge, C. D., &amp; Baugh, K. (2013). It used to be dark here. </w:t>
      </w:r>
      <w:r w:rsidRPr="00F85510">
        <w:rPr>
          <w:rFonts w:asciiTheme="majorBidi" w:hAnsiTheme="majorBidi" w:cstheme="majorBidi"/>
          <w:i/>
          <w:iCs/>
        </w:rPr>
        <w:t>Photogrammetric Engineering &amp; Remote Sensing</w:t>
      </w:r>
      <w:r w:rsidRPr="00F85510">
        <w:rPr>
          <w:rFonts w:asciiTheme="majorBidi" w:hAnsiTheme="majorBidi" w:cstheme="majorBidi"/>
        </w:rPr>
        <w:t>, </w:t>
      </w:r>
      <w:r w:rsidRPr="00F85510">
        <w:rPr>
          <w:rFonts w:asciiTheme="majorBidi" w:hAnsiTheme="majorBidi" w:cstheme="majorBidi"/>
          <w:i/>
          <w:iCs/>
        </w:rPr>
        <w:t>79</w:t>
      </w:r>
      <w:r w:rsidRPr="00F85510">
        <w:rPr>
          <w:rFonts w:asciiTheme="majorBidi" w:hAnsiTheme="majorBidi" w:cstheme="majorBidi"/>
        </w:rPr>
        <w:t>(3), 287-297.</w:t>
      </w:r>
    </w:p>
    <w:p w14:paraId="61120F27" w14:textId="17EADF54" w:rsidR="000E214C" w:rsidRDefault="000E214C" w:rsidP="00E30C81">
      <w:pPr>
        <w:spacing w:after="120" w:line="240" w:lineRule="auto"/>
        <w:ind w:left="720" w:hanging="720"/>
        <w:rPr>
          <w:rFonts w:asciiTheme="majorBidi" w:hAnsiTheme="majorBidi" w:cstheme="majorBidi"/>
        </w:rPr>
      </w:pPr>
      <w:r w:rsidRPr="000E214C">
        <w:rPr>
          <w:rFonts w:asciiTheme="majorBidi" w:hAnsiTheme="majorBidi" w:cstheme="majorBidi"/>
        </w:rPr>
        <w:t>Zhang, X., Gibson, J., &amp; Deng, X. (2023). Remotely too equal: Popular DMSP night‐time lights data understate spatial inequality. </w:t>
      </w:r>
      <w:r w:rsidRPr="000E214C">
        <w:rPr>
          <w:rFonts w:asciiTheme="majorBidi" w:hAnsiTheme="majorBidi" w:cstheme="majorBidi"/>
          <w:i/>
          <w:iCs/>
        </w:rPr>
        <w:t>Regional Science Policy &amp; Practice</w:t>
      </w:r>
      <w:r w:rsidRPr="000E214C">
        <w:rPr>
          <w:rFonts w:asciiTheme="majorBidi" w:hAnsiTheme="majorBidi" w:cstheme="majorBidi"/>
        </w:rPr>
        <w:t>, </w:t>
      </w:r>
      <w:r w:rsidRPr="000E214C">
        <w:rPr>
          <w:rFonts w:asciiTheme="majorBidi" w:hAnsiTheme="majorBidi" w:cstheme="majorBidi"/>
          <w:i/>
          <w:iCs/>
        </w:rPr>
        <w:t>15</w:t>
      </w:r>
      <w:r w:rsidRPr="000E214C">
        <w:rPr>
          <w:rFonts w:asciiTheme="majorBidi" w:hAnsiTheme="majorBidi" w:cstheme="majorBidi"/>
        </w:rPr>
        <w:t>(9), 2106-2126.</w:t>
      </w:r>
    </w:p>
    <w:p w14:paraId="2407FA0A" w14:textId="77777777" w:rsidR="00935EAC" w:rsidRPr="005059D4" w:rsidRDefault="003E67FB">
      <w:pPr>
        <w:rPr>
          <w:rFonts w:asciiTheme="majorBidi" w:hAnsiTheme="majorBidi" w:cstheme="majorBidi"/>
          <w:noProof/>
          <w:sz w:val="4"/>
          <w:szCs w:val="4"/>
        </w:rPr>
      </w:pPr>
      <w:r>
        <w:rPr>
          <w:rFonts w:asciiTheme="majorBidi" w:hAnsiTheme="majorBidi" w:cstheme="majorBid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7851"/>
      </w:tblGrid>
      <w:tr w:rsidR="00623BCF" w14:paraId="727CD79F" w14:textId="77777777" w:rsidTr="00EA162E">
        <w:tc>
          <w:tcPr>
            <w:tcW w:w="1175" w:type="dxa"/>
          </w:tcPr>
          <w:p w14:paraId="49915027" w14:textId="60AC8B2F" w:rsidR="00623BCF" w:rsidRPr="00835667" w:rsidRDefault="00623BCF">
            <w:pPr>
              <w:rPr>
                <w:rFonts w:ascii="Times New Roman" w:hAnsi="Times New Roman" w:cs="Times New Roman"/>
                <w:b/>
                <w:bCs/>
                <w:sz w:val="22"/>
                <w:szCs w:val="22"/>
              </w:rPr>
            </w:pPr>
            <w:r>
              <w:lastRenderedPageBreak/>
              <w:br w:type="page"/>
            </w:r>
            <w:r w:rsidR="00835667" w:rsidRPr="00835667">
              <w:rPr>
                <w:rFonts w:ascii="Times New Roman" w:hAnsi="Times New Roman" w:cs="Times New Roman"/>
                <w:b/>
                <w:bCs/>
                <w:sz w:val="22"/>
                <w:szCs w:val="22"/>
              </w:rPr>
              <w:t>Appendix</w:t>
            </w:r>
          </w:p>
        </w:tc>
        <w:tc>
          <w:tcPr>
            <w:tcW w:w="7851" w:type="dxa"/>
          </w:tcPr>
          <w:p w14:paraId="66BCC274" w14:textId="18CA3A4B" w:rsidR="00623BCF" w:rsidRDefault="00835667">
            <w:r w:rsidRPr="005059D4">
              <w:rPr>
                <w:rFonts w:asciiTheme="majorBidi" w:hAnsiTheme="majorBidi" w:cstheme="majorBidi"/>
                <w:noProof/>
                <w:sz w:val="4"/>
                <w:szCs w:val="4"/>
              </w:rPr>
              <w:drawing>
                <wp:inline distT="0" distB="0" distL="0" distR="0" wp14:anchorId="212B1BFA" wp14:editId="5B015E21">
                  <wp:extent cx="4848225" cy="8863330"/>
                  <wp:effectExtent l="0" t="0" r="0" b="0"/>
                  <wp:docPr id="296352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8225" cy="8863330"/>
                          </a:xfrm>
                          <a:prstGeom prst="rect">
                            <a:avLst/>
                          </a:prstGeom>
                          <a:noFill/>
                          <a:ln>
                            <a:noFill/>
                          </a:ln>
                        </pic:spPr>
                      </pic:pic>
                    </a:graphicData>
                  </a:graphic>
                </wp:inline>
              </w:drawing>
            </w:r>
          </w:p>
        </w:tc>
      </w:tr>
      <w:tr w:rsidR="00623BCF" w14:paraId="0B856C6B" w14:textId="77777777" w:rsidTr="00EA162E">
        <w:tc>
          <w:tcPr>
            <w:tcW w:w="1175" w:type="dxa"/>
          </w:tcPr>
          <w:p w14:paraId="3A68D5CA" w14:textId="77777777" w:rsidR="00623BCF" w:rsidRDefault="00623BCF"/>
        </w:tc>
        <w:tc>
          <w:tcPr>
            <w:tcW w:w="7851" w:type="dxa"/>
          </w:tcPr>
          <w:p w14:paraId="62DE76EE" w14:textId="72041F40" w:rsidR="00623BCF" w:rsidRDefault="00835667">
            <w:r w:rsidRPr="005059D4">
              <w:rPr>
                <w:rFonts w:asciiTheme="majorBidi" w:hAnsiTheme="majorBidi" w:cstheme="majorBidi"/>
                <w:noProof/>
                <w:sz w:val="4"/>
                <w:szCs w:val="4"/>
              </w:rPr>
              <w:drawing>
                <wp:inline distT="0" distB="0" distL="0" distR="0" wp14:anchorId="232FD822" wp14:editId="6173DA1E">
                  <wp:extent cx="4799330" cy="8825961"/>
                  <wp:effectExtent l="0" t="0" r="1270" b="0"/>
                  <wp:docPr id="12389022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8811" cy="8843396"/>
                          </a:xfrm>
                          <a:prstGeom prst="rect">
                            <a:avLst/>
                          </a:prstGeom>
                          <a:noFill/>
                          <a:ln>
                            <a:noFill/>
                          </a:ln>
                        </pic:spPr>
                      </pic:pic>
                    </a:graphicData>
                  </a:graphic>
                </wp:inline>
              </w:drawing>
            </w:r>
          </w:p>
        </w:tc>
      </w:tr>
    </w:tbl>
    <w:p w14:paraId="74AFFBE7" w14:textId="1E5FB7FE" w:rsidR="00623BCF" w:rsidRPr="00E916BF" w:rsidRDefault="00623BCF" w:rsidP="003E612B">
      <w:pPr>
        <w:rPr>
          <w:sz w:val="2"/>
          <w:szCs w:val="2"/>
        </w:rPr>
      </w:pPr>
    </w:p>
    <w:sectPr w:rsidR="00623BCF" w:rsidRPr="00E916BF" w:rsidSect="004443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6E52E" w14:textId="77777777" w:rsidR="00395B1B" w:rsidRDefault="00395B1B" w:rsidP="00176560">
      <w:pPr>
        <w:spacing w:after="0" w:line="240" w:lineRule="auto"/>
      </w:pPr>
      <w:r>
        <w:separator/>
      </w:r>
    </w:p>
  </w:endnote>
  <w:endnote w:type="continuationSeparator" w:id="0">
    <w:p w14:paraId="59BCBB7E" w14:textId="77777777" w:rsidR="00395B1B" w:rsidRDefault="00395B1B" w:rsidP="0017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319426"/>
      <w:docPartObj>
        <w:docPartGallery w:val="Page Numbers (Bottom of Page)"/>
        <w:docPartUnique/>
      </w:docPartObj>
    </w:sdtPr>
    <w:sdtEndPr>
      <w:rPr>
        <w:rFonts w:asciiTheme="majorBidi" w:hAnsiTheme="majorBidi" w:cstheme="majorBidi"/>
        <w:noProof/>
        <w:sz w:val="22"/>
        <w:szCs w:val="22"/>
      </w:rPr>
    </w:sdtEndPr>
    <w:sdtContent>
      <w:p w14:paraId="3D4D1E98" w14:textId="33AA5B59" w:rsidR="00B22B2C" w:rsidRDefault="00B22B2C">
        <w:pPr>
          <w:pStyle w:val="Footer"/>
          <w:jc w:val="center"/>
        </w:pPr>
        <w:r w:rsidRPr="00B22B2C">
          <w:rPr>
            <w:rFonts w:asciiTheme="majorBidi" w:hAnsiTheme="majorBidi" w:cstheme="majorBidi"/>
            <w:sz w:val="22"/>
            <w:szCs w:val="22"/>
          </w:rPr>
          <w:fldChar w:fldCharType="begin"/>
        </w:r>
        <w:r w:rsidRPr="00B22B2C">
          <w:rPr>
            <w:rFonts w:asciiTheme="majorBidi" w:hAnsiTheme="majorBidi" w:cstheme="majorBidi"/>
            <w:sz w:val="22"/>
            <w:szCs w:val="22"/>
          </w:rPr>
          <w:instrText xml:space="preserve"> PAGE   \* MERGEFORMAT </w:instrText>
        </w:r>
        <w:r w:rsidRPr="00B22B2C">
          <w:rPr>
            <w:rFonts w:asciiTheme="majorBidi" w:hAnsiTheme="majorBidi" w:cstheme="majorBidi"/>
            <w:sz w:val="22"/>
            <w:szCs w:val="22"/>
          </w:rPr>
          <w:fldChar w:fldCharType="separate"/>
        </w:r>
        <w:r w:rsidRPr="00B22B2C">
          <w:rPr>
            <w:rFonts w:asciiTheme="majorBidi" w:hAnsiTheme="majorBidi" w:cstheme="majorBidi"/>
            <w:noProof/>
            <w:sz w:val="22"/>
            <w:szCs w:val="22"/>
          </w:rPr>
          <w:t>2</w:t>
        </w:r>
        <w:r w:rsidRPr="00B22B2C">
          <w:rPr>
            <w:rFonts w:asciiTheme="majorBidi" w:hAnsiTheme="majorBidi" w:cstheme="majorBidi"/>
            <w:noProof/>
            <w:sz w:val="22"/>
            <w:szCs w:val="22"/>
          </w:rPr>
          <w:fldChar w:fldCharType="end"/>
        </w:r>
      </w:p>
    </w:sdtContent>
  </w:sdt>
  <w:p w14:paraId="379EB84F" w14:textId="77777777" w:rsidR="00B22B2C" w:rsidRDefault="00B22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5D665" w14:textId="77777777" w:rsidR="00395B1B" w:rsidRDefault="00395B1B" w:rsidP="00176560">
      <w:pPr>
        <w:spacing w:after="0" w:line="240" w:lineRule="auto"/>
      </w:pPr>
      <w:r>
        <w:separator/>
      </w:r>
    </w:p>
  </w:footnote>
  <w:footnote w:type="continuationSeparator" w:id="0">
    <w:p w14:paraId="53150353" w14:textId="77777777" w:rsidR="00395B1B" w:rsidRDefault="00395B1B" w:rsidP="00176560">
      <w:pPr>
        <w:spacing w:after="0" w:line="240" w:lineRule="auto"/>
      </w:pPr>
      <w:r>
        <w:continuationSeparator/>
      </w:r>
    </w:p>
  </w:footnote>
  <w:footnote w:id="1">
    <w:p w14:paraId="61A12E68" w14:textId="7E82D682" w:rsidR="00C018CE" w:rsidRPr="00C018CE" w:rsidRDefault="00C018CE">
      <w:pPr>
        <w:pStyle w:val="FootnoteText"/>
        <w:rPr>
          <w:rFonts w:asciiTheme="majorBidi" w:hAnsiTheme="majorBidi" w:cstheme="majorBidi"/>
        </w:rPr>
      </w:pPr>
      <w:r w:rsidRPr="00C018CE">
        <w:rPr>
          <w:rStyle w:val="FootnoteReference"/>
          <w:rFonts w:asciiTheme="majorBidi" w:hAnsiTheme="majorBidi" w:cstheme="majorBidi"/>
        </w:rPr>
        <w:footnoteRef/>
      </w:r>
      <w:r w:rsidRPr="00C018CE">
        <w:rPr>
          <w:rFonts w:asciiTheme="majorBidi" w:hAnsiTheme="majorBidi" w:cstheme="majorBidi"/>
        </w:rPr>
        <w:t xml:space="preserve"> </w:t>
      </w:r>
      <w:r>
        <w:rPr>
          <w:rFonts w:asciiTheme="majorBidi" w:hAnsiTheme="majorBidi" w:cstheme="majorBidi"/>
        </w:rPr>
        <w:t>Media coverage of this issue goes back more than a decade.</w:t>
      </w:r>
      <w:r w:rsidR="002178F4">
        <w:rPr>
          <w:rFonts w:asciiTheme="majorBidi" w:hAnsiTheme="majorBidi" w:cstheme="majorBidi"/>
        </w:rPr>
        <w:t xml:space="preserve"> An early example is: </w:t>
      </w:r>
      <w:hyperlink r:id="rId1" w:history="1">
        <w:r w:rsidR="002178F4" w:rsidRPr="004D289E">
          <w:rPr>
            <w:rStyle w:val="Hyperlink"/>
            <w:rFonts w:asciiTheme="majorBidi" w:hAnsiTheme="majorBidi" w:cstheme="majorBidi"/>
          </w:rPr>
          <w:t>https://www.nbr.co.nz/nz-has-zombie-towns-that-need-to-close-economist/</w:t>
        </w:r>
      </w:hyperlink>
      <w:r w:rsidR="002178F4">
        <w:rPr>
          <w:rFonts w:asciiTheme="majorBidi" w:hAnsiTheme="majorBidi" w:cstheme="majorBidi"/>
        </w:rPr>
        <w:t xml:space="preserve"> and a more recent one is</w:t>
      </w:r>
      <w:r>
        <w:rPr>
          <w:rFonts w:asciiTheme="majorBidi" w:hAnsiTheme="majorBidi" w:cstheme="majorBidi"/>
        </w:rPr>
        <w:t xml:space="preserve">: </w:t>
      </w:r>
      <w:hyperlink r:id="rId2" w:history="1">
        <w:r w:rsidRPr="004D289E">
          <w:rPr>
            <w:rStyle w:val="Hyperlink"/>
            <w:rFonts w:asciiTheme="majorBidi" w:hAnsiTheme="majorBidi" w:cstheme="majorBidi"/>
          </w:rPr>
          <w:t>https://www.stuff.co.nz/nz-news/350434392/nzs-zombie-towns-rural-areas-edge-extinction</w:t>
        </w:r>
      </w:hyperlink>
      <w:r>
        <w:rPr>
          <w:rFonts w:asciiTheme="majorBidi" w:hAnsiTheme="majorBidi" w:cstheme="majorBidi"/>
        </w:rPr>
        <w:t xml:space="preserve"> </w:t>
      </w:r>
      <w:r w:rsidRPr="00C018CE">
        <w:rPr>
          <w:rFonts w:asciiTheme="majorBidi" w:hAnsiTheme="majorBidi" w:cstheme="majorBidi"/>
        </w:rPr>
        <w:t xml:space="preserve"> </w:t>
      </w:r>
      <w:hyperlink r:id="rId3" w:history="1"/>
    </w:p>
  </w:footnote>
  <w:footnote w:id="2">
    <w:p w14:paraId="3B8FEA1A" w14:textId="77777777" w:rsidR="00E6283E" w:rsidRPr="00AF1A54" w:rsidRDefault="00E6283E" w:rsidP="00E6283E">
      <w:pPr>
        <w:pStyle w:val="FootnoteText"/>
        <w:rPr>
          <w:rFonts w:asciiTheme="majorBidi" w:hAnsiTheme="majorBidi" w:cstheme="majorBidi"/>
        </w:rPr>
      </w:pPr>
      <w:r w:rsidRPr="00AF1A54">
        <w:rPr>
          <w:rStyle w:val="FootnoteReference"/>
          <w:rFonts w:asciiTheme="majorBidi" w:hAnsiTheme="majorBidi" w:cstheme="majorBidi"/>
        </w:rPr>
        <w:footnoteRef/>
      </w:r>
      <w:r w:rsidRPr="00AF1A54">
        <w:rPr>
          <w:rFonts w:asciiTheme="majorBidi" w:hAnsiTheme="majorBidi" w:cstheme="majorBidi"/>
        </w:rPr>
        <w:t xml:space="preserve"> </w:t>
      </w:r>
      <w:r>
        <w:rPr>
          <w:rFonts w:asciiTheme="majorBidi" w:hAnsiTheme="majorBidi" w:cstheme="majorBidi"/>
        </w:rPr>
        <w:t xml:space="preserve">DMSP and </w:t>
      </w:r>
      <w:r w:rsidRPr="00AF1A54">
        <w:rPr>
          <w:rFonts w:asciiTheme="majorBidi" w:hAnsiTheme="majorBidi" w:cstheme="majorBidi"/>
        </w:rPr>
        <w:t xml:space="preserve">DeepNTL data are available for 1992 but </w:t>
      </w:r>
      <w:r>
        <w:rPr>
          <w:rFonts w:asciiTheme="majorBidi" w:hAnsiTheme="majorBidi" w:cstheme="majorBidi"/>
        </w:rPr>
        <w:t xml:space="preserve">data for that year </w:t>
      </w:r>
      <w:r w:rsidRPr="00AF1A54">
        <w:rPr>
          <w:rFonts w:asciiTheme="majorBidi" w:hAnsiTheme="majorBidi" w:cstheme="majorBidi"/>
        </w:rPr>
        <w:t>are not used in th</w:t>
      </w:r>
      <w:r>
        <w:rPr>
          <w:rFonts w:asciiTheme="majorBidi" w:hAnsiTheme="majorBidi" w:cstheme="majorBidi"/>
        </w:rPr>
        <w:t>is</w:t>
      </w:r>
      <w:r w:rsidRPr="00AF1A54">
        <w:rPr>
          <w:rFonts w:asciiTheme="majorBidi" w:hAnsiTheme="majorBidi" w:cstheme="majorBidi"/>
        </w:rPr>
        <w:t xml:space="preserve"> analysis because many towns have zero detected illuminated area in </w:t>
      </w:r>
      <w:r>
        <w:rPr>
          <w:rFonts w:asciiTheme="majorBidi" w:hAnsiTheme="majorBidi" w:cstheme="majorBidi"/>
        </w:rPr>
        <w:t xml:space="preserve">1992 </w:t>
      </w:r>
      <w:r w:rsidRPr="00AF1A54">
        <w:rPr>
          <w:rFonts w:asciiTheme="majorBidi" w:hAnsiTheme="majorBidi" w:cstheme="majorBidi"/>
        </w:rPr>
        <w:t>and aggregate illuminated area is anomalously low relative to subsequent observations</w:t>
      </w:r>
      <w:r>
        <w:rPr>
          <w:rFonts w:asciiTheme="majorBidi" w:hAnsiTheme="majorBidi" w:cstheme="majorBidi"/>
        </w:rPr>
        <w:t xml:space="preserve"> and to independent measures</w:t>
      </w:r>
      <w:r w:rsidRPr="00AF1A54">
        <w:rPr>
          <w:rFonts w:asciiTheme="majorBidi" w:hAnsiTheme="majorBidi" w:cstheme="majorBidi"/>
        </w:rPr>
        <w:t xml:space="preserve">. The </w:t>
      </w:r>
      <w:r>
        <w:rPr>
          <w:rFonts w:asciiTheme="majorBidi" w:hAnsiTheme="majorBidi" w:cstheme="majorBidi"/>
        </w:rPr>
        <w:t xml:space="preserve">last year with DMSP data available is 2021 so the </w:t>
      </w:r>
      <w:r w:rsidRPr="00AF1A54">
        <w:rPr>
          <w:rFonts w:asciiTheme="majorBidi" w:hAnsiTheme="majorBidi" w:cstheme="majorBidi"/>
        </w:rPr>
        <w:t>estimation sample covers 1993–2021.</w:t>
      </w:r>
    </w:p>
  </w:footnote>
  <w:footnote w:id="3">
    <w:p w14:paraId="639447B6" w14:textId="77777777" w:rsidR="00AE0AC6" w:rsidRPr="000D4A42" w:rsidRDefault="00AE0AC6" w:rsidP="00AE0AC6">
      <w:pPr>
        <w:pStyle w:val="FootnoteText"/>
        <w:rPr>
          <w:rFonts w:asciiTheme="majorBidi" w:hAnsiTheme="majorBidi" w:cstheme="majorBidi"/>
        </w:rPr>
      </w:pPr>
      <w:r w:rsidRPr="000D4A42">
        <w:rPr>
          <w:rStyle w:val="FootnoteReference"/>
          <w:rFonts w:asciiTheme="majorBidi" w:hAnsiTheme="majorBidi" w:cstheme="majorBidi"/>
        </w:rPr>
        <w:footnoteRef/>
      </w:r>
      <w:r w:rsidRPr="000D4A42">
        <w:rPr>
          <w:rFonts w:asciiTheme="majorBidi" w:hAnsiTheme="majorBidi" w:cstheme="majorBidi"/>
        </w:rPr>
        <w:t xml:space="preserve"> </w:t>
      </w:r>
      <w:r>
        <w:rPr>
          <w:rFonts w:asciiTheme="majorBidi" w:hAnsiTheme="majorBidi" w:cstheme="majorBidi"/>
        </w:rPr>
        <w:t>P</w:t>
      </w:r>
      <w:r w:rsidRPr="000D4A42">
        <w:rPr>
          <w:rFonts w:asciiTheme="majorBidi" w:hAnsiTheme="majorBidi" w:cstheme="majorBidi"/>
        </w:rPr>
        <w:t>ost-201</w:t>
      </w:r>
      <w:r>
        <w:rPr>
          <w:rFonts w:asciiTheme="majorBidi" w:hAnsiTheme="majorBidi" w:cstheme="majorBidi"/>
        </w:rPr>
        <w:t>3</w:t>
      </w:r>
      <w:r w:rsidRPr="000D4A42">
        <w:rPr>
          <w:rFonts w:asciiTheme="majorBidi" w:hAnsiTheme="majorBidi" w:cstheme="majorBidi"/>
        </w:rPr>
        <w:t xml:space="preserve"> DMSP observations shown in Figure 1 are the DMSP </w:t>
      </w:r>
      <w:r>
        <w:rPr>
          <w:rFonts w:asciiTheme="majorBidi" w:hAnsiTheme="majorBidi" w:cstheme="majorBidi"/>
        </w:rPr>
        <w:t xml:space="preserve">extension </w:t>
      </w:r>
      <w:r w:rsidRPr="000D4A42">
        <w:rPr>
          <w:rFonts w:asciiTheme="majorBidi" w:hAnsiTheme="majorBidi" w:cstheme="majorBidi"/>
        </w:rPr>
        <w:t>series developed by Ghosh et al. (2021)</w:t>
      </w:r>
      <w:r>
        <w:rPr>
          <w:rFonts w:asciiTheme="majorBidi" w:hAnsiTheme="majorBidi" w:cstheme="majorBidi"/>
        </w:rPr>
        <w:t>. The unstable DMSP orbits, where earth was observed earlier as the satellite aged, yielded pre-dawn NTL observations from some older satellites, such as F15 and F16, that had first provided data in the early 2000s.</w:t>
      </w:r>
    </w:p>
  </w:footnote>
  <w:footnote w:id="4">
    <w:p w14:paraId="1474BD22" w14:textId="4C459DE7" w:rsidR="00176560" w:rsidRPr="00176560" w:rsidRDefault="00176560">
      <w:pPr>
        <w:pStyle w:val="FootnoteText"/>
        <w:rPr>
          <w:rFonts w:asciiTheme="majorBidi" w:hAnsiTheme="majorBidi" w:cstheme="majorBidi"/>
        </w:rPr>
      </w:pPr>
      <w:r w:rsidRPr="00176560">
        <w:rPr>
          <w:rStyle w:val="FootnoteReference"/>
          <w:rFonts w:asciiTheme="majorBidi" w:hAnsiTheme="majorBidi" w:cstheme="majorBidi"/>
        </w:rPr>
        <w:footnoteRef/>
      </w:r>
      <w:r w:rsidRPr="00176560">
        <w:rPr>
          <w:rFonts w:asciiTheme="majorBidi" w:hAnsiTheme="majorBidi" w:cstheme="majorBidi"/>
        </w:rPr>
        <w:t xml:space="preserve"> </w:t>
      </w:r>
      <w:r>
        <w:rPr>
          <w:rFonts w:asciiTheme="majorBidi" w:hAnsiTheme="majorBidi" w:cstheme="majorBidi"/>
        </w:rPr>
        <w:t>Source:</w:t>
      </w:r>
      <w:r w:rsidRPr="00176560">
        <w:rPr>
          <w:rFonts w:asciiTheme="majorBidi" w:hAnsiTheme="majorBidi" w:cstheme="majorBidi"/>
        </w:rPr>
        <w:t xml:space="preserve"> </w:t>
      </w:r>
      <w:hyperlink r:id="rId4" w:history="1">
        <w:r w:rsidRPr="006D17E1">
          <w:rPr>
            <w:rStyle w:val="Hyperlink"/>
            <w:rFonts w:asciiTheme="majorBidi" w:hAnsiTheme="majorBidi" w:cstheme="majorBidi"/>
          </w:rPr>
          <w:t>https://ecanmaps.ecan.govt.nz/portal/home/item.html?id=d5a534bd1620498e941b620267ceeab7</w:t>
        </w:r>
      </w:hyperlink>
      <w:r>
        <w:rPr>
          <w:rFonts w:asciiTheme="majorBidi" w:hAnsiTheme="majorBidi" w:cstheme="majorBidi"/>
        </w:rPr>
        <w:t xml:space="preserve"> with the Ministry of Primary Industries </w:t>
      </w:r>
      <w:r w:rsidR="00E30D9E">
        <w:rPr>
          <w:rFonts w:asciiTheme="majorBidi" w:hAnsiTheme="majorBidi" w:cstheme="majorBidi"/>
        </w:rPr>
        <w:t xml:space="preserve">acknowledged for </w:t>
      </w:r>
      <w:r>
        <w:rPr>
          <w:rFonts w:asciiTheme="majorBidi" w:hAnsiTheme="majorBidi" w:cstheme="majorBidi"/>
        </w:rPr>
        <w:t xml:space="preserve">the original </w:t>
      </w:r>
      <w:r w:rsidR="00E30D9E">
        <w:rPr>
          <w:rFonts w:asciiTheme="majorBidi" w:hAnsiTheme="majorBidi" w:cstheme="majorBidi"/>
        </w:rPr>
        <w:t xml:space="preserve">provision </w:t>
      </w:r>
      <w:r>
        <w:rPr>
          <w:rFonts w:asciiTheme="majorBidi" w:hAnsiTheme="majorBidi" w:cstheme="majorBidi"/>
        </w:rPr>
        <w:t>of these data.</w:t>
      </w:r>
    </w:p>
  </w:footnote>
  <w:footnote w:id="5">
    <w:p w14:paraId="2FAD421E" w14:textId="40AD1532" w:rsidR="005059D9" w:rsidRDefault="005059D9">
      <w:pPr>
        <w:pStyle w:val="FootnoteText"/>
      </w:pPr>
      <w:r>
        <w:rPr>
          <w:rStyle w:val="FootnoteReference"/>
        </w:rPr>
        <w:footnoteRef/>
      </w:r>
      <w:r>
        <w:t xml:space="preserve"> </w:t>
      </w:r>
      <w:r>
        <w:rPr>
          <w:rFonts w:asciiTheme="majorBidi" w:hAnsiTheme="majorBidi" w:cstheme="majorBidi"/>
        </w:rPr>
        <w:t>One reason the DeepNTL boundaries show an outer envelope (i.e., larger than what the aerial mapping shows) is that the 30 arc-second (ca. 0.7 km</w:t>
      </w:r>
      <w:r w:rsidRPr="005059D9">
        <w:rPr>
          <w:rFonts w:asciiTheme="majorBidi" w:hAnsiTheme="majorBidi" w:cstheme="majorBidi"/>
          <w:vertAlign w:val="superscript"/>
        </w:rPr>
        <w:t>2</w:t>
      </w:r>
      <w:r>
        <w:rPr>
          <w:rFonts w:asciiTheme="majorBidi" w:hAnsiTheme="majorBidi" w:cstheme="majorBidi"/>
        </w:rPr>
        <w:t xml:space="preserve">) grid-cell is classified as illuminated if any part of it exceeds the detection threshold of 2 </w:t>
      </w:r>
      <w:r w:rsidRPr="003714B2">
        <w:rPr>
          <w:rFonts w:asciiTheme="majorBidi" w:hAnsiTheme="majorBidi" w:cstheme="majorBidi"/>
        </w:rPr>
        <w:t>nW/cm</w:t>
      </w:r>
      <w:r w:rsidRPr="00A37537">
        <w:rPr>
          <w:rFonts w:asciiTheme="majorBidi" w:hAnsiTheme="majorBidi" w:cstheme="majorBidi"/>
          <w:vertAlign w:val="superscript"/>
        </w:rPr>
        <w:t>2</w:t>
      </w:r>
      <w:r w:rsidRPr="003714B2">
        <w:rPr>
          <w:rFonts w:asciiTheme="majorBidi" w:hAnsiTheme="majorBidi" w:cstheme="majorBidi"/>
        </w:rPr>
        <w:t>/sr</w:t>
      </w:r>
      <w:r>
        <w:rPr>
          <w:rFonts w:asciiTheme="majorBidi" w:hAnsiTheme="majorBidi" w:cstheme="majorBidi"/>
        </w:rPr>
        <w:t>. In contrast, the aerial mapping has a finer (35 metre) resolution.</w:t>
      </w:r>
    </w:p>
  </w:footnote>
  <w:footnote w:id="6">
    <w:p w14:paraId="746F23F2" w14:textId="1C0E2F47" w:rsidR="00E30D9E" w:rsidRPr="00E30D9E" w:rsidRDefault="00E30D9E">
      <w:pPr>
        <w:pStyle w:val="FootnoteText"/>
        <w:rPr>
          <w:rFonts w:asciiTheme="majorBidi" w:hAnsiTheme="majorBidi" w:cstheme="majorBidi"/>
        </w:rPr>
      </w:pPr>
      <w:r w:rsidRPr="00E30D9E">
        <w:rPr>
          <w:rStyle w:val="FootnoteReference"/>
          <w:rFonts w:asciiTheme="majorBidi" w:hAnsiTheme="majorBidi" w:cstheme="majorBidi"/>
        </w:rPr>
        <w:footnoteRef/>
      </w:r>
      <w:r w:rsidRPr="00E30D9E">
        <w:rPr>
          <w:rFonts w:asciiTheme="majorBidi" w:hAnsiTheme="majorBidi" w:cstheme="majorBidi"/>
        </w:rPr>
        <w:t xml:space="preserve"> This </w:t>
      </w:r>
      <w:r w:rsidR="00730B46">
        <w:rPr>
          <w:rFonts w:asciiTheme="majorBidi" w:hAnsiTheme="majorBidi" w:cstheme="majorBidi"/>
        </w:rPr>
        <w:t xml:space="preserve">comparison </w:t>
      </w:r>
      <w:r w:rsidRPr="00E30D9E">
        <w:rPr>
          <w:rFonts w:asciiTheme="majorBidi" w:hAnsiTheme="majorBidi" w:cstheme="majorBidi"/>
        </w:rPr>
        <w:t xml:space="preserve">uses the masked average </w:t>
      </w:r>
      <w:r w:rsidR="00930F9F">
        <w:rPr>
          <w:rFonts w:asciiTheme="majorBidi" w:hAnsiTheme="majorBidi" w:cstheme="majorBidi"/>
        </w:rPr>
        <w:t xml:space="preserve">VNL </w:t>
      </w:r>
      <w:r w:rsidRPr="00E30D9E">
        <w:rPr>
          <w:rFonts w:asciiTheme="majorBidi" w:hAnsiTheme="majorBidi" w:cstheme="majorBidi"/>
        </w:rPr>
        <w:t>product from Elvidge et al. (2021).</w:t>
      </w:r>
    </w:p>
  </w:footnote>
  <w:footnote w:id="7">
    <w:p w14:paraId="3118D895" w14:textId="2AAED259" w:rsidR="00820457" w:rsidRPr="00820457" w:rsidRDefault="00820457" w:rsidP="0001434B">
      <w:pPr>
        <w:pStyle w:val="FootnoteText"/>
        <w:rPr>
          <w:rFonts w:asciiTheme="majorBidi" w:hAnsiTheme="majorBidi" w:cstheme="majorBidi"/>
        </w:rPr>
      </w:pPr>
      <w:r w:rsidRPr="00820457">
        <w:rPr>
          <w:rStyle w:val="FootnoteReference"/>
          <w:rFonts w:asciiTheme="majorBidi" w:hAnsiTheme="majorBidi" w:cstheme="majorBidi"/>
        </w:rPr>
        <w:footnoteRef/>
      </w:r>
      <w:r w:rsidRPr="00820457">
        <w:rPr>
          <w:rFonts w:asciiTheme="majorBidi" w:hAnsiTheme="majorBidi" w:cstheme="majorBidi"/>
        </w:rPr>
        <w:t xml:space="preserve"> </w:t>
      </w:r>
      <w:r>
        <w:rPr>
          <w:rFonts w:asciiTheme="majorBidi" w:hAnsiTheme="majorBidi" w:cstheme="majorBidi"/>
        </w:rPr>
        <w:t>See</w:t>
      </w:r>
      <w:r w:rsidRPr="00820457">
        <w:rPr>
          <w:rFonts w:asciiTheme="majorBidi" w:hAnsiTheme="majorBidi" w:cstheme="majorBidi"/>
        </w:rPr>
        <w:t xml:space="preserve"> here: </w:t>
      </w:r>
      <w:hyperlink r:id="rId5" w:history="1">
        <w:r w:rsidRPr="004D289E">
          <w:rPr>
            <w:rStyle w:val="Hyperlink"/>
            <w:rFonts w:asciiTheme="majorBidi" w:hAnsiTheme="majorBidi" w:cstheme="majorBidi"/>
          </w:rPr>
          <w:t>https://www.stats.govt.nz/information-releases/subnational-population-estimates-at-30-june-2025/</w:t>
        </w:r>
      </w:hyperlink>
      <w:r w:rsidR="00B1111D">
        <w:t xml:space="preserve"> </w:t>
      </w:r>
      <w:r w:rsidR="00B1111D" w:rsidRPr="00B1111D">
        <w:rPr>
          <w:rFonts w:asciiTheme="majorBidi" w:hAnsiTheme="majorBidi" w:cstheme="majorBidi"/>
        </w:rPr>
        <w:t>A</w:t>
      </w:r>
      <w:r w:rsidR="00B1111D">
        <w:rPr>
          <w:rFonts w:asciiTheme="majorBidi" w:hAnsiTheme="majorBidi" w:cstheme="majorBidi"/>
        </w:rPr>
        <w:t xml:space="preserve"> concern with using end-period data to define a sample is ‘survivorship </w:t>
      </w:r>
      <w:proofErr w:type="spellStart"/>
      <w:r w:rsidR="00B1111D">
        <w:rPr>
          <w:rFonts w:asciiTheme="majorBidi" w:hAnsiTheme="majorBidi" w:cstheme="majorBidi"/>
        </w:rPr>
        <w:t>bias’</w:t>
      </w:r>
      <w:proofErr w:type="spellEnd"/>
      <w:r>
        <w:rPr>
          <w:rFonts w:asciiTheme="majorBidi" w:hAnsiTheme="majorBidi" w:cstheme="majorBidi"/>
        </w:rPr>
        <w:t xml:space="preserve"> </w:t>
      </w:r>
      <w:r w:rsidR="00B1111D">
        <w:rPr>
          <w:rFonts w:asciiTheme="majorBidi" w:hAnsiTheme="majorBidi" w:cstheme="majorBidi"/>
        </w:rPr>
        <w:t>where</w:t>
      </w:r>
      <w:r w:rsidR="0001434B">
        <w:rPr>
          <w:rFonts w:asciiTheme="majorBidi" w:hAnsiTheme="majorBidi" w:cstheme="majorBidi"/>
        </w:rPr>
        <w:t xml:space="preserve"> </w:t>
      </w:r>
      <w:r w:rsidR="0001434B" w:rsidRPr="0001434B">
        <w:rPr>
          <w:rFonts w:asciiTheme="majorBidi" w:hAnsiTheme="majorBidi" w:cstheme="majorBidi"/>
        </w:rPr>
        <w:t xml:space="preserve">declining towns disappear from the population rankings. However, </w:t>
      </w:r>
      <w:r w:rsidR="0001434B">
        <w:rPr>
          <w:rFonts w:asciiTheme="majorBidi" w:hAnsiTheme="majorBidi" w:cstheme="majorBidi"/>
        </w:rPr>
        <w:t xml:space="preserve">using a similar ranking of the most populated towns and cities from the </w:t>
      </w:r>
      <w:r w:rsidR="0001434B" w:rsidRPr="0001434B">
        <w:rPr>
          <w:rFonts w:asciiTheme="majorBidi" w:hAnsiTheme="majorBidi" w:cstheme="majorBidi"/>
        </w:rPr>
        <w:t xml:space="preserve">2013 Census </w:t>
      </w:r>
      <w:r w:rsidR="0001434B">
        <w:rPr>
          <w:rFonts w:asciiTheme="majorBidi" w:hAnsiTheme="majorBidi" w:cstheme="majorBidi"/>
        </w:rPr>
        <w:t xml:space="preserve">shows that none of them </w:t>
      </w:r>
      <w:r w:rsidR="0001434B" w:rsidRPr="0001434B">
        <w:rPr>
          <w:rFonts w:asciiTheme="majorBidi" w:hAnsiTheme="majorBidi" w:cstheme="majorBidi"/>
        </w:rPr>
        <w:t>had dropped out of the 2025 rankings used here.</w:t>
      </w:r>
    </w:p>
  </w:footnote>
  <w:footnote w:id="8">
    <w:p w14:paraId="35E47358" w14:textId="2CE39916" w:rsidR="00DE25FA" w:rsidRPr="00DE25FA" w:rsidRDefault="00DE25FA">
      <w:pPr>
        <w:pStyle w:val="FootnoteText"/>
        <w:rPr>
          <w:rFonts w:asciiTheme="majorBidi" w:hAnsiTheme="majorBidi" w:cstheme="majorBidi"/>
        </w:rPr>
      </w:pPr>
      <w:r w:rsidRPr="00DE25FA">
        <w:rPr>
          <w:rStyle w:val="FootnoteReference"/>
          <w:rFonts w:asciiTheme="majorBidi" w:hAnsiTheme="majorBidi" w:cstheme="majorBidi"/>
        </w:rPr>
        <w:footnoteRef/>
      </w:r>
      <w:r w:rsidRPr="00DE25FA">
        <w:rPr>
          <w:rFonts w:asciiTheme="majorBidi" w:hAnsiTheme="majorBidi" w:cstheme="majorBidi"/>
        </w:rPr>
        <w:t xml:space="preserve"> Other examples include Richmond as not distinguished from Nelson, </w:t>
      </w:r>
      <w:r>
        <w:rPr>
          <w:rFonts w:asciiTheme="majorBidi" w:hAnsiTheme="majorBidi" w:cstheme="majorBidi"/>
        </w:rPr>
        <w:t xml:space="preserve">Havelock North as not distinguished from Hastings, and Kaiapoi, Woodend and </w:t>
      </w:r>
      <w:proofErr w:type="spellStart"/>
      <w:r>
        <w:rPr>
          <w:rFonts w:asciiTheme="majorBidi" w:hAnsiTheme="majorBidi" w:cstheme="majorBidi"/>
        </w:rPr>
        <w:t>Prebbleton</w:t>
      </w:r>
      <w:proofErr w:type="spellEnd"/>
      <w:r>
        <w:rPr>
          <w:rFonts w:asciiTheme="majorBidi" w:hAnsiTheme="majorBidi" w:cstheme="majorBidi"/>
        </w:rPr>
        <w:t xml:space="preserve"> as part of Christchurch.</w:t>
      </w:r>
    </w:p>
  </w:footnote>
  <w:footnote w:id="9">
    <w:p w14:paraId="54CDE398" w14:textId="41B6A592" w:rsidR="001B6175" w:rsidRDefault="001B6175">
      <w:pPr>
        <w:pStyle w:val="FootnoteText"/>
      </w:pPr>
      <w:r>
        <w:rPr>
          <w:rStyle w:val="FootnoteReference"/>
        </w:rPr>
        <w:footnoteRef/>
      </w:r>
      <w:r>
        <w:t xml:space="preserve"> </w:t>
      </w:r>
      <w:r>
        <w:rPr>
          <w:rFonts w:asciiTheme="majorBidi" w:hAnsiTheme="majorBidi" w:cstheme="majorBidi"/>
        </w:rPr>
        <w:t>Th</w:t>
      </w:r>
      <w:r w:rsidR="00930F9F">
        <w:rPr>
          <w:rFonts w:asciiTheme="majorBidi" w:hAnsiTheme="majorBidi" w:cstheme="majorBidi"/>
        </w:rPr>
        <w:t>e</w:t>
      </w:r>
      <w:r>
        <w:rPr>
          <w:rFonts w:asciiTheme="majorBidi" w:hAnsiTheme="majorBidi" w:cstheme="majorBidi"/>
        </w:rPr>
        <w:t xml:space="preserve"> appendix </w:t>
      </w:r>
      <w:r w:rsidR="00930F9F">
        <w:rPr>
          <w:rFonts w:asciiTheme="majorBidi" w:hAnsiTheme="majorBidi" w:cstheme="majorBidi"/>
        </w:rPr>
        <w:t xml:space="preserve">has </w:t>
      </w:r>
      <w:r w:rsidRPr="001B6175">
        <w:rPr>
          <w:rFonts w:asciiTheme="majorBidi" w:hAnsiTheme="majorBidi" w:cstheme="majorBidi"/>
        </w:rPr>
        <w:t>the full set of estimated growth trends, standard errors, t-statistics and significance levels for each urban area</w:t>
      </w:r>
      <w:r>
        <w:rPr>
          <w:rFonts w:asciiTheme="majorBidi" w:hAnsiTheme="majorBidi" w:cstheme="majorBidi"/>
        </w:rPr>
        <w:t xml:space="preserve">, as a </w:t>
      </w:r>
      <w:r w:rsidRPr="001B6175">
        <w:rPr>
          <w:rFonts w:asciiTheme="majorBidi" w:hAnsiTheme="majorBidi" w:cstheme="majorBidi"/>
        </w:rPr>
        <w:t>more practical way of presenting the detailed results than a conventional regression table</w:t>
      </w:r>
      <w:r>
        <w:rPr>
          <w:rFonts w:asciiTheme="majorBidi" w:hAnsiTheme="majorBidi" w:cstheme="majorBidi"/>
        </w:rPr>
        <w:t xml:space="preserve"> (with </w:t>
      </w:r>
      <w:r w:rsidR="00930F9F">
        <w:rPr>
          <w:rFonts w:asciiTheme="majorBidi" w:hAnsiTheme="majorBidi" w:cstheme="majorBidi"/>
        </w:rPr>
        <w:t xml:space="preserve">an intercept fixed effect </w:t>
      </w:r>
      <w:r>
        <w:rPr>
          <w:rFonts w:asciiTheme="majorBidi" w:hAnsiTheme="majorBidi" w:cstheme="majorBidi"/>
        </w:rPr>
        <w:t xml:space="preserve">per urban area </w:t>
      </w:r>
      <w:r w:rsidR="00930F9F">
        <w:rPr>
          <w:rFonts w:asciiTheme="majorBidi" w:hAnsiTheme="majorBidi" w:cstheme="majorBidi"/>
        </w:rPr>
        <w:t xml:space="preserve">interacted with the slope </w:t>
      </w:r>
      <w:r w:rsidR="00897299">
        <w:rPr>
          <w:rFonts w:asciiTheme="majorBidi" w:hAnsiTheme="majorBidi" w:cstheme="majorBidi"/>
        </w:rPr>
        <w:t xml:space="preserve">such a </w:t>
      </w:r>
      <w:r>
        <w:rPr>
          <w:rFonts w:asciiTheme="majorBidi" w:hAnsiTheme="majorBidi" w:cstheme="majorBidi"/>
        </w:rPr>
        <w:t xml:space="preserve">table </w:t>
      </w:r>
      <w:r w:rsidR="00897299">
        <w:rPr>
          <w:rFonts w:asciiTheme="majorBidi" w:hAnsiTheme="majorBidi" w:cstheme="majorBidi"/>
        </w:rPr>
        <w:t xml:space="preserve">would have </w:t>
      </w:r>
      <w:r>
        <w:rPr>
          <w:rFonts w:asciiTheme="majorBidi" w:hAnsiTheme="majorBidi" w:cstheme="majorBidi"/>
        </w:rPr>
        <w:t xml:space="preserve">over </w:t>
      </w:r>
      <w:r w:rsidR="00930F9F">
        <w:rPr>
          <w:rFonts w:asciiTheme="majorBidi" w:hAnsiTheme="majorBidi" w:cstheme="majorBidi"/>
        </w:rPr>
        <w:t>250</w:t>
      </w:r>
      <w:r>
        <w:rPr>
          <w:rFonts w:asciiTheme="majorBidi" w:hAnsiTheme="majorBidi" w:cstheme="majorBidi"/>
        </w:rPr>
        <w:t xml:space="preserve"> </w:t>
      </w:r>
      <w:r w:rsidR="00C50CCB">
        <w:rPr>
          <w:rFonts w:asciiTheme="majorBidi" w:hAnsiTheme="majorBidi" w:cstheme="majorBidi"/>
        </w:rPr>
        <w:t>row</w:t>
      </w:r>
      <w:r>
        <w:rPr>
          <w:rFonts w:asciiTheme="majorBidi" w:hAnsiTheme="majorBidi" w:cstheme="majorBidi"/>
        </w:rPr>
        <w:t>s)</w:t>
      </w:r>
      <w:r w:rsidRPr="001B6175">
        <w:rPr>
          <w:rFonts w:asciiTheme="majorBidi" w:hAnsiTheme="majorBidi" w:cstheme="majorBidi"/>
        </w:rPr>
        <w:t>.</w:t>
      </w:r>
    </w:p>
  </w:footnote>
  <w:footnote w:id="10">
    <w:p w14:paraId="4906B5A5" w14:textId="770F468B" w:rsidR="00082E70" w:rsidRPr="00082E70" w:rsidRDefault="00082E70">
      <w:pPr>
        <w:pStyle w:val="FootnoteText"/>
        <w:rPr>
          <w:rFonts w:asciiTheme="majorBidi" w:hAnsiTheme="majorBidi" w:cstheme="majorBidi"/>
        </w:rPr>
      </w:pPr>
      <w:r w:rsidRPr="00082E70">
        <w:rPr>
          <w:rStyle w:val="FootnoteReference"/>
          <w:rFonts w:asciiTheme="majorBidi" w:hAnsiTheme="majorBidi" w:cstheme="majorBidi"/>
        </w:rPr>
        <w:footnoteRef/>
      </w:r>
      <w:r w:rsidRPr="00082E70">
        <w:rPr>
          <w:rFonts w:asciiTheme="majorBidi" w:hAnsiTheme="majorBidi" w:cstheme="majorBidi"/>
        </w:rPr>
        <w:t xml:space="preserve"> T</w:t>
      </w:r>
      <w:r w:rsidR="003539CC">
        <w:rPr>
          <w:rFonts w:asciiTheme="majorBidi" w:hAnsiTheme="majorBidi" w:cstheme="majorBidi"/>
        </w:rPr>
        <w:t xml:space="preserve">his is </w:t>
      </w:r>
      <w:r w:rsidR="00C50CCB">
        <w:rPr>
          <w:rFonts w:asciiTheme="majorBidi" w:hAnsiTheme="majorBidi" w:cstheme="majorBidi"/>
        </w:rPr>
        <w:t xml:space="preserve">only one-half of the </w:t>
      </w:r>
      <w:r w:rsidR="003539CC">
        <w:rPr>
          <w:rFonts w:asciiTheme="majorBidi" w:hAnsiTheme="majorBidi" w:cstheme="majorBidi"/>
        </w:rPr>
        <w:t xml:space="preserve">expansion rate of </w:t>
      </w:r>
      <w:r w:rsidR="00C50CCB">
        <w:rPr>
          <w:rFonts w:asciiTheme="majorBidi" w:hAnsiTheme="majorBidi" w:cstheme="majorBidi"/>
        </w:rPr>
        <w:t xml:space="preserve">Christchurch (0.73% per annum), and also less than the rate for Hamilton (0.50%) and Tauranga (1.17%) amongst the cities with </w:t>
      </w:r>
      <w:r w:rsidR="003539CC">
        <w:rPr>
          <w:rFonts w:asciiTheme="majorBidi" w:hAnsiTheme="majorBidi" w:cstheme="majorBidi"/>
        </w:rPr>
        <w:t xml:space="preserve">population </w:t>
      </w:r>
      <w:r>
        <w:rPr>
          <w:rFonts w:asciiTheme="majorBidi" w:hAnsiTheme="majorBidi" w:cstheme="majorBidi"/>
        </w:rPr>
        <w:t>exceeding</w:t>
      </w:r>
      <w:r w:rsidRPr="00082E70">
        <w:rPr>
          <w:rFonts w:asciiTheme="majorBidi" w:hAnsiTheme="majorBidi" w:cstheme="majorBidi"/>
        </w:rPr>
        <w:t xml:space="preserve"> 100,000</w:t>
      </w:r>
      <w:r w:rsidR="00C50CCB">
        <w:rPr>
          <w:rFonts w:asciiTheme="majorBidi" w:hAnsiTheme="majorBidi" w:cstheme="majorBidi"/>
        </w:rPr>
        <w:t xml:space="preserve">. </w:t>
      </w:r>
      <w:r w:rsidR="00572392">
        <w:rPr>
          <w:rFonts w:asciiTheme="majorBidi" w:hAnsiTheme="majorBidi" w:cstheme="majorBidi"/>
        </w:rPr>
        <w:t>For t</w:t>
      </w:r>
      <w:r w:rsidR="00C50CCB">
        <w:rPr>
          <w:rFonts w:asciiTheme="majorBidi" w:hAnsiTheme="majorBidi" w:cstheme="majorBidi"/>
        </w:rPr>
        <w:t xml:space="preserve">he other two cities in this population </w:t>
      </w:r>
      <w:r w:rsidR="00572392">
        <w:rPr>
          <w:rFonts w:asciiTheme="majorBidi" w:hAnsiTheme="majorBidi" w:cstheme="majorBidi"/>
        </w:rPr>
        <w:t xml:space="preserve">size-class </w:t>
      </w:r>
      <w:r w:rsidR="00C50CCB">
        <w:rPr>
          <w:rFonts w:asciiTheme="majorBidi" w:hAnsiTheme="majorBidi" w:cstheme="majorBidi"/>
        </w:rPr>
        <w:t>(</w:t>
      </w:r>
      <w:r w:rsidR="003539CC">
        <w:rPr>
          <w:rFonts w:asciiTheme="majorBidi" w:hAnsiTheme="majorBidi" w:cstheme="majorBidi"/>
        </w:rPr>
        <w:t xml:space="preserve">Dunedin </w:t>
      </w:r>
      <w:r w:rsidR="00C50CCB">
        <w:rPr>
          <w:rFonts w:asciiTheme="majorBidi" w:hAnsiTheme="majorBidi" w:cstheme="majorBidi"/>
        </w:rPr>
        <w:t>and Wellington)</w:t>
      </w:r>
      <w:r w:rsidR="00572392">
        <w:rPr>
          <w:rFonts w:asciiTheme="majorBidi" w:hAnsiTheme="majorBidi" w:cstheme="majorBidi"/>
        </w:rPr>
        <w:t>, the null hypothesis of no lit area expansion over the 1993</w:t>
      </w:r>
      <w:r w:rsidR="00572392" w:rsidRPr="006C3DE1">
        <w:rPr>
          <w:rFonts w:asciiTheme="majorBidi" w:hAnsiTheme="majorBidi" w:cstheme="majorBidi"/>
        </w:rPr>
        <w:t>–</w:t>
      </w:r>
      <w:r w:rsidR="00572392">
        <w:rPr>
          <w:rFonts w:asciiTheme="majorBidi" w:hAnsiTheme="majorBidi" w:cstheme="majorBidi"/>
        </w:rPr>
        <w:t>2021 period could not be rejected.</w:t>
      </w:r>
    </w:p>
  </w:footnote>
  <w:footnote w:id="11">
    <w:p w14:paraId="06245030" w14:textId="00876674" w:rsidR="00356C85" w:rsidRPr="00356C85" w:rsidRDefault="00356C85" w:rsidP="00356C85">
      <w:pPr>
        <w:pStyle w:val="FootnoteText"/>
        <w:rPr>
          <w:rFonts w:asciiTheme="majorBidi" w:hAnsiTheme="majorBidi" w:cstheme="majorBidi"/>
        </w:rPr>
      </w:pPr>
      <w:r w:rsidRPr="00356C85">
        <w:rPr>
          <w:rStyle w:val="FootnoteReference"/>
          <w:rFonts w:asciiTheme="majorBidi" w:hAnsiTheme="majorBidi" w:cstheme="majorBidi"/>
        </w:rPr>
        <w:footnoteRef/>
      </w:r>
      <w:r w:rsidRPr="00356C85">
        <w:rPr>
          <w:rFonts w:asciiTheme="majorBidi" w:hAnsiTheme="majorBidi" w:cstheme="majorBidi"/>
        </w:rPr>
        <w:t xml:space="preserve"> This result may appear counterintuitive because more accurate data are often expected to yield more precise estimates. However, the measurement errors in DMSP are</w:t>
      </w:r>
      <w:r>
        <w:rPr>
          <w:rFonts w:asciiTheme="majorBidi" w:hAnsiTheme="majorBidi" w:cstheme="majorBidi"/>
        </w:rPr>
        <w:t xml:space="preserve"> </w:t>
      </w:r>
      <w:r w:rsidRPr="00356C85">
        <w:rPr>
          <w:rFonts w:asciiTheme="majorBidi" w:hAnsiTheme="majorBidi" w:cstheme="majorBidi"/>
        </w:rPr>
        <w:t xml:space="preserve">mean-reverting </w:t>
      </w:r>
      <w:r>
        <w:rPr>
          <w:rFonts w:asciiTheme="majorBidi" w:hAnsiTheme="majorBidi" w:cstheme="majorBidi"/>
        </w:rPr>
        <w:t xml:space="preserve">rather than random noise (Gibson, 2021), </w:t>
      </w:r>
      <w:r w:rsidR="00826AE4">
        <w:rPr>
          <w:rFonts w:asciiTheme="majorBidi" w:hAnsiTheme="majorBidi" w:cstheme="majorBidi"/>
        </w:rPr>
        <w:t xml:space="preserve">and strong mean reversion </w:t>
      </w:r>
      <w:r>
        <w:rPr>
          <w:rFonts w:asciiTheme="majorBidi" w:hAnsiTheme="majorBidi" w:cstheme="majorBidi"/>
        </w:rPr>
        <w:t>reduce</w:t>
      </w:r>
      <w:r w:rsidR="00826AE4">
        <w:rPr>
          <w:rFonts w:asciiTheme="majorBidi" w:hAnsiTheme="majorBidi" w:cstheme="majorBidi"/>
        </w:rPr>
        <w:t>s</w:t>
      </w:r>
      <w:r w:rsidRPr="00356C85">
        <w:rPr>
          <w:rFonts w:asciiTheme="majorBidi" w:hAnsiTheme="majorBidi" w:cstheme="majorBidi"/>
        </w:rPr>
        <w:t xml:space="preserve"> variance </w:t>
      </w:r>
      <w:r w:rsidR="00826AE4">
        <w:rPr>
          <w:rFonts w:asciiTheme="majorBidi" w:hAnsiTheme="majorBidi" w:cstheme="majorBidi"/>
        </w:rPr>
        <w:t xml:space="preserve">and </w:t>
      </w:r>
      <w:r w:rsidR="001768CC">
        <w:rPr>
          <w:rFonts w:asciiTheme="majorBidi" w:hAnsiTheme="majorBidi" w:cstheme="majorBidi"/>
        </w:rPr>
        <w:t xml:space="preserve">so </w:t>
      </w:r>
      <w:r>
        <w:rPr>
          <w:rFonts w:asciiTheme="majorBidi" w:hAnsiTheme="majorBidi" w:cstheme="majorBidi"/>
        </w:rPr>
        <w:t xml:space="preserve">can </w:t>
      </w:r>
      <w:r w:rsidR="00826AE4">
        <w:rPr>
          <w:rFonts w:asciiTheme="majorBidi" w:hAnsiTheme="majorBidi" w:cstheme="majorBidi"/>
        </w:rPr>
        <w:t>lead to</w:t>
      </w:r>
      <w:r w:rsidRPr="00356C85">
        <w:rPr>
          <w:rFonts w:asciiTheme="majorBidi" w:hAnsiTheme="majorBidi" w:cstheme="majorBidi"/>
        </w:rPr>
        <w:t xml:space="preserve"> smaller standard errors and a higher proportion of statistically significant coefficients, even when the estimated trend rates themselves are biased. </w:t>
      </w:r>
    </w:p>
  </w:footnote>
  <w:footnote w:id="12">
    <w:p w14:paraId="32197208" w14:textId="658B13F6" w:rsidR="006E1FA4" w:rsidRPr="00F140BE" w:rsidRDefault="006E1FA4" w:rsidP="006E1FA4">
      <w:pPr>
        <w:pStyle w:val="FootnoteText"/>
        <w:rPr>
          <w:rFonts w:asciiTheme="majorBidi" w:hAnsiTheme="majorBidi" w:cstheme="majorBidi"/>
        </w:rPr>
      </w:pPr>
      <w:r w:rsidRPr="00F140BE">
        <w:rPr>
          <w:rStyle w:val="FootnoteReference"/>
          <w:rFonts w:asciiTheme="majorBidi" w:hAnsiTheme="majorBidi" w:cstheme="majorBidi"/>
        </w:rPr>
        <w:footnoteRef/>
      </w:r>
      <w:r w:rsidRPr="00F140BE">
        <w:rPr>
          <w:rFonts w:asciiTheme="majorBidi" w:hAnsiTheme="majorBidi" w:cstheme="majorBidi"/>
        </w:rPr>
        <w:t xml:space="preserve"> </w:t>
      </w:r>
      <w:r>
        <w:rPr>
          <w:rFonts w:asciiTheme="majorBidi" w:hAnsiTheme="majorBidi" w:cstheme="majorBidi"/>
        </w:rPr>
        <w:t>While</w:t>
      </w:r>
      <w:r w:rsidRPr="00F140BE">
        <w:rPr>
          <w:rFonts w:asciiTheme="majorBidi" w:hAnsiTheme="majorBidi" w:cstheme="majorBidi"/>
        </w:rPr>
        <w:t xml:space="preserve"> the Waingawa closure </w:t>
      </w:r>
      <w:r>
        <w:rPr>
          <w:rFonts w:asciiTheme="majorBidi" w:hAnsiTheme="majorBidi" w:cstheme="majorBidi"/>
        </w:rPr>
        <w:t xml:space="preserve">is prior to </w:t>
      </w:r>
      <w:r w:rsidRPr="00F140BE">
        <w:rPr>
          <w:rFonts w:asciiTheme="majorBidi" w:hAnsiTheme="majorBidi" w:cstheme="majorBidi"/>
        </w:rPr>
        <w:t xml:space="preserve">our sample, effects </w:t>
      </w:r>
      <w:r>
        <w:rPr>
          <w:rFonts w:asciiTheme="majorBidi" w:hAnsiTheme="majorBidi" w:cstheme="majorBidi"/>
        </w:rPr>
        <w:t xml:space="preserve">likely </w:t>
      </w:r>
      <w:r w:rsidRPr="00F140BE">
        <w:rPr>
          <w:rFonts w:asciiTheme="majorBidi" w:hAnsiTheme="majorBidi" w:cstheme="majorBidi"/>
        </w:rPr>
        <w:t>persisted well into the 1990s. Grimes and Young (2011) show that</w:t>
      </w:r>
      <w:r>
        <w:rPr>
          <w:rFonts w:asciiTheme="majorBidi" w:hAnsiTheme="majorBidi" w:cstheme="majorBidi"/>
        </w:rPr>
        <w:t xml:space="preserve"> after plant closures in </w:t>
      </w:r>
      <w:r w:rsidR="00E559ED">
        <w:rPr>
          <w:rFonts w:asciiTheme="majorBidi" w:hAnsiTheme="majorBidi" w:cstheme="majorBidi"/>
        </w:rPr>
        <w:t>‘</w:t>
      </w:r>
      <w:r>
        <w:rPr>
          <w:rFonts w:asciiTheme="majorBidi" w:hAnsiTheme="majorBidi" w:cstheme="majorBidi"/>
        </w:rPr>
        <w:t>mill</w:t>
      </w:r>
      <w:r w:rsidR="00E559ED">
        <w:rPr>
          <w:rFonts w:asciiTheme="majorBidi" w:hAnsiTheme="majorBidi" w:cstheme="majorBidi"/>
        </w:rPr>
        <w:t>’</w:t>
      </w:r>
      <w:r>
        <w:rPr>
          <w:rFonts w:asciiTheme="majorBidi" w:hAnsiTheme="majorBidi" w:cstheme="majorBidi"/>
        </w:rPr>
        <w:t xml:space="preserve"> towns in New Zealand the </w:t>
      </w:r>
      <w:r w:rsidRPr="00F140BE">
        <w:rPr>
          <w:rFonts w:asciiTheme="majorBidi" w:hAnsiTheme="majorBidi" w:cstheme="majorBidi"/>
        </w:rPr>
        <w:t xml:space="preserve">workers may remain </w:t>
      </w:r>
      <w:r>
        <w:rPr>
          <w:rFonts w:asciiTheme="majorBidi" w:hAnsiTheme="majorBidi" w:cstheme="majorBidi"/>
        </w:rPr>
        <w:t xml:space="preserve">stuck there </w:t>
      </w:r>
      <w:r w:rsidRPr="00F140BE">
        <w:rPr>
          <w:rFonts w:asciiTheme="majorBidi" w:hAnsiTheme="majorBidi" w:cstheme="majorBidi"/>
        </w:rPr>
        <w:t xml:space="preserve">even after losing </w:t>
      </w:r>
      <w:r>
        <w:rPr>
          <w:rFonts w:asciiTheme="majorBidi" w:hAnsiTheme="majorBidi" w:cstheme="majorBidi"/>
        </w:rPr>
        <w:t xml:space="preserve">their jobs </w:t>
      </w:r>
      <w:r w:rsidRPr="00F140BE">
        <w:rPr>
          <w:rFonts w:asciiTheme="majorBidi" w:hAnsiTheme="majorBidi" w:cstheme="majorBidi"/>
        </w:rPr>
        <w:t>because local house prices fall</w:t>
      </w:r>
      <w:r>
        <w:rPr>
          <w:rFonts w:asciiTheme="majorBidi" w:hAnsiTheme="majorBidi" w:cstheme="majorBidi"/>
        </w:rPr>
        <w:t>, making</w:t>
      </w:r>
      <w:r w:rsidRPr="00F140BE">
        <w:rPr>
          <w:rFonts w:asciiTheme="majorBidi" w:hAnsiTheme="majorBidi" w:cstheme="majorBidi"/>
        </w:rPr>
        <w:t xml:space="preserve"> relocation costly</w:t>
      </w:r>
      <w:r>
        <w:rPr>
          <w:rFonts w:asciiTheme="majorBidi" w:hAnsiTheme="majorBidi" w:cstheme="majorBidi"/>
        </w:rPr>
        <w:t xml:space="preserve"> and slowing the adjustment.</w:t>
      </w:r>
    </w:p>
  </w:footnote>
  <w:footnote w:id="13">
    <w:p w14:paraId="15386D9B" w14:textId="77777777" w:rsidR="006E1FA4" w:rsidRPr="00D56500" w:rsidRDefault="006E1FA4" w:rsidP="006E1FA4">
      <w:pPr>
        <w:pStyle w:val="FootnoteText"/>
        <w:rPr>
          <w:rFonts w:asciiTheme="majorBidi" w:hAnsiTheme="majorBidi" w:cstheme="majorBidi"/>
        </w:rPr>
      </w:pPr>
      <w:r w:rsidRPr="00D56500">
        <w:rPr>
          <w:rStyle w:val="FootnoteReference"/>
          <w:rFonts w:asciiTheme="majorBidi" w:hAnsiTheme="majorBidi" w:cstheme="majorBidi"/>
        </w:rPr>
        <w:footnoteRef/>
      </w:r>
      <w:r w:rsidRPr="00D56500">
        <w:rPr>
          <w:rFonts w:asciiTheme="majorBidi" w:hAnsiTheme="majorBidi" w:cstheme="majorBidi"/>
        </w:rPr>
        <w:t xml:space="preserve"> For example, </w:t>
      </w:r>
      <w:r>
        <w:rPr>
          <w:rFonts w:asciiTheme="majorBidi" w:hAnsiTheme="majorBidi" w:cstheme="majorBidi"/>
        </w:rPr>
        <w:t xml:space="preserve">development of a large Fonterra dairy factory in Darfield, Canterbury since 2010 contributed to the </w:t>
      </w:r>
      <w:r w:rsidRPr="00D56500">
        <w:rPr>
          <w:rFonts w:asciiTheme="majorBidi" w:hAnsiTheme="majorBidi" w:cstheme="majorBidi"/>
        </w:rPr>
        <w:t xml:space="preserve">1.6% per annum expansion rate for </w:t>
      </w:r>
      <w:r>
        <w:rPr>
          <w:rFonts w:asciiTheme="majorBidi" w:hAnsiTheme="majorBidi" w:cstheme="majorBidi"/>
        </w:rPr>
        <w:t xml:space="preserve">that town. Notably, Canterbury is a new area for (irrigated) dairying. At the beginning of our time-series, dairying was predominantly in Taranaki and Waikato (just 4% of the national dairy herd was in Canterbury and Southland). By the end of our time-series one-third of the national herd was in these two South Island regions, at the expense of a declining share for Taranaki. Towns such as Inglewood (with a trend contraction rate of </w:t>
      </w:r>
      <w:r w:rsidRPr="005B2226">
        <w:rPr>
          <w:rFonts w:asciiTheme="majorBidi" w:hAnsiTheme="majorBidi" w:cstheme="majorBidi"/>
        </w:rPr>
        <w:t>−</w:t>
      </w:r>
      <w:r>
        <w:rPr>
          <w:rFonts w:asciiTheme="majorBidi" w:hAnsiTheme="majorBidi" w:cstheme="majorBidi"/>
        </w:rPr>
        <w:t xml:space="preserve">0.3% per annum) were negatively affected by dairy factory closures in Taranaki.  </w:t>
      </w:r>
    </w:p>
  </w:footnote>
  <w:footnote w:id="14">
    <w:p w14:paraId="332554DE" w14:textId="189029C4" w:rsidR="00FF778E" w:rsidRPr="001A7E26" w:rsidRDefault="00FF778E" w:rsidP="001A7E26">
      <w:pPr>
        <w:pStyle w:val="FootnoteText"/>
        <w:rPr>
          <w:rFonts w:asciiTheme="majorBidi" w:hAnsiTheme="majorBidi" w:cstheme="majorBidi"/>
        </w:rPr>
      </w:pPr>
      <w:r w:rsidRPr="001A7E26">
        <w:rPr>
          <w:rStyle w:val="FootnoteReference"/>
          <w:rFonts w:asciiTheme="majorBidi" w:hAnsiTheme="majorBidi" w:cstheme="majorBidi"/>
        </w:rPr>
        <w:footnoteRef/>
      </w:r>
      <w:r w:rsidRPr="001A7E26">
        <w:rPr>
          <w:rFonts w:asciiTheme="majorBidi" w:hAnsiTheme="majorBidi" w:cstheme="majorBidi"/>
        </w:rPr>
        <w:t xml:space="preserve"> </w:t>
      </w:r>
      <w:r w:rsidR="001A7E26" w:rsidRPr="001A7E26">
        <w:rPr>
          <w:rFonts w:asciiTheme="majorBidi" w:hAnsiTheme="majorBidi" w:cstheme="majorBidi"/>
        </w:rPr>
        <w:t xml:space="preserve">Changes in land levels after the 1987 earthquake increased flood exposure and contributed to a sequence of later flood events, </w:t>
      </w:r>
      <w:r w:rsidR="00D35ADD">
        <w:rPr>
          <w:rFonts w:asciiTheme="majorBidi" w:hAnsiTheme="majorBidi" w:cstheme="majorBidi"/>
        </w:rPr>
        <w:t>show</w:t>
      </w:r>
      <w:r w:rsidR="001A7E26" w:rsidRPr="001A7E26">
        <w:rPr>
          <w:rFonts w:asciiTheme="majorBidi" w:hAnsiTheme="majorBidi" w:cstheme="majorBidi"/>
        </w:rPr>
        <w:t>ing how natural disasters can cumulative</w:t>
      </w:r>
      <w:r w:rsidR="00D35ADD">
        <w:rPr>
          <w:rFonts w:asciiTheme="majorBidi" w:hAnsiTheme="majorBidi" w:cstheme="majorBidi"/>
        </w:rPr>
        <w:t>ly</w:t>
      </w:r>
      <w:r w:rsidR="001A7E26" w:rsidRPr="001A7E26">
        <w:rPr>
          <w:rFonts w:asciiTheme="majorBidi" w:hAnsiTheme="majorBidi" w:cstheme="majorBidi"/>
        </w:rPr>
        <w:t xml:space="preserve"> </w:t>
      </w:r>
      <w:r w:rsidR="00D35ADD">
        <w:rPr>
          <w:rFonts w:asciiTheme="majorBidi" w:hAnsiTheme="majorBidi" w:cstheme="majorBidi"/>
        </w:rPr>
        <w:t>a</w:t>
      </w:r>
      <w:r w:rsidR="001A7E26" w:rsidRPr="001A7E26">
        <w:rPr>
          <w:rFonts w:asciiTheme="majorBidi" w:hAnsiTheme="majorBidi" w:cstheme="majorBidi"/>
        </w:rPr>
        <w:t>ffect long-run development trajector</w:t>
      </w:r>
      <w:r w:rsidR="00D35ADD">
        <w:rPr>
          <w:rFonts w:asciiTheme="majorBidi" w:hAnsiTheme="majorBidi" w:cstheme="majorBidi"/>
        </w:rPr>
        <w:t>ies</w:t>
      </w:r>
      <w:r w:rsidR="001A7E26" w:rsidRPr="001A7E26">
        <w:rPr>
          <w:rFonts w:asciiTheme="majorBidi" w:hAnsiTheme="majorBidi" w:cstheme="majorBidi"/>
        </w:rPr>
        <w:t>.</w:t>
      </w:r>
    </w:p>
  </w:footnote>
  <w:footnote w:id="15">
    <w:p w14:paraId="1E439DA7" w14:textId="24168983" w:rsidR="009553AA" w:rsidRPr="009553AA" w:rsidRDefault="009553AA">
      <w:pPr>
        <w:pStyle w:val="FootnoteText"/>
        <w:rPr>
          <w:rFonts w:asciiTheme="majorBidi" w:hAnsiTheme="majorBidi" w:cstheme="majorBidi"/>
        </w:rPr>
      </w:pPr>
      <w:r w:rsidRPr="009553AA">
        <w:rPr>
          <w:rStyle w:val="FootnoteReference"/>
          <w:rFonts w:asciiTheme="majorBidi" w:hAnsiTheme="majorBidi" w:cstheme="majorBidi"/>
        </w:rPr>
        <w:footnoteRef/>
      </w:r>
      <w:r w:rsidRPr="009553AA">
        <w:rPr>
          <w:rFonts w:asciiTheme="majorBidi" w:hAnsiTheme="majorBidi" w:cstheme="majorBidi"/>
        </w:rPr>
        <w:t xml:space="preserve"> Twizel may partly reflect a similar mechanism because it lies within the Aoraki Mackenzie International Dark Sky Reserve. However, Twizel also suffered a planned decline early in our time series, with population falling from ca. </w:t>
      </w:r>
      <w:r w:rsidR="0025218F">
        <w:rPr>
          <w:rFonts w:asciiTheme="majorBidi" w:hAnsiTheme="majorBidi" w:cstheme="majorBidi"/>
        </w:rPr>
        <w:t>6</w:t>
      </w:r>
      <w:r w:rsidRPr="009553AA">
        <w:rPr>
          <w:rFonts w:asciiTheme="majorBidi" w:hAnsiTheme="majorBidi" w:cstheme="majorBidi"/>
        </w:rPr>
        <w:t>,000 in the 1970s to only 1,000 in the 1990s after the construction phase of the Upper Waikato hydro scheme was completed.</w:t>
      </w:r>
      <w:r w:rsidR="0025218F">
        <w:rPr>
          <w:rFonts w:asciiTheme="majorBidi" w:hAnsiTheme="majorBidi" w:cstheme="majorBidi"/>
        </w:rPr>
        <w:t xml:space="preserve"> Many of the dwellings were relocated elsewhere or demolished, thereby reducing the urban footprint.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1C"/>
    <w:rsid w:val="00000236"/>
    <w:rsid w:val="000120AE"/>
    <w:rsid w:val="0001434B"/>
    <w:rsid w:val="000168A8"/>
    <w:rsid w:val="00035C09"/>
    <w:rsid w:val="00041F41"/>
    <w:rsid w:val="00054500"/>
    <w:rsid w:val="00066AC1"/>
    <w:rsid w:val="000766E7"/>
    <w:rsid w:val="00082E70"/>
    <w:rsid w:val="00084A1C"/>
    <w:rsid w:val="00091E84"/>
    <w:rsid w:val="000959BD"/>
    <w:rsid w:val="00096FFA"/>
    <w:rsid w:val="000A241E"/>
    <w:rsid w:val="000A74C7"/>
    <w:rsid w:val="000B119C"/>
    <w:rsid w:val="000B384A"/>
    <w:rsid w:val="000B5B79"/>
    <w:rsid w:val="000B5D14"/>
    <w:rsid w:val="000D4A42"/>
    <w:rsid w:val="000E214C"/>
    <w:rsid w:val="000E48E9"/>
    <w:rsid w:val="000E715D"/>
    <w:rsid w:val="00103F20"/>
    <w:rsid w:val="00111F6F"/>
    <w:rsid w:val="00120605"/>
    <w:rsid w:val="0012350E"/>
    <w:rsid w:val="00131EBF"/>
    <w:rsid w:val="00133EA1"/>
    <w:rsid w:val="00140648"/>
    <w:rsid w:val="001412E8"/>
    <w:rsid w:val="0014452E"/>
    <w:rsid w:val="00171D2C"/>
    <w:rsid w:val="00176560"/>
    <w:rsid w:val="001768CC"/>
    <w:rsid w:val="00183CF8"/>
    <w:rsid w:val="00187AE9"/>
    <w:rsid w:val="00194FD7"/>
    <w:rsid w:val="0019576F"/>
    <w:rsid w:val="001A1D65"/>
    <w:rsid w:val="001A5D89"/>
    <w:rsid w:val="001A7E26"/>
    <w:rsid w:val="001B57C1"/>
    <w:rsid w:val="001B5B46"/>
    <w:rsid w:val="001B6175"/>
    <w:rsid w:val="001B620D"/>
    <w:rsid w:val="001C028C"/>
    <w:rsid w:val="001D0E92"/>
    <w:rsid w:val="001D2570"/>
    <w:rsid w:val="001E2737"/>
    <w:rsid w:val="001F168C"/>
    <w:rsid w:val="002178F4"/>
    <w:rsid w:val="00220D9F"/>
    <w:rsid w:val="00225B13"/>
    <w:rsid w:val="0023118C"/>
    <w:rsid w:val="0024095C"/>
    <w:rsid w:val="00244D19"/>
    <w:rsid w:val="0024524D"/>
    <w:rsid w:val="00246317"/>
    <w:rsid w:val="0025218F"/>
    <w:rsid w:val="002650BE"/>
    <w:rsid w:val="002674A0"/>
    <w:rsid w:val="00270031"/>
    <w:rsid w:val="00270137"/>
    <w:rsid w:val="002719BC"/>
    <w:rsid w:val="002B035A"/>
    <w:rsid w:val="002B2E67"/>
    <w:rsid w:val="002D0452"/>
    <w:rsid w:val="002E253E"/>
    <w:rsid w:val="002F4393"/>
    <w:rsid w:val="00312948"/>
    <w:rsid w:val="00322295"/>
    <w:rsid w:val="003226EA"/>
    <w:rsid w:val="00323F6F"/>
    <w:rsid w:val="003539CC"/>
    <w:rsid w:val="003552E7"/>
    <w:rsid w:val="00356C85"/>
    <w:rsid w:val="003672EA"/>
    <w:rsid w:val="003714B2"/>
    <w:rsid w:val="0038761C"/>
    <w:rsid w:val="0039364B"/>
    <w:rsid w:val="00395B1B"/>
    <w:rsid w:val="003A553E"/>
    <w:rsid w:val="003A65C8"/>
    <w:rsid w:val="003A7389"/>
    <w:rsid w:val="003B683D"/>
    <w:rsid w:val="003E612B"/>
    <w:rsid w:val="003E67FB"/>
    <w:rsid w:val="003F03DA"/>
    <w:rsid w:val="004126D2"/>
    <w:rsid w:val="00416F7E"/>
    <w:rsid w:val="00422CB0"/>
    <w:rsid w:val="004261A7"/>
    <w:rsid w:val="00440A5B"/>
    <w:rsid w:val="0044433F"/>
    <w:rsid w:val="004544BF"/>
    <w:rsid w:val="00457518"/>
    <w:rsid w:val="00493054"/>
    <w:rsid w:val="00496397"/>
    <w:rsid w:val="004A7D6A"/>
    <w:rsid w:val="004B580D"/>
    <w:rsid w:val="004C0D30"/>
    <w:rsid w:val="004C462C"/>
    <w:rsid w:val="004D300A"/>
    <w:rsid w:val="004E4711"/>
    <w:rsid w:val="004F5AD6"/>
    <w:rsid w:val="005059D4"/>
    <w:rsid w:val="005059D9"/>
    <w:rsid w:val="00507BD7"/>
    <w:rsid w:val="0052733D"/>
    <w:rsid w:val="00536634"/>
    <w:rsid w:val="005656F3"/>
    <w:rsid w:val="00572392"/>
    <w:rsid w:val="00597873"/>
    <w:rsid w:val="005A485C"/>
    <w:rsid w:val="005B1C64"/>
    <w:rsid w:val="005C149B"/>
    <w:rsid w:val="005E4EC0"/>
    <w:rsid w:val="005E613E"/>
    <w:rsid w:val="005F0968"/>
    <w:rsid w:val="005F530A"/>
    <w:rsid w:val="00601AAD"/>
    <w:rsid w:val="00604207"/>
    <w:rsid w:val="00613F0B"/>
    <w:rsid w:val="006160EE"/>
    <w:rsid w:val="006213B1"/>
    <w:rsid w:val="00623BCF"/>
    <w:rsid w:val="00625EF3"/>
    <w:rsid w:val="0063074C"/>
    <w:rsid w:val="0063797D"/>
    <w:rsid w:val="00640C12"/>
    <w:rsid w:val="00646484"/>
    <w:rsid w:val="00646D15"/>
    <w:rsid w:val="00674D8D"/>
    <w:rsid w:val="00693BA1"/>
    <w:rsid w:val="006A79E8"/>
    <w:rsid w:val="006B2021"/>
    <w:rsid w:val="006C3DE1"/>
    <w:rsid w:val="006D0225"/>
    <w:rsid w:val="006D2D95"/>
    <w:rsid w:val="006E1FA4"/>
    <w:rsid w:val="006E24ED"/>
    <w:rsid w:val="006F5214"/>
    <w:rsid w:val="006F5E96"/>
    <w:rsid w:val="006F6B1B"/>
    <w:rsid w:val="006F7AD3"/>
    <w:rsid w:val="00712AC1"/>
    <w:rsid w:val="00713F03"/>
    <w:rsid w:val="00722C7F"/>
    <w:rsid w:val="0072442B"/>
    <w:rsid w:val="007254FD"/>
    <w:rsid w:val="0072762A"/>
    <w:rsid w:val="00730B46"/>
    <w:rsid w:val="00751AE3"/>
    <w:rsid w:val="00756894"/>
    <w:rsid w:val="00760154"/>
    <w:rsid w:val="00767F5E"/>
    <w:rsid w:val="00780B84"/>
    <w:rsid w:val="00794C6B"/>
    <w:rsid w:val="007C6C25"/>
    <w:rsid w:val="007D7C41"/>
    <w:rsid w:val="007D7D15"/>
    <w:rsid w:val="007E20FB"/>
    <w:rsid w:val="008012D7"/>
    <w:rsid w:val="00807E41"/>
    <w:rsid w:val="00820420"/>
    <w:rsid w:val="00820457"/>
    <w:rsid w:val="008248FC"/>
    <w:rsid w:val="00826AE4"/>
    <w:rsid w:val="008330A9"/>
    <w:rsid w:val="00835667"/>
    <w:rsid w:val="00860837"/>
    <w:rsid w:val="00866BC9"/>
    <w:rsid w:val="00897299"/>
    <w:rsid w:val="00897EE2"/>
    <w:rsid w:val="008A6083"/>
    <w:rsid w:val="008D3A9B"/>
    <w:rsid w:val="008E2DFA"/>
    <w:rsid w:val="008E7456"/>
    <w:rsid w:val="00902278"/>
    <w:rsid w:val="009142D7"/>
    <w:rsid w:val="00917582"/>
    <w:rsid w:val="009239ED"/>
    <w:rsid w:val="00930F9F"/>
    <w:rsid w:val="00932CD1"/>
    <w:rsid w:val="00935EAC"/>
    <w:rsid w:val="009553AA"/>
    <w:rsid w:val="00963874"/>
    <w:rsid w:val="00973772"/>
    <w:rsid w:val="009769D6"/>
    <w:rsid w:val="00977393"/>
    <w:rsid w:val="00997D91"/>
    <w:rsid w:val="009A28BC"/>
    <w:rsid w:val="00A07B69"/>
    <w:rsid w:val="00A13718"/>
    <w:rsid w:val="00A15222"/>
    <w:rsid w:val="00A1607B"/>
    <w:rsid w:val="00A20636"/>
    <w:rsid w:val="00A26973"/>
    <w:rsid w:val="00A269E7"/>
    <w:rsid w:val="00A37537"/>
    <w:rsid w:val="00A5412D"/>
    <w:rsid w:val="00A77212"/>
    <w:rsid w:val="00A86043"/>
    <w:rsid w:val="00AB31EA"/>
    <w:rsid w:val="00AB6BA7"/>
    <w:rsid w:val="00AC3D2F"/>
    <w:rsid w:val="00AC574E"/>
    <w:rsid w:val="00AC6157"/>
    <w:rsid w:val="00AC7492"/>
    <w:rsid w:val="00AD234A"/>
    <w:rsid w:val="00AE0AC6"/>
    <w:rsid w:val="00AE1080"/>
    <w:rsid w:val="00AE18ED"/>
    <w:rsid w:val="00AE365A"/>
    <w:rsid w:val="00AE5138"/>
    <w:rsid w:val="00AE73A4"/>
    <w:rsid w:val="00AF1A54"/>
    <w:rsid w:val="00AF1CDF"/>
    <w:rsid w:val="00B0622B"/>
    <w:rsid w:val="00B07766"/>
    <w:rsid w:val="00B1111D"/>
    <w:rsid w:val="00B22B2C"/>
    <w:rsid w:val="00B54624"/>
    <w:rsid w:val="00B57C91"/>
    <w:rsid w:val="00B607CE"/>
    <w:rsid w:val="00B63B05"/>
    <w:rsid w:val="00B74238"/>
    <w:rsid w:val="00B95B95"/>
    <w:rsid w:val="00BA0A78"/>
    <w:rsid w:val="00BA38B1"/>
    <w:rsid w:val="00BA4AD5"/>
    <w:rsid w:val="00BA5265"/>
    <w:rsid w:val="00BC4239"/>
    <w:rsid w:val="00BD57EC"/>
    <w:rsid w:val="00BE32C8"/>
    <w:rsid w:val="00C018CE"/>
    <w:rsid w:val="00C03062"/>
    <w:rsid w:val="00C24E5E"/>
    <w:rsid w:val="00C32F9C"/>
    <w:rsid w:val="00C33263"/>
    <w:rsid w:val="00C50CCB"/>
    <w:rsid w:val="00C5317D"/>
    <w:rsid w:val="00C81A70"/>
    <w:rsid w:val="00C872DC"/>
    <w:rsid w:val="00CA08E2"/>
    <w:rsid w:val="00CB6AC6"/>
    <w:rsid w:val="00CC0E7C"/>
    <w:rsid w:val="00CC6193"/>
    <w:rsid w:val="00D03BE7"/>
    <w:rsid w:val="00D03C99"/>
    <w:rsid w:val="00D139FA"/>
    <w:rsid w:val="00D176F1"/>
    <w:rsid w:val="00D353B3"/>
    <w:rsid w:val="00D35ADD"/>
    <w:rsid w:val="00D42921"/>
    <w:rsid w:val="00D42C0F"/>
    <w:rsid w:val="00D50AF7"/>
    <w:rsid w:val="00D55F8F"/>
    <w:rsid w:val="00D57402"/>
    <w:rsid w:val="00D6551C"/>
    <w:rsid w:val="00D66907"/>
    <w:rsid w:val="00D74581"/>
    <w:rsid w:val="00D8572E"/>
    <w:rsid w:val="00D870DB"/>
    <w:rsid w:val="00DA67F6"/>
    <w:rsid w:val="00DB1733"/>
    <w:rsid w:val="00DB4BC2"/>
    <w:rsid w:val="00DC1354"/>
    <w:rsid w:val="00DD0BFC"/>
    <w:rsid w:val="00DD4ACF"/>
    <w:rsid w:val="00DD5879"/>
    <w:rsid w:val="00DD5C84"/>
    <w:rsid w:val="00DE01E8"/>
    <w:rsid w:val="00DE25FA"/>
    <w:rsid w:val="00DF66EA"/>
    <w:rsid w:val="00E04859"/>
    <w:rsid w:val="00E06C46"/>
    <w:rsid w:val="00E16931"/>
    <w:rsid w:val="00E20D31"/>
    <w:rsid w:val="00E24473"/>
    <w:rsid w:val="00E30C81"/>
    <w:rsid w:val="00E30D9E"/>
    <w:rsid w:val="00E44F40"/>
    <w:rsid w:val="00E524FB"/>
    <w:rsid w:val="00E559ED"/>
    <w:rsid w:val="00E6283E"/>
    <w:rsid w:val="00E63D76"/>
    <w:rsid w:val="00E75E29"/>
    <w:rsid w:val="00E81342"/>
    <w:rsid w:val="00E916BF"/>
    <w:rsid w:val="00E93276"/>
    <w:rsid w:val="00EA162E"/>
    <w:rsid w:val="00EC46D8"/>
    <w:rsid w:val="00EC71BD"/>
    <w:rsid w:val="00ED5EDB"/>
    <w:rsid w:val="00ED7A9F"/>
    <w:rsid w:val="00EF3656"/>
    <w:rsid w:val="00F075CB"/>
    <w:rsid w:val="00F1184E"/>
    <w:rsid w:val="00F1679B"/>
    <w:rsid w:val="00F17640"/>
    <w:rsid w:val="00F17FA6"/>
    <w:rsid w:val="00F32060"/>
    <w:rsid w:val="00F41C6F"/>
    <w:rsid w:val="00F7442F"/>
    <w:rsid w:val="00F74F61"/>
    <w:rsid w:val="00FB3BCF"/>
    <w:rsid w:val="00FC4483"/>
    <w:rsid w:val="00FD4E6E"/>
    <w:rsid w:val="00FF6536"/>
    <w:rsid w:val="00FF778E"/>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EB3EC"/>
  <w15:chartTrackingRefBased/>
  <w15:docId w15:val="{3EB68C3F-DB71-4BB4-B2EE-9BF54F44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61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38761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8761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8761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8761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87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1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38761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8761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8761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8761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87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61C"/>
    <w:rPr>
      <w:rFonts w:eastAsiaTheme="majorEastAsia" w:cstheme="majorBidi"/>
      <w:color w:val="272727" w:themeColor="text1" w:themeTint="D8"/>
    </w:rPr>
  </w:style>
  <w:style w:type="paragraph" w:styleId="Title">
    <w:name w:val="Title"/>
    <w:basedOn w:val="Normal"/>
    <w:next w:val="Normal"/>
    <w:link w:val="TitleChar"/>
    <w:qFormat/>
    <w:rsid w:val="00387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87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61C"/>
    <w:pPr>
      <w:spacing w:before="160"/>
      <w:jc w:val="center"/>
    </w:pPr>
    <w:rPr>
      <w:i/>
      <w:iCs/>
      <w:color w:val="404040" w:themeColor="text1" w:themeTint="BF"/>
    </w:rPr>
  </w:style>
  <w:style w:type="character" w:customStyle="1" w:styleId="QuoteChar">
    <w:name w:val="Quote Char"/>
    <w:basedOn w:val="DefaultParagraphFont"/>
    <w:link w:val="Quote"/>
    <w:uiPriority w:val="29"/>
    <w:rsid w:val="0038761C"/>
    <w:rPr>
      <w:i/>
      <w:iCs/>
      <w:color w:val="404040" w:themeColor="text1" w:themeTint="BF"/>
    </w:rPr>
  </w:style>
  <w:style w:type="paragraph" w:styleId="ListParagraph">
    <w:name w:val="List Paragraph"/>
    <w:basedOn w:val="Normal"/>
    <w:uiPriority w:val="34"/>
    <w:qFormat/>
    <w:rsid w:val="0038761C"/>
    <w:pPr>
      <w:ind w:left="720"/>
      <w:contextualSpacing/>
    </w:pPr>
  </w:style>
  <w:style w:type="character" w:styleId="IntenseEmphasis">
    <w:name w:val="Intense Emphasis"/>
    <w:basedOn w:val="DefaultParagraphFont"/>
    <w:uiPriority w:val="21"/>
    <w:qFormat/>
    <w:rsid w:val="0038761C"/>
    <w:rPr>
      <w:i/>
      <w:iCs/>
      <w:color w:val="2E74B5" w:themeColor="accent1" w:themeShade="BF"/>
    </w:rPr>
  </w:style>
  <w:style w:type="paragraph" w:styleId="IntenseQuote">
    <w:name w:val="Intense Quote"/>
    <w:basedOn w:val="Normal"/>
    <w:next w:val="Normal"/>
    <w:link w:val="IntenseQuoteChar"/>
    <w:uiPriority w:val="30"/>
    <w:qFormat/>
    <w:rsid w:val="0038761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8761C"/>
    <w:rPr>
      <w:i/>
      <w:iCs/>
      <w:color w:val="2E74B5" w:themeColor="accent1" w:themeShade="BF"/>
    </w:rPr>
  </w:style>
  <w:style w:type="character" w:styleId="IntenseReference">
    <w:name w:val="Intense Reference"/>
    <w:basedOn w:val="DefaultParagraphFont"/>
    <w:uiPriority w:val="32"/>
    <w:qFormat/>
    <w:rsid w:val="0038761C"/>
    <w:rPr>
      <w:b/>
      <w:bCs/>
      <w:smallCaps/>
      <w:color w:val="2E74B5" w:themeColor="accent1" w:themeShade="BF"/>
      <w:spacing w:val="5"/>
    </w:rPr>
  </w:style>
  <w:style w:type="paragraph" w:styleId="FootnoteText">
    <w:name w:val="footnote text"/>
    <w:basedOn w:val="Normal"/>
    <w:link w:val="FootnoteTextChar"/>
    <w:uiPriority w:val="99"/>
    <w:semiHidden/>
    <w:unhideWhenUsed/>
    <w:rsid w:val="001765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6560"/>
    <w:rPr>
      <w:sz w:val="20"/>
      <w:szCs w:val="20"/>
    </w:rPr>
  </w:style>
  <w:style w:type="character" w:styleId="FootnoteReference">
    <w:name w:val="footnote reference"/>
    <w:basedOn w:val="DefaultParagraphFont"/>
    <w:uiPriority w:val="99"/>
    <w:semiHidden/>
    <w:unhideWhenUsed/>
    <w:rsid w:val="00176560"/>
    <w:rPr>
      <w:vertAlign w:val="superscript"/>
    </w:rPr>
  </w:style>
  <w:style w:type="character" w:styleId="Hyperlink">
    <w:name w:val="Hyperlink"/>
    <w:basedOn w:val="DefaultParagraphFont"/>
    <w:uiPriority w:val="99"/>
    <w:unhideWhenUsed/>
    <w:rsid w:val="00176560"/>
    <w:rPr>
      <w:color w:val="0563C1" w:themeColor="hyperlink"/>
      <w:u w:val="single"/>
    </w:rPr>
  </w:style>
  <w:style w:type="character" w:styleId="UnresolvedMention">
    <w:name w:val="Unresolved Mention"/>
    <w:basedOn w:val="DefaultParagraphFont"/>
    <w:uiPriority w:val="99"/>
    <w:semiHidden/>
    <w:unhideWhenUsed/>
    <w:rsid w:val="00176560"/>
    <w:rPr>
      <w:color w:val="605E5C"/>
      <w:shd w:val="clear" w:color="auto" w:fill="E1DFDD"/>
    </w:rPr>
  </w:style>
  <w:style w:type="character" w:styleId="PlaceholderText">
    <w:name w:val="Placeholder Text"/>
    <w:basedOn w:val="DefaultParagraphFont"/>
    <w:uiPriority w:val="99"/>
    <w:semiHidden/>
    <w:rsid w:val="00E63D76"/>
    <w:rPr>
      <w:color w:val="666666"/>
    </w:rPr>
  </w:style>
  <w:style w:type="table" w:styleId="TableGrid">
    <w:name w:val="Table Grid"/>
    <w:basedOn w:val="TableNormal"/>
    <w:uiPriority w:val="39"/>
    <w:rsid w:val="00270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B2C"/>
  </w:style>
  <w:style w:type="paragraph" w:styleId="Footer">
    <w:name w:val="footer"/>
    <w:basedOn w:val="Normal"/>
    <w:link w:val="FooterChar"/>
    <w:uiPriority w:val="99"/>
    <w:unhideWhenUsed/>
    <w:rsid w:val="00B2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B2C"/>
  </w:style>
  <w:style w:type="paragraph" w:customStyle="1" w:styleId="Default">
    <w:name w:val="Default"/>
    <w:rsid w:val="00054500"/>
    <w:pPr>
      <w:autoSpaceDE w:val="0"/>
      <w:autoSpaceDN w:val="0"/>
      <w:adjustRightInd w:val="0"/>
      <w:spacing w:after="0" w:line="240" w:lineRule="auto"/>
    </w:pPr>
    <w:rPr>
      <w:rFonts w:ascii="Cambria" w:eastAsia="Calibri" w:hAnsi="Cambria" w:cs="Cambria"/>
      <w:color w:val="000000"/>
      <w:kern w:val="0"/>
      <w:lang w:eastAsia="en-NZ"/>
      <w14:ligatures w14:val="none"/>
    </w:rPr>
  </w:style>
  <w:style w:type="paragraph" w:customStyle="1" w:styleId="CM1">
    <w:name w:val="CM1"/>
    <w:basedOn w:val="Default"/>
    <w:next w:val="Default"/>
    <w:rsid w:val="00054500"/>
    <w:pPr>
      <w:widowControl w:val="0"/>
      <w:spacing w:line="323" w:lineRule="atLeast"/>
    </w:pPr>
    <w:rPr>
      <w:rFonts w:ascii="Times New Roman" w:eastAsia="Times New Roman" w:hAnsi="Times New Roman" w:cs="Times New Roman"/>
      <w:color w:val="auto"/>
      <w:lang w:val="en-US" w:eastAsia="en-US"/>
    </w:rPr>
  </w:style>
  <w:style w:type="paragraph" w:customStyle="1" w:styleId="CM20">
    <w:name w:val="CM20"/>
    <w:basedOn w:val="Default"/>
    <w:next w:val="Default"/>
    <w:rsid w:val="00054500"/>
    <w:pPr>
      <w:widowControl w:val="0"/>
      <w:spacing w:after="1503"/>
    </w:pPr>
    <w:rPr>
      <w:rFonts w:ascii="Times New Roman" w:eastAsia="Times New Roman" w:hAnsi="Times New Roman" w:cs="Times New Roman"/>
      <w:color w:val="auto"/>
      <w:lang w:val="en-US" w:eastAsia="en-US"/>
    </w:rPr>
  </w:style>
  <w:style w:type="paragraph" w:customStyle="1" w:styleId="CM3">
    <w:name w:val="CM3"/>
    <w:basedOn w:val="Default"/>
    <w:next w:val="Default"/>
    <w:rsid w:val="00054500"/>
    <w:pPr>
      <w:widowControl w:val="0"/>
    </w:pPr>
    <w:rPr>
      <w:rFonts w:ascii="Times New Roman" w:eastAsia="Times New Roman" w:hAnsi="Times New Roman" w:cs="Times New Roman"/>
      <w:color w:val="auto"/>
      <w:lang w:val="en-US" w:eastAsia="en-US"/>
    </w:rPr>
  </w:style>
  <w:style w:type="paragraph" w:customStyle="1" w:styleId="CM22">
    <w:name w:val="CM22"/>
    <w:basedOn w:val="Default"/>
    <w:next w:val="Default"/>
    <w:rsid w:val="00054500"/>
    <w:pPr>
      <w:widowControl w:val="0"/>
      <w:spacing w:after="65"/>
    </w:pPr>
    <w:rPr>
      <w:rFonts w:ascii="Times New Roman" w:eastAsia="Times New Roman" w:hAnsi="Times New Roman" w:cs="Times New Roman"/>
      <w:color w:val="auto"/>
      <w:lang w:val="en-US" w:eastAsia="en-US"/>
    </w:rPr>
  </w:style>
  <w:style w:type="paragraph" w:customStyle="1" w:styleId="CM4">
    <w:name w:val="CM4"/>
    <w:basedOn w:val="Default"/>
    <w:next w:val="Default"/>
    <w:rsid w:val="00054500"/>
    <w:pPr>
      <w:widowControl w:val="0"/>
      <w:spacing w:line="253" w:lineRule="atLeast"/>
    </w:pPr>
    <w:rPr>
      <w:rFonts w:ascii="Times New Roman" w:eastAsia="Times New Roman" w:hAnsi="Times New Roman" w:cs="Times New Roman"/>
      <w:color w:val="auto"/>
      <w:lang w:val="en-US" w:eastAsia="en-US"/>
    </w:rPr>
  </w:style>
  <w:style w:type="paragraph" w:customStyle="1" w:styleId="CM23">
    <w:name w:val="CM23"/>
    <w:basedOn w:val="Default"/>
    <w:next w:val="Default"/>
    <w:rsid w:val="00054500"/>
    <w:pPr>
      <w:widowControl w:val="0"/>
      <w:spacing w:after="233"/>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kgibson@waikato.ac.nz" TargetMode="External"/><Relationship Id="rId12" Type="http://schemas.openxmlformats.org/officeDocument/2006/relationships/image" Target="media/image4.jpeg"/><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doi.org/10.1093/jeg/lbag021"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_rels/footnotes.xml.rels><?xml version="1.0" encoding="UTF-8" standalone="yes"?>
<Relationships xmlns="http://schemas.openxmlformats.org/package/2006/relationships"><Relationship Id="rId3" Type="http://schemas.openxmlformats.org/officeDocument/2006/relationships/hyperlink" Target="https://www.stuff.co.nz/money/350572674/why-zombie-towns-are-appearing-all-over-nz-revealed-in-new-report" TargetMode="External"/><Relationship Id="rId2" Type="http://schemas.openxmlformats.org/officeDocument/2006/relationships/hyperlink" Target="https://www.stuff.co.nz/nz-news/350434392/nzs-zombie-towns-rural-areas-edge-extinction" TargetMode="External"/><Relationship Id="rId1" Type="http://schemas.openxmlformats.org/officeDocument/2006/relationships/hyperlink" Target="https://www.nbr.co.nz/nz-has-zombie-towns-that-need-to-close-economist/" TargetMode="External"/><Relationship Id="rId5" Type="http://schemas.openxmlformats.org/officeDocument/2006/relationships/hyperlink" Target="https://www.stats.govt.nz/information-releases/subnational-population-estimates-at-30-june-2025/" TargetMode="External"/><Relationship Id="rId4" Type="http://schemas.openxmlformats.org/officeDocument/2006/relationships/hyperlink" Target="https://ecanmaps.ecan.govt.nz/portal/home/item.html?id=d5a534bd1620498e941b620267ceea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701FA-F9C5-498D-9945-E70DB01FE70D}">
  <ds:schemaRefs>
    <ds:schemaRef ds:uri="http://schemas.openxmlformats.org/officeDocument/2006/bibliography"/>
  </ds:schemaRefs>
</ds:datastoreItem>
</file>

<file path=docMetadata/LabelInfo.xml><?xml version="1.0" encoding="utf-8"?>
<clbl:labelList xmlns:clbl="http://schemas.microsoft.com/office/2020/mipLabelMetadata">
  <clbl:label id="{220f5dc3-9452-48e5-9b4f-888df42f7a2d}" enabled="0" method="" siteId="{220f5dc3-9452-48e5-9b4f-888df42f7a2d}" removed="1"/>
</clbl:labelList>
</file>

<file path=docProps/app.xml><?xml version="1.0" encoding="utf-8"?>
<Properties xmlns="http://schemas.openxmlformats.org/officeDocument/2006/extended-properties" xmlns:vt="http://schemas.openxmlformats.org/officeDocument/2006/docPropsVTypes">
  <Template>Normal</Template>
  <TotalTime>20</TotalTime>
  <Pages>23</Pages>
  <Words>7259</Words>
  <Characters>41307</Characters>
  <Application>Microsoft Office Word</Application>
  <DocSecurity>0</DocSecurity>
  <Lines>897</Lines>
  <Paragraphs>480</Paragraphs>
  <ScaleCrop>false</ScaleCrop>
  <HeadingPairs>
    <vt:vector size="2" baseType="variant">
      <vt:variant>
        <vt:lpstr>Title</vt:lpstr>
      </vt:variant>
      <vt:variant>
        <vt:i4>1</vt:i4>
      </vt:variant>
    </vt:vector>
  </HeadingPairs>
  <TitlesOfParts>
    <vt:vector size="1" baseType="lpstr">
      <vt:lpstr/>
    </vt:vector>
  </TitlesOfParts>
  <Company>University of Waikato</Company>
  <LinksUpToDate>false</LinksUpToDate>
  <CharactersWithSpaces>48086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Gibson</dc:creator>
  <cp:keywords/>
  <dc:description/>
  <cp:lastModifiedBy>Geua Boe-Gibson</cp:lastModifiedBy>
  <cp:revision>25</cp:revision>
  <cp:lastPrinted>2026-07-22T05:51:00Z</cp:lastPrinted>
  <dcterms:created xsi:type="dcterms:W3CDTF">2026-07-22T05:30:00Z</dcterms:created>
  <dcterms:modified xsi:type="dcterms:W3CDTF">2026-07-22T05:54:00Z</dcterms:modified>
</cp:coreProperties>
</file>