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6EED" w14:textId="77777777" w:rsidR="00BF4826" w:rsidRDefault="00BF4826" w:rsidP="00BF4826">
      <w:pPr>
        <w:pStyle w:val="Default"/>
        <w:jc w:val="center"/>
        <w:rPr>
          <w:b/>
          <w:bCs/>
          <w:sz w:val="28"/>
          <w:szCs w:val="28"/>
        </w:rPr>
      </w:pPr>
    </w:p>
    <w:p w14:paraId="08E83EA9" w14:textId="77777777" w:rsidR="00BF4826" w:rsidRPr="00AB6BA7" w:rsidRDefault="00BF4826" w:rsidP="00BF4826">
      <w:pPr>
        <w:pStyle w:val="Default"/>
        <w:jc w:val="center"/>
        <w:rPr>
          <w:rFonts w:ascii="Times New Roman" w:hAnsi="Times New Roman" w:cs="Times New Roman"/>
          <w:b/>
          <w:bCs/>
          <w:sz w:val="28"/>
          <w:szCs w:val="28"/>
        </w:rPr>
      </w:pPr>
      <w:r w:rsidRPr="00AB6BA7">
        <w:rPr>
          <w:rFonts w:ascii="Times New Roman" w:hAnsi="Times New Roman" w:cs="Times New Roman"/>
          <w:b/>
          <w:bCs/>
          <w:sz w:val="28"/>
          <w:szCs w:val="28"/>
        </w:rPr>
        <w:t>UNIVERSITY OF WAIKATO</w:t>
      </w:r>
    </w:p>
    <w:p w14:paraId="50B89496" w14:textId="77777777" w:rsidR="00BF4826" w:rsidRPr="00AB6BA7" w:rsidRDefault="00BF4826" w:rsidP="00BF4826">
      <w:pPr>
        <w:pStyle w:val="Default"/>
        <w:jc w:val="center"/>
        <w:rPr>
          <w:rFonts w:ascii="Times New Roman" w:hAnsi="Times New Roman" w:cs="Times New Roman"/>
          <w:b/>
          <w:bCs/>
          <w:sz w:val="28"/>
          <w:szCs w:val="28"/>
        </w:rPr>
      </w:pPr>
      <w:r w:rsidRPr="00AB6BA7">
        <w:rPr>
          <w:rFonts w:ascii="Times New Roman" w:hAnsi="Times New Roman" w:cs="Times New Roman"/>
          <w:b/>
          <w:bCs/>
          <w:sz w:val="28"/>
          <w:szCs w:val="28"/>
        </w:rPr>
        <w:br/>
        <w:t>Hamilton</w:t>
      </w:r>
    </w:p>
    <w:p w14:paraId="54292B5D" w14:textId="77777777" w:rsidR="00BF4826" w:rsidRDefault="00BF4826" w:rsidP="00BF4826">
      <w:pPr>
        <w:pStyle w:val="CM1"/>
        <w:spacing w:line="240" w:lineRule="auto"/>
        <w:jc w:val="center"/>
        <w:rPr>
          <w:b/>
          <w:bCs/>
          <w:sz w:val="28"/>
          <w:szCs w:val="28"/>
        </w:rPr>
      </w:pPr>
      <w:r>
        <w:rPr>
          <w:b/>
          <w:bCs/>
          <w:sz w:val="28"/>
          <w:szCs w:val="28"/>
        </w:rPr>
        <w:t xml:space="preserve">New Zealand </w:t>
      </w:r>
    </w:p>
    <w:p w14:paraId="4A7165B4" w14:textId="77777777" w:rsidR="00BF4826" w:rsidRDefault="00BF4826" w:rsidP="00BF4826">
      <w:pPr>
        <w:pStyle w:val="Default"/>
      </w:pPr>
    </w:p>
    <w:p w14:paraId="7B5778D6" w14:textId="77777777" w:rsidR="00BF4826" w:rsidRDefault="00BF4826" w:rsidP="00BF4826">
      <w:pPr>
        <w:pStyle w:val="Default"/>
      </w:pPr>
    </w:p>
    <w:p w14:paraId="1F610EF8" w14:textId="5827A86E" w:rsidR="00BF4826" w:rsidRPr="00780B84" w:rsidRDefault="00BF4826" w:rsidP="00BF4826">
      <w:pPr>
        <w:pStyle w:val="Title"/>
        <w:pBdr>
          <w:top w:val="thinThickSmallGap" w:sz="24" w:space="0" w:color="auto"/>
          <w:left w:val="thinThickSmallGap" w:sz="24" w:space="4" w:color="auto"/>
          <w:bottom w:val="thinThickSmallGap" w:sz="24" w:space="1" w:color="auto"/>
          <w:right w:val="thinThickSmallGap" w:sz="24" w:space="4" w:color="auto"/>
        </w:pBdr>
        <w:spacing w:line="360" w:lineRule="auto"/>
        <w:jc w:val="center"/>
        <w:rPr>
          <w:rFonts w:ascii="Times New Roman" w:hAnsi="Times New Roman"/>
          <w:b/>
          <w:bCs/>
          <w:sz w:val="32"/>
          <w:szCs w:val="32"/>
        </w:rPr>
      </w:pPr>
      <w:r>
        <w:rPr>
          <w:rFonts w:ascii="Times New Roman" w:hAnsi="Times New Roman"/>
          <w:b/>
          <w:bCs/>
          <w:sz w:val="28"/>
          <w:szCs w:val="28"/>
        </w:rPr>
        <w:br/>
      </w:r>
      <w:r w:rsidRPr="00BF4826">
        <w:rPr>
          <w:rFonts w:ascii="Times New Roman" w:hAnsi="Times New Roman"/>
          <w:b/>
          <w:bCs/>
          <w:sz w:val="32"/>
          <w:szCs w:val="32"/>
        </w:rPr>
        <w:t>How does AI affect price discovery and liquidity in asset market experiments?</w:t>
      </w:r>
      <w:r w:rsidRPr="00780B84">
        <w:rPr>
          <w:rFonts w:ascii="Times New Roman" w:hAnsi="Times New Roman"/>
          <w:b/>
          <w:bCs/>
          <w:sz w:val="32"/>
          <w:szCs w:val="32"/>
        </w:rPr>
        <w:br/>
      </w:r>
    </w:p>
    <w:p w14:paraId="22E7F390" w14:textId="1EC484A6" w:rsidR="00BF4826" w:rsidRPr="00821B2F" w:rsidRDefault="00BF4826" w:rsidP="00BF4826">
      <w:pPr>
        <w:pStyle w:val="Title"/>
        <w:pBdr>
          <w:top w:val="thinThickSmallGap" w:sz="24" w:space="0" w:color="auto"/>
          <w:left w:val="thinThickSmallGap" w:sz="24" w:space="4" w:color="auto"/>
          <w:bottom w:val="thinThickSmallGap" w:sz="24" w:space="1" w:color="auto"/>
          <w:right w:val="thinThickSmallGap" w:sz="24" w:space="4" w:color="auto"/>
        </w:pBdr>
        <w:jc w:val="center"/>
        <w:rPr>
          <w:rFonts w:ascii="Times New Roman" w:hAnsi="Times New Roman"/>
          <w:sz w:val="8"/>
          <w:szCs w:val="8"/>
        </w:rPr>
      </w:pPr>
      <w:r w:rsidRPr="00BF4826">
        <w:rPr>
          <w:rFonts w:ascii="Times New Roman" w:hAnsi="Times New Roman"/>
          <w:sz w:val="28"/>
          <w:szCs w:val="28"/>
        </w:rPr>
        <w:t>Carol Luengo, Steven Tucker, Yilong Xu</w:t>
      </w:r>
      <w:r>
        <w:rPr>
          <w:rFonts w:ascii="Times New Roman" w:hAnsi="Times New Roman"/>
          <w:sz w:val="28"/>
          <w:szCs w:val="28"/>
        </w:rPr>
        <w:t xml:space="preserve"> and</w:t>
      </w:r>
      <w:r w:rsidRPr="00BF4826">
        <w:rPr>
          <w:rFonts w:ascii="Times New Roman" w:hAnsi="Times New Roman"/>
          <w:sz w:val="28"/>
          <w:szCs w:val="28"/>
        </w:rPr>
        <w:t xml:space="preserve"> Frank Scrimgeour</w:t>
      </w:r>
    </w:p>
    <w:p w14:paraId="37779A41" w14:textId="77777777" w:rsidR="00BF4826" w:rsidRDefault="00BF4826" w:rsidP="00BF4826">
      <w:pPr>
        <w:pStyle w:val="Default"/>
      </w:pPr>
    </w:p>
    <w:p w14:paraId="02657946" w14:textId="77777777" w:rsidR="00BF4826" w:rsidRDefault="00BF4826" w:rsidP="00BF4826">
      <w:pPr>
        <w:pStyle w:val="CM20"/>
        <w:spacing w:after="0"/>
        <w:jc w:val="center"/>
        <w:rPr>
          <w:i/>
          <w:iCs/>
        </w:rPr>
      </w:pPr>
    </w:p>
    <w:p w14:paraId="742AC491" w14:textId="3429EBCB" w:rsidR="00BF4826" w:rsidRDefault="00BF4826" w:rsidP="00BF4826">
      <w:pPr>
        <w:pStyle w:val="CM22"/>
        <w:spacing w:after="0"/>
        <w:jc w:val="center"/>
        <w:rPr>
          <w:b/>
          <w:bCs/>
          <w:sz w:val="28"/>
          <w:szCs w:val="28"/>
        </w:rPr>
      </w:pPr>
      <w:r>
        <w:rPr>
          <w:b/>
          <w:bCs/>
          <w:sz w:val="28"/>
          <w:szCs w:val="28"/>
        </w:rPr>
        <w:t xml:space="preserve">Working Paper in Economics </w:t>
      </w:r>
      <w:r w:rsidR="00737164">
        <w:rPr>
          <w:b/>
          <w:bCs/>
          <w:sz w:val="28"/>
          <w:szCs w:val="28"/>
        </w:rPr>
        <w:t>5</w:t>
      </w:r>
      <w:r>
        <w:rPr>
          <w:b/>
          <w:bCs/>
          <w:sz w:val="28"/>
          <w:szCs w:val="28"/>
        </w:rPr>
        <w:t>/26</w:t>
      </w:r>
    </w:p>
    <w:p w14:paraId="27C3F610" w14:textId="77777777" w:rsidR="00BF4826" w:rsidRDefault="00BF4826" w:rsidP="00BF4826">
      <w:pPr>
        <w:pStyle w:val="CM22"/>
        <w:spacing w:after="0"/>
        <w:jc w:val="center"/>
        <w:rPr>
          <w:sz w:val="28"/>
          <w:szCs w:val="28"/>
        </w:rPr>
      </w:pPr>
      <w:r>
        <w:rPr>
          <w:b/>
          <w:bCs/>
          <w:sz w:val="28"/>
          <w:szCs w:val="28"/>
        </w:rPr>
        <w:t xml:space="preserve"> </w:t>
      </w:r>
    </w:p>
    <w:p w14:paraId="23C3970F" w14:textId="415A207E" w:rsidR="00BF4826" w:rsidRDefault="00BF4826" w:rsidP="00BF4826">
      <w:pPr>
        <w:pStyle w:val="CM3"/>
        <w:jc w:val="center"/>
        <w:rPr>
          <w:sz w:val="28"/>
          <w:szCs w:val="28"/>
        </w:rPr>
      </w:pPr>
      <w:r>
        <w:rPr>
          <w:sz w:val="28"/>
          <w:szCs w:val="28"/>
        </w:rPr>
        <w:t>September 2026</w:t>
      </w:r>
      <w:r>
        <w:rPr>
          <w:sz w:val="28"/>
          <w:szCs w:val="28"/>
        </w:rPr>
        <w:br/>
      </w:r>
    </w:p>
    <w:p w14:paraId="2186ECB9" w14:textId="77777777" w:rsidR="00BF4826" w:rsidRDefault="00BF4826" w:rsidP="00BF4826">
      <w:pPr>
        <w:pStyle w:val="CM4"/>
        <w:spacing w:line="240" w:lineRule="auto"/>
        <w:jc w:val="center"/>
        <w:rPr>
          <w:b/>
          <w:bCs/>
          <w:sz w:val="22"/>
          <w:szCs w:val="22"/>
        </w:rPr>
      </w:pPr>
    </w:p>
    <w:p w14:paraId="4F941B6F" w14:textId="77777777" w:rsidR="00BF4826" w:rsidRPr="00BF4826" w:rsidRDefault="00BF4826" w:rsidP="00BF4826">
      <w:pPr>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Corresponding Author</w:t>
      </w:r>
    </w:p>
    <w:p w14:paraId="4FD63FFF" w14:textId="77777777" w:rsidR="00BF4826" w:rsidRPr="00BF4826" w:rsidRDefault="00BF4826" w:rsidP="00BF4826">
      <w:pPr>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
          <w:bCs/>
          <w:i/>
          <w:kern w:val="0"/>
          <w14:ligatures w14:val="none"/>
        </w:rPr>
        <w:t>Steven Tucker</w:t>
      </w:r>
    </w:p>
    <w:p w14:paraId="6C8FEEF5" w14:textId="77777777" w:rsidR="00BF4826" w:rsidRPr="00BF4826" w:rsidRDefault="00BF4826" w:rsidP="00BF4826">
      <w:pPr>
        <w:spacing w:after="0"/>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Waikato Management School</w:t>
      </w:r>
    </w:p>
    <w:p w14:paraId="68CF1D78" w14:textId="77777777" w:rsidR="00BF4826" w:rsidRPr="00BF4826" w:rsidRDefault="00BF4826" w:rsidP="00BF4826">
      <w:pPr>
        <w:spacing w:after="0"/>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University of Waikato</w:t>
      </w:r>
    </w:p>
    <w:p w14:paraId="6CAA7728" w14:textId="77777777" w:rsidR="00BF4826" w:rsidRPr="00BF4826" w:rsidRDefault="00BF4826" w:rsidP="00BF4826">
      <w:pPr>
        <w:spacing w:after="0"/>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Private Bag 3105</w:t>
      </w:r>
    </w:p>
    <w:p w14:paraId="62AA2F51" w14:textId="77777777" w:rsidR="00BF4826" w:rsidRPr="00BF4826" w:rsidRDefault="00BF4826" w:rsidP="00BF4826">
      <w:pPr>
        <w:spacing w:after="0"/>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Hamilton, 3240</w:t>
      </w:r>
    </w:p>
    <w:p w14:paraId="35E624F2" w14:textId="77777777" w:rsidR="00BF4826" w:rsidRPr="00BF4826" w:rsidRDefault="00BF4826" w:rsidP="00BF4826">
      <w:pPr>
        <w:spacing w:after="0"/>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 xml:space="preserve">New Zealand </w:t>
      </w:r>
    </w:p>
    <w:p w14:paraId="59242EAE" w14:textId="77777777" w:rsidR="00BF4826" w:rsidRPr="00BF4826" w:rsidRDefault="00BF4826" w:rsidP="00BF4826">
      <w:pPr>
        <w:spacing w:after="0"/>
        <w:jc w:val="center"/>
        <w:rPr>
          <w:rFonts w:ascii="Times New Roman" w:eastAsia="Times New Roman" w:hAnsi="Times New Roman" w:cs="Times New Roman"/>
          <w:bCs/>
          <w:i/>
          <w:kern w:val="0"/>
          <w:lang w:val="en-NZ"/>
          <w14:ligatures w14:val="none"/>
        </w:rPr>
      </w:pPr>
    </w:p>
    <w:p w14:paraId="5C1FB016" w14:textId="77777777" w:rsidR="00BF4826" w:rsidRPr="00BF4826" w:rsidRDefault="00BF4826" w:rsidP="00BF4826">
      <w:pPr>
        <w:spacing w:after="0"/>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Email: steven.tucker@waikato.ac.nz</w:t>
      </w:r>
    </w:p>
    <w:p w14:paraId="46B324E4" w14:textId="77777777" w:rsidR="00BF4826" w:rsidRPr="00BF4826" w:rsidRDefault="00BF4826" w:rsidP="00BF4826">
      <w:pPr>
        <w:jc w:val="center"/>
        <w:rPr>
          <w:rFonts w:ascii="Times New Roman" w:eastAsia="Times New Roman" w:hAnsi="Times New Roman" w:cs="Times New Roman"/>
          <w:bCs/>
          <w:i/>
          <w:kern w:val="0"/>
          <w14:ligatures w14:val="none"/>
        </w:rPr>
      </w:pPr>
    </w:p>
    <w:p w14:paraId="17C31623" w14:textId="77777777" w:rsidR="00BF4826" w:rsidRPr="00BF4826" w:rsidRDefault="00BF4826" w:rsidP="00BF4826">
      <w:pPr>
        <w:jc w:val="center"/>
        <w:rPr>
          <w:rFonts w:ascii="Times New Roman" w:eastAsia="Times New Roman" w:hAnsi="Times New Roman" w:cs="Times New Roman"/>
          <w:b/>
          <w:bCs/>
          <w:i/>
          <w:kern w:val="0"/>
          <w14:ligatures w14:val="none"/>
        </w:rPr>
      </w:pPr>
      <w:r w:rsidRPr="00BF4826">
        <w:rPr>
          <w:rFonts w:ascii="Times New Roman" w:eastAsia="Times New Roman" w:hAnsi="Times New Roman" w:cs="Times New Roman"/>
          <w:b/>
          <w:bCs/>
          <w:i/>
          <w:kern w:val="0"/>
          <w14:ligatures w14:val="none"/>
        </w:rPr>
        <w:t>Carol Luengo and Frank Scrimgeour</w:t>
      </w:r>
    </w:p>
    <w:p w14:paraId="37BAEDC3" w14:textId="77777777" w:rsidR="00BF4826" w:rsidRPr="00BF4826" w:rsidRDefault="00BF4826" w:rsidP="00BF4826">
      <w:pPr>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Waikato Management School</w:t>
      </w:r>
    </w:p>
    <w:p w14:paraId="19401F65" w14:textId="77777777" w:rsidR="00BF4826" w:rsidRPr="00BF4826" w:rsidRDefault="00BF4826" w:rsidP="00BF4826">
      <w:pPr>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14:ligatures w14:val="none"/>
        </w:rPr>
        <w:t>University of Waikato</w:t>
      </w:r>
    </w:p>
    <w:p w14:paraId="4C011918" w14:textId="77777777" w:rsidR="00BF4826" w:rsidRPr="00BF4826" w:rsidRDefault="00BF4826" w:rsidP="00BF4826">
      <w:pPr>
        <w:jc w:val="center"/>
        <w:rPr>
          <w:rFonts w:ascii="Times New Roman" w:eastAsia="Times New Roman" w:hAnsi="Times New Roman" w:cs="Times New Roman"/>
          <w:bCs/>
          <w:i/>
          <w:kern w:val="0"/>
          <w14:ligatures w14:val="none"/>
        </w:rPr>
      </w:pPr>
    </w:p>
    <w:p w14:paraId="612C786C" w14:textId="77777777" w:rsidR="00BF4826" w:rsidRPr="00BF4826" w:rsidRDefault="00BF4826" w:rsidP="00BF4826">
      <w:pPr>
        <w:jc w:val="center"/>
        <w:rPr>
          <w:rFonts w:ascii="Times New Roman" w:eastAsia="Times New Roman" w:hAnsi="Times New Roman" w:cs="Times New Roman"/>
          <w:b/>
          <w:bCs/>
          <w:i/>
          <w:kern w:val="0"/>
          <w14:ligatures w14:val="none"/>
        </w:rPr>
      </w:pPr>
      <w:r w:rsidRPr="00BF4826">
        <w:rPr>
          <w:rFonts w:ascii="Times New Roman" w:eastAsia="Times New Roman" w:hAnsi="Times New Roman" w:cs="Times New Roman"/>
          <w:b/>
          <w:bCs/>
          <w:i/>
          <w:kern w:val="0"/>
          <w14:ligatures w14:val="none"/>
        </w:rPr>
        <w:t>Yilong Xu</w:t>
      </w:r>
    </w:p>
    <w:p w14:paraId="0214A4C0" w14:textId="77777777" w:rsidR="00BF4826" w:rsidRPr="00BF4826" w:rsidRDefault="00BF4826" w:rsidP="00BF4826">
      <w:pPr>
        <w:jc w:val="center"/>
        <w:rPr>
          <w:rFonts w:ascii="Times New Roman" w:eastAsia="Times New Roman" w:hAnsi="Times New Roman" w:cs="Times New Roman"/>
          <w:bCs/>
          <w:i/>
          <w:kern w:val="0"/>
          <w:lang w:val="nl-NL"/>
          <w14:ligatures w14:val="none"/>
        </w:rPr>
      </w:pPr>
      <w:r w:rsidRPr="00BF4826">
        <w:rPr>
          <w:rFonts w:ascii="Times New Roman" w:eastAsia="Times New Roman" w:hAnsi="Times New Roman" w:cs="Times New Roman"/>
          <w:bCs/>
          <w:i/>
          <w:kern w:val="0"/>
          <w:lang w:val="nl-NL"/>
          <w14:ligatures w14:val="none"/>
        </w:rPr>
        <w:t>Utrecht School of Economics</w:t>
      </w:r>
    </w:p>
    <w:p w14:paraId="6D01013C" w14:textId="77777777" w:rsidR="00BF4826" w:rsidRPr="00BF4826" w:rsidRDefault="00BF4826" w:rsidP="00BF4826">
      <w:pPr>
        <w:jc w:val="center"/>
        <w:rPr>
          <w:rFonts w:ascii="Times New Roman" w:eastAsia="Times New Roman" w:hAnsi="Times New Roman" w:cs="Times New Roman"/>
          <w:bCs/>
          <w:i/>
          <w:kern w:val="0"/>
          <w14:ligatures w14:val="none"/>
        </w:rPr>
      </w:pPr>
      <w:r w:rsidRPr="00BF4826">
        <w:rPr>
          <w:rFonts w:ascii="Times New Roman" w:eastAsia="Times New Roman" w:hAnsi="Times New Roman" w:cs="Times New Roman"/>
          <w:bCs/>
          <w:i/>
          <w:kern w:val="0"/>
          <w:lang w:val="nl-NL"/>
          <w14:ligatures w14:val="none"/>
        </w:rPr>
        <w:t>Utrecht University</w:t>
      </w:r>
    </w:p>
    <w:p w14:paraId="43FD6320" w14:textId="77777777" w:rsidR="00855ABB" w:rsidRPr="00992AC9" w:rsidRDefault="00855ABB" w:rsidP="00C457BC">
      <w:pPr>
        <w:spacing w:before="240" w:line="360" w:lineRule="auto"/>
        <w:jc w:val="center"/>
        <w:rPr>
          <w:rFonts w:ascii="Times New Roman" w:hAnsi="Times New Roman" w:cs="Times New Roman"/>
          <w:b/>
        </w:rPr>
      </w:pPr>
      <w:r w:rsidRPr="00992AC9">
        <w:rPr>
          <w:rFonts w:ascii="Times New Roman" w:hAnsi="Times New Roman" w:cs="Times New Roman"/>
          <w:b/>
        </w:rPr>
        <w:lastRenderedPageBreak/>
        <w:t>Abstract</w:t>
      </w:r>
    </w:p>
    <w:p w14:paraId="6CEB4E90" w14:textId="047DD4D2" w:rsidR="00406D32" w:rsidRDefault="001B200E" w:rsidP="006847D6">
      <w:pPr>
        <w:spacing w:line="360" w:lineRule="auto"/>
        <w:jc w:val="both"/>
        <w:rPr>
          <w:rFonts w:ascii="Times New Roman" w:hAnsi="Times New Roman" w:cs="Times New Roman"/>
          <w:bCs/>
        </w:rPr>
      </w:pPr>
      <w:r w:rsidRPr="001B200E">
        <w:rPr>
          <w:rFonts w:ascii="Times New Roman" w:hAnsi="Times New Roman" w:cs="Times New Roman"/>
          <w:bCs/>
        </w:rPr>
        <w:t xml:space="preserve">This paper investigates the causal impact of artificial intelligence (AI) advice on price discovery </w:t>
      </w:r>
      <w:r>
        <w:rPr>
          <w:rFonts w:ascii="Times New Roman" w:hAnsi="Times New Roman" w:cs="Times New Roman"/>
          <w:bCs/>
        </w:rPr>
        <w:t>in a</w:t>
      </w:r>
      <w:r w:rsidRPr="001B200E">
        <w:rPr>
          <w:rFonts w:ascii="Times New Roman" w:hAnsi="Times New Roman" w:cs="Times New Roman"/>
          <w:bCs/>
        </w:rPr>
        <w:t xml:space="preserve"> controlled asset-market experiment. Using a call market setting </w:t>
      </w:r>
      <w:r>
        <w:rPr>
          <w:rFonts w:ascii="Times New Roman" w:hAnsi="Times New Roman" w:cs="Times New Roman"/>
          <w:bCs/>
        </w:rPr>
        <w:t>in which the asset's value</w:t>
      </w:r>
      <w:r w:rsidRPr="001B200E">
        <w:rPr>
          <w:rFonts w:ascii="Times New Roman" w:hAnsi="Times New Roman" w:cs="Times New Roman"/>
          <w:bCs/>
        </w:rPr>
        <w:t xml:space="preserve"> follows a stochastic geometric random walk, we compare a baseline "No AI" condition against two treatments: "Good AI" (advice aligned with long-term fundamentals) and "Bad AI" (myopic advice anchored to current buyout prices). Our results show that access to AI advice significantly reduces mispricing relative to the baseline.</w:t>
      </w:r>
      <w:r w:rsidR="00406D32">
        <w:rPr>
          <w:rFonts w:ascii="Times New Roman" w:hAnsi="Times New Roman" w:cs="Times New Roman"/>
          <w:bCs/>
        </w:rPr>
        <w:t xml:space="preserve"> </w:t>
      </w:r>
      <w:proofErr w:type="gramStart"/>
      <w:r w:rsidR="00406D32">
        <w:rPr>
          <w:rFonts w:ascii="Times New Roman" w:hAnsi="Times New Roman" w:cs="Times New Roman"/>
          <w:bCs/>
        </w:rPr>
        <w:t>In particular, Good</w:t>
      </w:r>
      <w:proofErr w:type="gramEnd"/>
      <w:r w:rsidR="00406D32">
        <w:rPr>
          <w:rFonts w:ascii="Times New Roman" w:hAnsi="Times New Roman" w:cs="Times New Roman"/>
          <w:bCs/>
        </w:rPr>
        <w:t xml:space="preserve"> AI market prices started low, then converged and closely followed the fundamentals in the second half of the market.</w:t>
      </w:r>
      <w:r w:rsidRPr="001B200E">
        <w:rPr>
          <w:rFonts w:ascii="Times New Roman" w:hAnsi="Times New Roman" w:cs="Times New Roman"/>
          <w:bCs/>
        </w:rPr>
        <w:t xml:space="preserve"> </w:t>
      </w:r>
      <w:r>
        <w:rPr>
          <w:rFonts w:ascii="Times New Roman" w:hAnsi="Times New Roman" w:cs="Times New Roman"/>
          <w:bCs/>
        </w:rPr>
        <w:t>Interestingly</w:t>
      </w:r>
      <w:r w:rsidRPr="001B200E">
        <w:rPr>
          <w:rFonts w:ascii="Times New Roman" w:hAnsi="Times New Roman" w:cs="Times New Roman"/>
          <w:bCs/>
        </w:rPr>
        <w:t xml:space="preserve">, we find no </w:t>
      </w:r>
      <w:r w:rsidR="00406D32">
        <w:rPr>
          <w:rFonts w:ascii="Times New Roman" w:hAnsi="Times New Roman" w:cs="Times New Roman"/>
          <w:bCs/>
        </w:rPr>
        <w:t>meaningful</w:t>
      </w:r>
      <w:r w:rsidRPr="001B200E">
        <w:rPr>
          <w:rFonts w:ascii="Times New Roman" w:hAnsi="Times New Roman" w:cs="Times New Roman"/>
          <w:bCs/>
        </w:rPr>
        <w:t xml:space="preserve"> difference in aggregate mispricing between the Good and Bad AI treatments. Analysis of trader behavior reveals that while over half of the participants follow AI recommendations, a significant portion actively filters out erroneous advice, particularly in the Bad AI treatment. This selective adherence explains why market prices remain resilient to poor advice. </w:t>
      </w:r>
    </w:p>
    <w:p w14:paraId="157DE2DF" w14:textId="77777777" w:rsidR="00BF4826" w:rsidRDefault="00BF4826" w:rsidP="006847D6">
      <w:pPr>
        <w:spacing w:line="360" w:lineRule="auto"/>
        <w:jc w:val="both"/>
        <w:rPr>
          <w:rFonts w:ascii="Times New Roman" w:hAnsi="Times New Roman" w:cs="Times New Roman"/>
          <w:bCs/>
        </w:rPr>
      </w:pPr>
    </w:p>
    <w:p w14:paraId="4263954E" w14:textId="43F042D9" w:rsidR="00BF4826" w:rsidRPr="00BF4826" w:rsidRDefault="00BF4826" w:rsidP="00BF4826">
      <w:pPr>
        <w:jc w:val="center"/>
        <w:rPr>
          <w:rFonts w:ascii="Times New Roman" w:hAnsi="Times New Roman" w:cs="Times New Roman"/>
          <w:b/>
          <w:bCs/>
        </w:rPr>
      </w:pPr>
      <w:r w:rsidRPr="00BF4826">
        <w:rPr>
          <w:rFonts w:ascii="Times New Roman" w:hAnsi="Times New Roman" w:cs="Times New Roman"/>
          <w:b/>
          <w:bCs/>
        </w:rPr>
        <w:t>Keywords</w:t>
      </w:r>
    </w:p>
    <w:p w14:paraId="5464C7BA" w14:textId="3964DCF5" w:rsidR="00AA21D7" w:rsidRPr="00AA21D7" w:rsidRDefault="00AC03C7" w:rsidP="00AA21D7">
      <w:pPr>
        <w:spacing w:line="259" w:lineRule="auto"/>
        <w:jc w:val="center"/>
        <w:rPr>
          <w:rFonts w:asciiTheme="majorBidi" w:hAnsiTheme="majorBidi" w:cstheme="majorBidi"/>
          <w:color w:val="000000"/>
          <w:shd w:val="clear" w:color="auto" w:fill="FFFFFF"/>
          <w:lang w:val="en-NZ" w:eastAsia="zh-CN"/>
        </w:rPr>
      </w:pPr>
      <w:r w:rsidRPr="00AA21D7">
        <w:rPr>
          <w:rFonts w:asciiTheme="majorBidi" w:hAnsiTheme="majorBidi" w:cstheme="majorBidi"/>
          <w:color w:val="000000"/>
          <w:shd w:val="clear" w:color="auto" w:fill="FFFFFF"/>
          <w:lang w:val="en-NZ" w:eastAsia="zh-CN"/>
        </w:rPr>
        <w:t>Artificial Intelligence</w:t>
      </w:r>
    </w:p>
    <w:p w14:paraId="28043AD6" w14:textId="030B720F" w:rsidR="00AA21D7" w:rsidRPr="00AA21D7" w:rsidRDefault="00AC03C7" w:rsidP="00AA21D7">
      <w:pPr>
        <w:spacing w:line="259" w:lineRule="auto"/>
        <w:jc w:val="center"/>
        <w:rPr>
          <w:rFonts w:asciiTheme="majorBidi" w:hAnsiTheme="majorBidi" w:cstheme="majorBidi"/>
          <w:color w:val="000000"/>
          <w:shd w:val="clear" w:color="auto" w:fill="FFFFFF"/>
          <w:lang w:val="en-NZ" w:eastAsia="zh-CN"/>
        </w:rPr>
      </w:pPr>
      <w:r w:rsidRPr="00AA21D7">
        <w:rPr>
          <w:rFonts w:asciiTheme="majorBidi" w:hAnsiTheme="majorBidi" w:cstheme="majorBidi"/>
          <w:color w:val="000000"/>
          <w:shd w:val="clear" w:color="auto" w:fill="FFFFFF"/>
          <w:lang w:val="en-NZ" w:eastAsia="zh-CN"/>
        </w:rPr>
        <w:t xml:space="preserve">Financial </w:t>
      </w:r>
      <w:r w:rsidR="00CF2438" w:rsidRPr="00AA21D7">
        <w:rPr>
          <w:rFonts w:asciiTheme="majorBidi" w:hAnsiTheme="majorBidi" w:cstheme="majorBidi"/>
          <w:color w:val="000000"/>
          <w:shd w:val="clear" w:color="auto" w:fill="FFFFFF"/>
          <w:lang w:val="en-NZ" w:eastAsia="zh-CN"/>
        </w:rPr>
        <w:t>Advice</w:t>
      </w:r>
    </w:p>
    <w:p w14:paraId="70CE4499" w14:textId="0A71DBA4" w:rsidR="00AA21D7" w:rsidRPr="00AA21D7" w:rsidRDefault="00CF2438" w:rsidP="00AA21D7">
      <w:pPr>
        <w:spacing w:line="259" w:lineRule="auto"/>
        <w:jc w:val="center"/>
        <w:rPr>
          <w:rFonts w:asciiTheme="majorBidi" w:hAnsiTheme="majorBidi" w:cstheme="majorBidi"/>
          <w:color w:val="000000"/>
          <w:shd w:val="clear" w:color="auto" w:fill="FFFFFF"/>
          <w:lang w:val="en-NZ" w:eastAsia="zh-CN"/>
        </w:rPr>
      </w:pPr>
      <w:r w:rsidRPr="00AA21D7">
        <w:rPr>
          <w:rFonts w:asciiTheme="majorBidi" w:hAnsiTheme="majorBidi" w:cstheme="majorBidi"/>
          <w:color w:val="000000"/>
          <w:shd w:val="clear" w:color="auto" w:fill="FFFFFF"/>
          <w:lang w:val="en-NZ" w:eastAsia="zh-CN"/>
        </w:rPr>
        <w:t>Asset Market Experiment</w:t>
      </w:r>
    </w:p>
    <w:p w14:paraId="60B0433C" w14:textId="27A203F9" w:rsidR="00AA21D7" w:rsidRPr="00AA21D7" w:rsidRDefault="001142A8" w:rsidP="00AA21D7">
      <w:pPr>
        <w:spacing w:line="259" w:lineRule="auto"/>
        <w:jc w:val="center"/>
        <w:rPr>
          <w:rFonts w:asciiTheme="majorBidi" w:hAnsiTheme="majorBidi" w:cstheme="majorBidi"/>
          <w:color w:val="000000"/>
          <w:shd w:val="clear" w:color="auto" w:fill="FFFFFF"/>
          <w:lang w:val="en-NZ" w:eastAsia="zh-CN"/>
        </w:rPr>
      </w:pPr>
      <w:r w:rsidRPr="00AA21D7">
        <w:rPr>
          <w:rFonts w:asciiTheme="majorBidi" w:hAnsiTheme="majorBidi" w:cstheme="majorBidi"/>
          <w:color w:val="000000"/>
          <w:shd w:val="clear" w:color="auto" w:fill="FFFFFF"/>
          <w:lang w:val="en-NZ" w:eastAsia="zh-CN"/>
        </w:rPr>
        <w:t>Mispricing</w:t>
      </w:r>
    </w:p>
    <w:p w14:paraId="708B36BA" w14:textId="0D7F41D3" w:rsidR="00E50527" w:rsidRDefault="001142A8" w:rsidP="00AA21D7">
      <w:pPr>
        <w:spacing w:line="259" w:lineRule="auto"/>
        <w:jc w:val="center"/>
        <w:rPr>
          <w:rFonts w:ascii="Times New Roman" w:hAnsi="Times New Roman" w:cs="Times New Roman"/>
        </w:rPr>
      </w:pPr>
      <w:r w:rsidRPr="00AA21D7">
        <w:rPr>
          <w:rFonts w:asciiTheme="majorBidi" w:hAnsiTheme="majorBidi" w:cstheme="majorBidi"/>
          <w:color w:val="000000"/>
          <w:shd w:val="clear" w:color="auto" w:fill="FFFFFF"/>
          <w:lang w:val="en-NZ" w:eastAsia="zh-CN"/>
        </w:rPr>
        <w:t>Human</w:t>
      </w:r>
      <w:r w:rsidR="00AC03C7" w:rsidRPr="00AA21D7">
        <w:rPr>
          <w:rFonts w:asciiTheme="majorBidi" w:hAnsiTheme="majorBidi" w:cstheme="majorBidi"/>
          <w:color w:val="000000"/>
          <w:shd w:val="clear" w:color="auto" w:fill="FFFFFF"/>
          <w:lang w:val="en-NZ" w:eastAsia="zh-CN"/>
        </w:rPr>
        <w:t>-</w:t>
      </w:r>
      <w:r w:rsidR="006704C8" w:rsidRPr="00AA21D7">
        <w:rPr>
          <w:rFonts w:asciiTheme="majorBidi" w:hAnsiTheme="majorBidi" w:cstheme="majorBidi"/>
          <w:color w:val="000000"/>
          <w:shd w:val="clear" w:color="auto" w:fill="FFFFFF"/>
          <w:lang w:val="en-NZ" w:eastAsia="zh-CN"/>
        </w:rPr>
        <w:t>AI Interaction</w:t>
      </w:r>
    </w:p>
    <w:p w14:paraId="1994D2C8" w14:textId="77777777" w:rsidR="00AA21D7" w:rsidRPr="00BF4826" w:rsidRDefault="00AA21D7" w:rsidP="00AA21D7">
      <w:pPr>
        <w:spacing w:line="259" w:lineRule="auto"/>
        <w:jc w:val="center"/>
        <w:rPr>
          <w:rFonts w:ascii="Times New Roman" w:hAnsi="Times New Roman" w:cs="Times New Roman"/>
        </w:rPr>
      </w:pPr>
    </w:p>
    <w:p w14:paraId="568DCA0C" w14:textId="77777777" w:rsidR="00BF4826" w:rsidRPr="00BF4826" w:rsidRDefault="00BF4826" w:rsidP="00BF4826">
      <w:pPr>
        <w:jc w:val="center"/>
        <w:rPr>
          <w:rFonts w:ascii="Times New Roman" w:hAnsi="Times New Roman" w:cs="Times New Roman"/>
          <w:b/>
          <w:bCs/>
          <w:color w:val="000000"/>
          <w:shd w:val="clear" w:color="auto" w:fill="FFFFFF"/>
          <w:lang w:val="fr-FR"/>
        </w:rPr>
      </w:pPr>
      <w:r w:rsidRPr="00BF4826">
        <w:rPr>
          <w:rFonts w:ascii="Times New Roman" w:hAnsi="Times New Roman" w:cs="Times New Roman"/>
          <w:b/>
          <w:bCs/>
          <w:color w:val="000000"/>
          <w:shd w:val="clear" w:color="auto" w:fill="FFFFFF"/>
          <w:lang w:val="fr-FR"/>
        </w:rPr>
        <w:t>JEL codes</w:t>
      </w:r>
    </w:p>
    <w:p w14:paraId="188D18AF" w14:textId="77777777" w:rsidR="00BF4826" w:rsidRPr="00BF4826" w:rsidRDefault="00BF4826" w:rsidP="00BF4826">
      <w:pPr>
        <w:jc w:val="center"/>
        <w:rPr>
          <w:rFonts w:ascii="Times New Roman" w:hAnsi="Times New Roman" w:cs="Times New Roman"/>
        </w:rPr>
      </w:pPr>
      <w:r w:rsidRPr="00BF4826">
        <w:rPr>
          <w:rFonts w:ascii="Times New Roman" w:hAnsi="Times New Roman" w:cs="Times New Roman"/>
        </w:rPr>
        <w:t>C90</w:t>
      </w:r>
    </w:p>
    <w:p w14:paraId="77F8C1BF" w14:textId="77777777" w:rsidR="00BF4826" w:rsidRPr="00BF4826" w:rsidRDefault="00BF4826" w:rsidP="00BF4826">
      <w:pPr>
        <w:jc w:val="center"/>
        <w:rPr>
          <w:rFonts w:ascii="Times New Roman" w:hAnsi="Times New Roman" w:cs="Times New Roman"/>
        </w:rPr>
      </w:pPr>
      <w:r w:rsidRPr="00BF4826">
        <w:rPr>
          <w:rFonts w:ascii="Times New Roman" w:hAnsi="Times New Roman" w:cs="Times New Roman"/>
        </w:rPr>
        <w:t>C91</w:t>
      </w:r>
    </w:p>
    <w:p w14:paraId="1D2DA3DD" w14:textId="77777777" w:rsidR="00BF4826" w:rsidRPr="00BF4826" w:rsidRDefault="00BF4826" w:rsidP="00BF4826">
      <w:pPr>
        <w:jc w:val="center"/>
        <w:rPr>
          <w:rFonts w:ascii="Times New Roman" w:hAnsi="Times New Roman" w:cs="Times New Roman"/>
        </w:rPr>
      </w:pPr>
      <w:r w:rsidRPr="00BF4826">
        <w:rPr>
          <w:rFonts w:ascii="Times New Roman" w:hAnsi="Times New Roman" w:cs="Times New Roman"/>
        </w:rPr>
        <w:t>G12</w:t>
      </w:r>
    </w:p>
    <w:p w14:paraId="79EB64FA" w14:textId="77777777" w:rsidR="00BF4826" w:rsidRPr="00BF4826" w:rsidRDefault="00BF4826" w:rsidP="006847D6">
      <w:pPr>
        <w:spacing w:line="360" w:lineRule="auto"/>
        <w:jc w:val="both"/>
        <w:rPr>
          <w:rFonts w:ascii="Times New Roman" w:hAnsi="Times New Roman" w:cs="Times New Roman"/>
        </w:rPr>
      </w:pPr>
    </w:p>
    <w:p w14:paraId="0896A700" w14:textId="77777777" w:rsidR="00BF4826" w:rsidRPr="00BF4826" w:rsidRDefault="00BF4826" w:rsidP="00BF4826">
      <w:pPr>
        <w:jc w:val="center"/>
        <w:rPr>
          <w:rFonts w:ascii="Times New Roman" w:hAnsi="Times New Roman" w:cs="Times New Roman"/>
          <w:b/>
          <w:bCs/>
          <w:color w:val="000000"/>
          <w:shd w:val="clear" w:color="auto" w:fill="FFFFFF"/>
        </w:rPr>
      </w:pPr>
      <w:r w:rsidRPr="00BF4826">
        <w:rPr>
          <w:rFonts w:ascii="Times New Roman" w:hAnsi="Times New Roman" w:cs="Times New Roman"/>
          <w:b/>
          <w:bCs/>
          <w:color w:val="000000"/>
          <w:shd w:val="clear" w:color="auto" w:fill="FFFFFF"/>
        </w:rPr>
        <w:t>Acknowledgement</w:t>
      </w:r>
    </w:p>
    <w:p w14:paraId="60609A42" w14:textId="77777777" w:rsidR="00BF4826" w:rsidRPr="00BF4826" w:rsidRDefault="00BF4826" w:rsidP="00BF4826">
      <w:pPr>
        <w:spacing w:after="0" w:line="240" w:lineRule="auto"/>
        <w:jc w:val="center"/>
        <w:rPr>
          <w:rFonts w:ascii="Times New Roman" w:hAnsi="Times New Roman" w:cs="Times New Roman"/>
        </w:rPr>
      </w:pPr>
      <w:r w:rsidRPr="00BF4826">
        <w:rPr>
          <w:rFonts w:ascii="Times New Roman" w:hAnsi="Times New Roman" w:cs="Times New Roman"/>
        </w:rPr>
        <w:t xml:space="preserve">We gratefully acknowledge the financial support of the University of Waikato. Carol Luengo acknowledges the support from the scholarship funded by the </w:t>
      </w:r>
      <w:r w:rsidRPr="00BF4826">
        <w:rPr>
          <w:rFonts w:ascii="Times New Roman" w:hAnsi="Times New Roman" w:cs="Times New Roman"/>
          <w:lang w:val="es-CL"/>
        </w:rPr>
        <w:t>Agencia Nacional de Investigación y Desarrollo (ANID) / Beca de Doctorado en el Extranjero Becas</w:t>
      </w:r>
      <w:r w:rsidRPr="00BF4826">
        <w:rPr>
          <w:rFonts w:ascii="Times New Roman" w:hAnsi="Times New Roman" w:cs="Times New Roman"/>
        </w:rPr>
        <w:t xml:space="preserve"> Chile / 2022 - 72220236.</w:t>
      </w:r>
    </w:p>
    <w:p w14:paraId="67D35DBA" w14:textId="77777777" w:rsidR="00BF4826" w:rsidRPr="00BF4826" w:rsidRDefault="00BF4826">
      <w:pPr>
        <w:rPr>
          <w:rFonts w:ascii="Times New Roman" w:hAnsi="Times New Roman" w:cs="Times New Roman"/>
          <w:b/>
        </w:rPr>
      </w:pPr>
      <w:r w:rsidRPr="00BF4826">
        <w:rPr>
          <w:rFonts w:ascii="Times New Roman" w:hAnsi="Times New Roman" w:cs="Times New Roman"/>
          <w:b/>
        </w:rPr>
        <w:br w:type="page"/>
      </w:r>
    </w:p>
    <w:p w14:paraId="6672885D" w14:textId="24DA5A9F" w:rsidR="00855ABB" w:rsidRPr="00992AC9" w:rsidRDefault="00855ABB" w:rsidP="00C457BC">
      <w:pPr>
        <w:pStyle w:val="ListParagraph"/>
        <w:numPr>
          <w:ilvl w:val="0"/>
          <w:numId w:val="1"/>
        </w:numPr>
        <w:spacing w:before="240" w:line="360" w:lineRule="auto"/>
        <w:jc w:val="both"/>
        <w:rPr>
          <w:rFonts w:ascii="Times New Roman" w:hAnsi="Times New Roman" w:cs="Times New Roman"/>
          <w:b/>
        </w:rPr>
      </w:pPr>
      <w:r w:rsidRPr="00992AC9">
        <w:rPr>
          <w:rFonts w:ascii="Times New Roman" w:hAnsi="Times New Roman" w:cs="Times New Roman"/>
          <w:b/>
        </w:rPr>
        <w:lastRenderedPageBreak/>
        <w:t>Introduction</w:t>
      </w:r>
    </w:p>
    <w:p w14:paraId="52E64FF8" w14:textId="6B937765" w:rsidR="00855ABB" w:rsidRPr="00D53CB0" w:rsidRDefault="00855ABB" w:rsidP="00A41BFE">
      <w:pPr>
        <w:spacing w:line="360" w:lineRule="auto"/>
        <w:jc w:val="both"/>
        <w:rPr>
          <w:rFonts w:asciiTheme="majorBidi" w:hAnsiTheme="majorBidi" w:cstheme="majorBidi"/>
          <w:lang w:val="en-NZ" w:eastAsia="zh-CN"/>
        </w:rPr>
      </w:pPr>
      <w:r w:rsidRPr="00D53CB0">
        <w:rPr>
          <w:rFonts w:asciiTheme="majorBidi" w:hAnsiTheme="majorBidi" w:cstheme="majorBidi"/>
          <w:lang w:val="en-NZ" w:eastAsia="zh-CN"/>
        </w:rPr>
        <w:t>Artificial intelligence is rapidly becoming a practical assistant in trading decisions. Retail investors often consult large language models (LLMs) for investment advice</w:t>
      </w:r>
      <w:r w:rsidR="001E5147">
        <w:rPr>
          <w:rFonts w:asciiTheme="majorBidi" w:hAnsiTheme="majorBidi" w:cstheme="majorBidi"/>
          <w:lang w:val="en-NZ" w:eastAsia="zh-CN"/>
        </w:rPr>
        <w:t xml:space="preserve"> </w:t>
      </w:r>
      <w:r w:rsidR="001E5147" w:rsidRPr="001E5147">
        <w:rPr>
          <w:rFonts w:asciiTheme="majorBidi" w:hAnsiTheme="majorBidi" w:cstheme="majorBidi"/>
          <w:lang w:val="en-NZ" w:eastAsia="zh-CN"/>
        </w:rPr>
        <w:t xml:space="preserve">(Cheng et al., 2025; </w:t>
      </w:r>
      <w:proofErr w:type="spellStart"/>
      <w:r w:rsidR="001E5147" w:rsidRPr="001E5147">
        <w:rPr>
          <w:rFonts w:asciiTheme="majorBidi" w:hAnsiTheme="majorBidi" w:cstheme="majorBidi"/>
          <w:lang w:val="en-NZ" w:eastAsia="zh-CN"/>
        </w:rPr>
        <w:t>eToro</w:t>
      </w:r>
      <w:proofErr w:type="spellEnd"/>
      <w:r w:rsidR="001E5147" w:rsidRPr="001E5147">
        <w:rPr>
          <w:rFonts w:asciiTheme="majorBidi" w:hAnsiTheme="majorBidi" w:cstheme="majorBidi"/>
          <w:lang w:val="en-NZ" w:eastAsia="zh-CN"/>
        </w:rPr>
        <w:t xml:space="preserve">, 2025; Lopez-Lira </w:t>
      </w:r>
      <w:r w:rsidR="006E3194">
        <w:rPr>
          <w:rFonts w:asciiTheme="majorBidi" w:hAnsiTheme="majorBidi" w:cstheme="majorBidi"/>
          <w:lang w:val="en-NZ" w:eastAsia="zh-CN"/>
        </w:rPr>
        <w:t>and</w:t>
      </w:r>
      <w:r w:rsidR="001E5147" w:rsidRPr="001E5147">
        <w:rPr>
          <w:rFonts w:asciiTheme="majorBidi" w:hAnsiTheme="majorBidi" w:cstheme="majorBidi"/>
          <w:lang w:val="en-NZ" w:eastAsia="zh-CN"/>
        </w:rPr>
        <w:t xml:space="preserve"> Tang, 2023; Nicholson-Messmer, 2025)</w:t>
      </w:r>
      <w:r w:rsidRPr="00D53CB0">
        <w:rPr>
          <w:rFonts w:asciiTheme="majorBidi" w:hAnsiTheme="majorBidi" w:cstheme="majorBidi"/>
          <w:lang w:val="en-NZ" w:eastAsia="zh-CN"/>
        </w:rPr>
        <w:t>, such as price prediction, portfolio views, and interpretations of financial news. When traders can easily obtain AI-generated recommendations that appear to be confident and professional, how does that affect price discovery in markets? Do traders follow the advice of AI? Or do AIs inspire more diverse opinions about asset pricing? Are traders able to distinguish good and bad advice generated by AIs?</w:t>
      </w:r>
    </w:p>
    <w:p w14:paraId="6896C46B" w14:textId="09E0A13F" w:rsidR="00855ABB" w:rsidRPr="00EC63D3" w:rsidRDefault="00855ABB" w:rsidP="00EC63D3">
      <w:pPr>
        <w:spacing w:line="360" w:lineRule="auto"/>
        <w:ind w:firstLine="720"/>
        <w:jc w:val="both"/>
        <w:rPr>
          <w:rFonts w:ascii="Times New Roman" w:hAnsi="Times New Roman" w:cs="Times New Roman"/>
        </w:rPr>
      </w:pPr>
      <w:r w:rsidRPr="00992AC9">
        <w:rPr>
          <w:rFonts w:ascii="Times New Roman" w:hAnsi="Times New Roman" w:cs="Times New Roman"/>
        </w:rPr>
        <w:t xml:space="preserve">To shed some light on </w:t>
      </w:r>
      <w:r w:rsidRPr="00EC63D3">
        <w:rPr>
          <w:rFonts w:ascii="Times New Roman" w:hAnsi="Times New Roman" w:cs="Times New Roman"/>
        </w:rPr>
        <w:t xml:space="preserve">these questions, this paper examines the causal impact of AI advice on price discovery and liquidity in controlled asset-market experiments. We focus on a setting where the asset’s fundamental value is well-defined but evolves stochastically over time. This environment allows us to test not only whether AI reduces mispricing on average, but also whether the content and alignment of the advice matter for market outcomes. A central behavioral concern is that LLM outputs are typically delivered with high apparent confidence </w:t>
      </w:r>
      <w:r w:rsidR="001E5147" w:rsidRPr="001E5147">
        <w:rPr>
          <w:rFonts w:ascii="Times New Roman" w:hAnsi="Times New Roman" w:cs="Times New Roman"/>
        </w:rPr>
        <w:t>(Zhou et al., 2024)</w:t>
      </w:r>
      <w:r w:rsidRPr="00EC63D3">
        <w:rPr>
          <w:rFonts w:ascii="Times New Roman" w:hAnsi="Times New Roman" w:cs="Times New Roman"/>
        </w:rPr>
        <w:t xml:space="preserve"> and are highly persuasive</w:t>
      </w:r>
      <w:r w:rsidR="001E5147">
        <w:rPr>
          <w:rFonts w:ascii="Times New Roman" w:hAnsi="Times New Roman" w:cs="Times New Roman"/>
        </w:rPr>
        <w:t xml:space="preserve"> </w:t>
      </w:r>
      <w:r w:rsidR="001E5147" w:rsidRPr="001E5147">
        <w:rPr>
          <w:rFonts w:ascii="Times New Roman" w:hAnsi="Times New Roman" w:cs="Times New Roman"/>
        </w:rPr>
        <w:t>(Bai et al., 2025)</w:t>
      </w:r>
      <w:r w:rsidRPr="00EC63D3">
        <w:rPr>
          <w:rFonts w:ascii="Times New Roman" w:hAnsi="Times New Roman" w:cs="Times New Roman"/>
        </w:rPr>
        <w:t>. As a result, participants may fail to discern the actual quality obscured by the model's confident presentation</w:t>
      </w:r>
      <w:r w:rsidR="001E5147">
        <w:rPr>
          <w:rFonts w:ascii="Times New Roman" w:hAnsi="Times New Roman" w:cs="Times New Roman"/>
        </w:rPr>
        <w:t xml:space="preserve"> </w:t>
      </w:r>
      <w:r w:rsidR="001E5147" w:rsidRPr="001E5147">
        <w:rPr>
          <w:rFonts w:ascii="Times New Roman" w:hAnsi="Times New Roman" w:cs="Times New Roman"/>
        </w:rPr>
        <w:t xml:space="preserve">(Hazra </w:t>
      </w:r>
      <w:r w:rsidR="006E3194">
        <w:rPr>
          <w:rFonts w:asciiTheme="majorBidi" w:hAnsiTheme="majorBidi" w:cstheme="majorBidi"/>
          <w:lang w:val="en-NZ" w:eastAsia="zh-CN"/>
        </w:rPr>
        <w:t>and</w:t>
      </w:r>
      <w:r w:rsidR="001E5147" w:rsidRPr="001E5147">
        <w:rPr>
          <w:rFonts w:ascii="Times New Roman" w:hAnsi="Times New Roman" w:cs="Times New Roman"/>
        </w:rPr>
        <w:t xml:space="preserve"> Serra-Garcia, 2025)</w:t>
      </w:r>
      <w:r w:rsidRPr="00EC63D3">
        <w:rPr>
          <w:rFonts w:ascii="Times New Roman" w:hAnsi="Times New Roman" w:cs="Times New Roman"/>
        </w:rPr>
        <w:t xml:space="preserve">. If so, AI could improve market performance when advice aligns with </w:t>
      </w:r>
      <w:proofErr w:type="gramStart"/>
      <w:r w:rsidRPr="00EC63D3">
        <w:rPr>
          <w:rFonts w:ascii="Times New Roman" w:hAnsi="Times New Roman" w:cs="Times New Roman"/>
        </w:rPr>
        <w:t>fundamentals, but</w:t>
      </w:r>
      <w:proofErr w:type="gramEnd"/>
      <w:r w:rsidRPr="00EC63D3">
        <w:rPr>
          <w:rFonts w:ascii="Times New Roman" w:hAnsi="Times New Roman" w:cs="Times New Roman"/>
        </w:rPr>
        <w:t xml:space="preserve"> impair</w:t>
      </w:r>
      <w:r w:rsidR="00B166E7">
        <w:rPr>
          <w:rFonts w:ascii="Times New Roman" w:hAnsi="Times New Roman" w:cs="Times New Roman"/>
        </w:rPr>
        <w:t>s</w:t>
      </w:r>
      <w:r w:rsidRPr="00EC63D3">
        <w:rPr>
          <w:rFonts w:ascii="Times New Roman" w:hAnsi="Times New Roman" w:cs="Times New Roman"/>
        </w:rPr>
        <w:t xml:space="preserve"> it when it is misaligned.</w:t>
      </w:r>
    </w:p>
    <w:p w14:paraId="7AFA2937" w14:textId="26E527FE" w:rsidR="00855ABB" w:rsidRPr="00EC63D3" w:rsidRDefault="009A1723" w:rsidP="00EC63D3">
      <w:pPr>
        <w:spacing w:line="360" w:lineRule="auto"/>
        <w:ind w:firstLine="720"/>
        <w:jc w:val="both"/>
        <w:rPr>
          <w:rFonts w:ascii="Times New Roman" w:hAnsi="Times New Roman" w:cs="Times New Roman"/>
        </w:rPr>
      </w:pPr>
      <w:r w:rsidRPr="00EC63D3">
        <w:rPr>
          <w:rFonts w:ascii="Times New Roman" w:hAnsi="Times New Roman" w:cs="Times New Roman"/>
        </w:rPr>
        <w:t>This potential for misalignment is rooted in broader concerns regarding the reliability of generative AI output</w:t>
      </w:r>
      <w:r w:rsidR="001E5147">
        <w:rPr>
          <w:rFonts w:ascii="Times New Roman" w:hAnsi="Times New Roman" w:cs="Times New Roman"/>
        </w:rPr>
        <w:t xml:space="preserve"> </w:t>
      </w:r>
      <w:r w:rsidR="001E5147" w:rsidRPr="001E5147">
        <w:rPr>
          <w:rFonts w:ascii="Times New Roman" w:hAnsi="Times New Roman" w:cs="Times New Roman"/>
        </w:rPr>
        <w:t>(Gillespie et al., 2023)</w:t>
      </w:r>
      <w:r w:rsidR="00855ABB" w:rsidRPr="00EC63D3">
        <w:rPr>
          <w:rFonts w:ascii="Times New Roman" w:hAnsi="Times New Roman" w:cs="Times New Roman"/>
        </w:rPr>
        <w:t>. First, LLMs can respond incorrectly or "hallucinate" information, expressing confidence in a way that seems correct, without having a basis in accurate facts or data</w:t>
      </w:r>
      <w:r w:rsidR="001E5147">
        <w:rPr>
          <w:rFonts w:ascii="Times New Roman" w:hAnsi="Times New Roman" w:cs="Times New Roman"/>
        </w:rPr>
        <w:t xml:space="preserve"> </w:t>
      </w:r>
      <w:r w:rsidR="001E5147" w:rsidRPr="001E5147">
        <w:rPr>
          <w:rFonts w:ascii="Times New Roman" w:hAnsi="Times New Roman" w:cs="Times New Roman"/>
        </w:rPr>
        <w:t>(Zhou et al., 2024)</w:t>
      </w:r>
      <w:r w:rsidR="00855ABB" w:rsidRPr="00EC63D3">
        <w:rPr>
          <w:rFonts w:ascii="Times New Roman" w:hAnsi="Times New Roman" w:cs="Times New Roman"/>
        </w:rPr>
        <w:t>, which limits the adoption of LLMs in knowledge-intensive areas such as finance</w:t>
      </w:r>
      <w:r w:rsidR="001E5147">
        <w:rPr>
          <w:rFonts w:ascii="Times New Roman" w:hAnsi="Times New Roman" w:cs="Times New Roman"/>
        </w:rPr>
        <w:t xml:space="preserve"> </w:t>
      </w:r>
      <w:r w:rsidR="001E5147" w:rsidRPr="001E5147">
        <w:rPr>
          <w:rFonts w:ascii="Times New Roman" w:hAnsi="Times New Roman" w:cs="Times New Roman"/>
        </w:rPr>
        <w:t>(Wu et al., 2023)</w:t>
      </w:r>
      <w:r w:rsidR="00855ABB" w:rsidRPr="00EC63D3">
        <w:rPr>
          <w:rFonts w:ascii="Times New Roman" w:hAnsi="Times New Roman" w:cs="Times New Roman"/>
        </w:rPr>
        <w:t xml:space="preserve">. Second, </w:t>
      </w:r>
      <w:r w:rsidR="00855ABB" w:rsidRPr="00EC63D3">
        <w:rPr>
          <w:rFonts w:ascii="Times New Roman" w:hAnsi="Times New Roman" w:cs="Times New Roman"/>
          <w:bCs/>
        </w:rPr>
        <w:t xml:space="preserve">effective interaction with generative AI tools depends on the instructions provided by the user, called </w:t>
      </w:r>
      <w:r w:rsidR="00855ABB" w:rsidRPr="00EC63D3">
        <w:rPr>
          <w:rFonts w:ascii="Times New Roman" w:hAnsi="Times New Roman" w:cs="Times New Roman"/>
        </w:rPr>
        <w:t>prompts</w:t>
      </w:r>
      <w:r w:rsidR="00855ABB" w:rsidRPr="00EC63D3">
        <w:rPr>
          <w:rFonts w:ascii="Times New Roman" w:hAnsi="Times New Roman" w:cs="Times New Roman"/>
          <w:b/>
          <w:bCs/>
        </w:rPr>
        <w:t>,</w:t>
      </w:r>
      <w:r w:rsidR="00855ABB" w:rsidRPr="00EC63D3">
        <w:rPr>
          <w:rFonts w:ascii="Times New Roman" w:hAnsi="Times New Roman" w:cs="Times New Roman"/>
          <w:bCs/>
        </w:rPr>
        <w:t xml:space="preserve"> which define rules, guide processes, and specify the qualities that the generated outputs should possess. Consequently, the quality of the prompts is directly related to the quality of the generated outputs</w:t>
      </w:r>
      <w:r w:rsidR="001E5147">
        <w:rPr>
          <w:rFonts w:ascii="Times New Roman" w:hAnsi="Times New Roman" w:cs="Times New Roman"/>
          <w:bCs/>
        </w:rPr>
        <w:t xml:space="preserve"> </w:t>
      </w:r>
      <w:r w:rsidR="001E5147" w:rsidRPr="001E5147">
        <w:rPr>
          <w:rFonts w:ascii="Times New Roman" w:hAnsi="Times New Roman" w:cs="Times New Roman"/>
          <w:bCs/>
        </w:rPr>
        <w:t>(White et al., 2023)</w:t>
      </w:r>
      <w:r w:rsidR="00855ABB" w:rsidRPr="00EC63D3">
        <w:rPr>
          <w:rFonts w:ascii="Times New Roman" w:hAnsi="Times New Roman" w:cs="Times New Roman"/>
          <w:bCs/>
        </w:rPr>
        <w:t>. Retail investors may not have the know-how to prompt the AI in a precise manner</w:t>
      </w:r>
      <w:bookmarkStart w:id="0" w:name="_Hlk219901048"/>
      <w:r w:rsidR="00855ABB" w:rsidRPr="00EC63D3">
        <w:rPr>
          <w:rFonts w:ascii="Times New Roman" w:hAnsi="Times New Roman" w:cs="Times New Roman"/>
        </w:rPr>
        <w:t xml:space="preserve">. This, coupled with the fact that AI can sometimes produce content that </w:t>
      </w:r>
      <w:r w:rsidRPr="00EC63D3">
        <w:rPr>
          <w:rFonts w:ascii="Times New Roman" w:hAnsi="Times New Roman" w:cs="Times New Roman"/>
        </w:rPr>
        <w:t>appears to be</w:t>
      </w:r>
      <w:r w:rsidR="00855ABB" w:rsidRPr="00EC63D3">
        <w:rPr>
          <w:rFonts w:ascii="Times New Roman" w:hAnsi="Times New Roman" w:cs="Times New Roman"/>
        </w:rPr>
        <w:t xml:space="preserve"> </w:t>
      </w:r>
      <w:r w:rsidRPr="00EC63D3">
        <w:rPr>
          <w:rFonts w:ascii="Times New Roman" w:hAnsi="Times New Roman" w:cs="Times New Roman"/>
        </w:rPr>
        <w:t>“nearly right”</w:t>
      </w:r>
      <w:r w:rsidR="00855ABB" w:rsidRPr="00EC63D3">
        <w:rPr>
          <w:rFonts w:ascii="Times New Roman" w:hAnsi="Times New Roman" w:cs="Times New Roman"/>
        </w:rPr>
        <w:t xml:space="preserve">, makes it very hard for individuals to judge whether they </w:t>
      </w:r>
      <w:proofErr w:type="gramStart"/>
      <w:r w:rsidR="00855ABB" w:rsidRPr="00EC63D3">
        <w:rPr>
          <w:rFonts w:ascii="Times New Roman" w:hAnsi="Times New Roman" w:cs="Times New Roman"/>
        </w:rPr>
        <w:t>actually fully</w:t>
      </w:r>
      <w:proofErr w:type="gramEnd"/>
      <w:r w:rsidR="00855ABB" w:rsidRPr="00EC63D3">
        <w:rPr>
          <w:rFonts w:ascii="Times New Roman" w:hAnsi="Times New Roman" w:cs="Times New Roman"/>
        </w:rPr>
        <w:t xml:space="preserve"> understand the AI output or just have a perception of understanding without a </w:t>
      </w:r>
      <w:r w:rsidR="00855ABB" w:rsidRPr="00EC63D3">
        <w:rPr>
          <w:rFonts w:ascii="Times New Roman" w:hAnsi="Times New Roman" w:cs="Times New Roman"/>
        </w:rPr>
        <w:lastRenderedPageBreak/>
        <w:t>solid basis. This potential misperception may foster overconfidence that could prove costly in financial markets.</w:t>
      </w:r>
    </w:p>
    <w:p w14:paraId="1A18886F" w14:textId="04C26950" w:rsidR="00FE7CC4" w:rsidRPr="00EC63D3" w:rsidRDefault="00855ABB" w:rsidP="00EC63D3">
      <w:pPr>
        <w:spacing w:line="360" w:lineRule="auto"/>
        <w:ind w:firstLine="720"/>
        <w:jc w:val="both"/>
        <w:rPr>
          <w:rFonts w:ascii="Times New Roman" w:hAnsi="Times New Roman" w:cs="Times New Roman"/>
        </w:rPr>
      </w:pPr>
      <w:r w:rsidRPr="00EC63D3">
        <w:rPr>
          <w:rFonts w:ascii="Times New Roman" w:hAnsi="Times New Roman" w:cs="Times New Roman"/>
        </w:rPr>
        <w:t xml:space="preserve">To our knowledge, ours is the first study </w:t>
      </w:r>
      <w:r w:rsidR="009A1723" w:rsidRPr="00EC63D3">
        <w:rPr>
          <w:rFonts w:ascii="Times New Roman" w:hAnsi="Times New Roman" w:cs="Times New Roman"/>
        </w:rPr>
        <w:t>to examine</w:t>
      </w:r>
      <w:r w:rsidRPr="00EC63D3">
        <w:rPr>
          <w:rFonts w:ascii="Times New Roman" w:hAnsi="Times New Roman" w:cs="Times New Roman"/>
        </w:rPr>
        <w:t xml:space="preserve"> whether AI advisors influence market outcomes in a controlled setting.</w:t>
      </w:r>
      <w:r w:rsidR="0009725E" w:rsidRPr="00EC63D3">
        <w:rPr>
          <w:rFonts w:ascii="Times New Roman" w:hAnsi="Times New Roman" w:cs="Times New Roman"/>
        </w:rPr>
        <w:t xml:space="preserve"> We compare a baseline "No AI" (NAI) setting against two treatment conditions: Good AI and Bad AI. While both treatments allow participants to interact freely with an LLM advisor, they differ in the quality of the underlying model.</w:t>
      </w:r>
      <w:r w:rsidR="00B24736" w:rsidRPr="00EC63D3">
        <w:rPr>
          <w:rFonts w:ascii="Times New Roman" w:hAnsi="Times New Roman" w:cs="Times New Roman"/>
        </w:rPr>
        <w:t xml:space="preserve"> The trading institution for all treatments was a call market. In the AI conditions, participants first had the option to interact with the advisor before deciding whether to place bids or asks. </w:t>
      </w:r>
      <w:r w:rsidR="0009725E" w:rsidRPr="00EC63D3">
        <w:rPr>
          <w:rFonts w:ascii="Times New Roman" w:hAnsi="Times New Roman" w:cs="Times New Roman"/>
        </w:rPr>
        <w:t xml:space="preserve">Because the asset's buyout value follows a geometric random walk, a significant challenge is to distinguish the immediate end-of-period buyout value from the asset's true fundamental value (the expected terminal payoff if held until the terminal period, </w:t>
      </w:r>
      <w:r w:rsidR="0009725E" w:rsidRPr="00EC63D3">
        <w:rPr>
          <w:rFonts w:ascii="Times New Roman" w:hAnsi="Times New Roman" w:cs="Times New Roman"/>
          <w:i/>
          <w:iCs/>
        </w:rPr>
        <w:t>T</w:t>
      </w:r>
      <w:r w:rsidR="0009725E" w:rsidRPr="00EC63D3">
        <w:rPr>
          <w:rFonts w:ascii="Times New Roman" w:hAnsi="Times New Roman" w:cs="Times New Roman"/>
        </w:rPr>
        <w:t xml:space="preserve">). This distinction provides a natural laboratory to vary advice quality: </w:t>
      </w:r>
      <w:proofErr w:type="gramStart"/>
      <w:r w:rsidR="0009725E" w:rsidRPr="00EC63D3">
        <w:rPr>
          <w:rFonts w:ascii="Times New Roman" w:hAnsi="Times New Roman" w:cs="Times New Roman"/>
        </w:rPr>
        <w:t>the "</w:t>
      </w:r>
      <w:proofErr w:type="gramEnd"/>
      <w:r w:rsidR="0009725E" w:rsidRPr="00EC63D3">
        <w:rPr>
          <w:rFonts w:ascii="Times New Roman" w:hAnsi="Times New Roman" w:cs="Times New Roman"/>
        </w:rPr>
        <w:t xml:space="preserve">Good AI" consistently generates recommendations based on long-term fundamental values, whereas the "Bad AI" tends toward myopic advice anchored to the current period's buyout price. This design allows us to isolate not only whether participants adhere to AI recommendations, but whether that adherence is </w:t>
      </w:r>
      <w:r w:rsidR="00FE7CC4" w:rsidRPr="00EC63D3">
        <w:rPr>
          <w:rFonts w:ascii="Times New Roman" w:hAnsi="Times New Roman" w:cs="Times New Roman"/>
        </w:rPr>
        <w:t xml:space="preserve">contingent </w:t>
      </w:r>
      <w:r w:rsidR="0009725E" w:rsidRPr="00EC63D3">
        <w:rPr>
          <w:rFonts w:ascii="Times New Roman" w:hAnsi="Times New Roman" w:cs="Times New Roman"/>
        </w:rPr>
        <w:t>on the advice's objective accuracy.</w:t>
      </w:r>
      <w:bookmarkEnd w:id="0"/>
    </w:p>
    <w:p w14:paraId="6A0C15D8" w14:textId="474F8973" w:rsidR="00855ABB" w:rsidRPr="00EC63D3" w:rsidRDefault="00855ABB" w:rsidP="00EC63D3">
      <w:pPr>
        <w:spacing w:line="360" w:lineRule="auto"/>
        <w:ind w:firstLine="720"/>
        <w:jc w:val="both"/>
        <w:rPr>
          <w:rFonts w:ascii="Times New Roman" w:hAnsi="Times New Roman" w:cs="Times New Roman"/>
          <w:lang w:eastAsia="zh-CN"/>
        </w:rPr>
      </w:pPr>
      <w:r w:rsidRPr="00EC63D3">
        <w:rPr>
          <w:rFonts w:ascii="Times New Roman" w:hAnsi="Times New Roman" w:cs="Times New Roman"/>
        </w:rPr>
        <w:t xml:space="preserve">Our findings show that access to AI advice significantly reduced mispricing relative to the Baseline treatment. However, </w:t>
      </w:r>
      <w:r w:rsidR="00B24736" w:rsidRPr="00EC63D3">
        <w:rPr>
          <w:rFonts w:ascii="Times New Roman" w:hAnsi="Times New Roman" w:cs="Times New Roman"/>
        </w:rPr>
        <w:t xml:space="preserve">we find </w:t>
      </w:r>
      <w:r w:rsidRPr="00EC63D3">
        <w:rPr>
          <w:rFonts w:ascii="Times New Roman" w:hAnsi="Times New Roman" w:cs="Times New Roman"/>
        </w:rPr>
        <w:t xml:space="preserve">no statistically significant differences in </w:t>
      </w:r>
      <w:r w:rsidRPr="00EC63D3">
        <w:rPr>
          <w:rFonts w:ascii="Times New Roman" w:hAnsi="Times New Roman" w:cs="Times New Roman"/>
          <w:lang w:eastAsia="zh-CN"/>
        </w:rPr>
        <w:t>mispricing</w:t>
      </w:r>
      <w:r w:rsidRPr="00EC63D3">
        <w:rPr>
          <w:rFonts w:ascii="Times New Roman" w:hAnsi="Times New Roman" w:cs="Times New Roman"/>
        </w:rPr>
        <w:t xml:space="preserve"> between the two AI treatments. Additionally, </w:t>
      </w:r>
      <w:r w:rsidRPr="00EC63D3">
        <w:rPr>
          <w:rFonts w:ascii="Times New Roman" w:hAnsi="Times New Roman" w:cs="Times New Roman"/>
          <w:lang w:eastAsia="zh-CN"/>
        </w:rPr>
        <w:t xml:space="preserve">regarding the direction of mispricing, </w:t>
      </w:r>
      <w:r w:rsidRPr="00EC63D3">
        <w:rPr>
          <w:rFonts w:ascii="Times New Roman" w:hAnsi="Times New Roman" w:cs="Times New Roman"/>
        </w:rPr>
        <w:t xml:space="preserve">we observed a tendency toward overpricing in the absence of AI and slightly underpricing when AI was present. </w:t>
      </w:r>
      <w:r w:rsidR="00856925" w:rsidRPr="00EC63D3">
        <w:rPr>
          <w:rFonts w:ascii="Times New Roman" w:hAnsi="Times New Roman" w:cs="Times New Roman"/>
        </w:rPr>
        <w:t xml:space="preserve">It is worth </w:t>
      </w:r>
      <w:r w:rsidR="002F0480" w:rsidRPr="00EC63D3">
        <w:rPr>
          <w:rFonts w:ascii="Times New Roman" w:hAnsi="Times New Roman" w:cs="Times New Roman"/>
        </w:rPr>
        <w:t>noting</w:t>
      </w:r>
      <w:r w:rsidR="00856925" w:rsidRPr="00EC63D3">
        <w:rPr>
          <w:rFonts w:ascii="Times New Roman" w:hAnsi="Times New Roman" w:cs="Times New Roman"/>
        </w:rPr>
        <w:t xml:space="preserve"> that the prices track the fundamentals very well after the 7</w:t>
      </w:r>
      <w:r w:rsidR="00856925" w:rsidRPr="00EC63D3">
        <w:rPr>
          <w:rFonts w:ascii="Times New Roman" w:hAnsi="Times New Roman" w:cs="Times New Roman"/>
          <w:vertAlign w:val="superscript"/>
        </w:rPr>
        <w:t>th</w:t>
      </w:r>
      <w:r w:rsidR="00856925" w:rsidRPr="00EC63D3">
        <w:rPr>
          <w:rFonts w:ascii="Times New Roman" w:hAnsi="Times New Roman" w:cs="Times New Roman"/>
        </w:rPr>
        <w:t xml:space="preserve"> period (15 trading periods in total) in Good AI. </w:t>
      </w:r>
      <w:r w:rsidR="002F0480" w:rsidRPr="00EC63D3">
        <w:rPr>
          <w:rFonts w:ascii="Times New Roman" w:hAnsi="Times New Roman" w:cs="Times New Roman"/>
        </w:rPr>
        <w:t>Finally, the analysis of traders’ conversations with AI reveals that although a bit over half of the traders exhibited a general tendency to follow AI recommendations, a significant portion of traders also actively filtered out substantial amounts of incorrect advice and chose not to comply. As a result, t</w:t>
      </w:r>
      <w:r w:rsidRPr="00EC63D3">
        <w:rPr>
          <w:rFonts w:ascii="Times New Roman" w:hAnsi="Times New Roman" w:cs="Times New Roman"/>
        </w:rPr>
        <w:t>hose who d</w:t>
      </w:r>
      <w:r w:rsidR="002F0480" w:rsidRPr="00EC63D3">
        <w:rPr>
          <w:rFonts w:ascii="Times New Roman" w:hAnsi="Times New Roman" w:cs="Times New Roman"/>
        </w:rPr>
        <w:t>id</w:t>
      </w:r>
      <w:r w:rsidRPr="00EC63D3">
        <w:rPr>
          <w:rFonts w:ascii="Times New Roman" w:hAnsi="Times New Roman" w:cs="Times New Roman"/>
        </w:rPr>
        <w:t xml:space="preserve"> not follow the advice in Bad (Good) AI treatment tend</w:t>
      </w:r>
      <w:r w:rsidR="002F0480" w:rsidRPr="00EC63D3">
        <w:rPr>
          <w:rFonts w:ascii="Times New Roman" w:hAnsi="Times New Roman" w:cs="Times New Roman"/>
        </w:rPr>
        <w:t>ed</w:t>
      </w:r>
      <w:r w:rsidRPr="00EC63D3">
        <w:rPr>
          <w:rFonts w:ascii="Times New Roman" w:hAnsi="Times New Roman" w:cs="Times New Roman"/>
        </w:rPr>
        <w:t xml:space="preserve"> to trade at higher (lower) prices than the advised price. This, at least in part, explains why</w:t>
      </w:r>
      <w:r w:rsidR="00956BB1" w:rsidRPr="00EC63D3">
        <w:rPr>
          <w:rFonts w:ascii="Times New Roman" w:hAnsi="Times New Roman" w:cs="Times New Roman"/>
        </w:rPr>
        <w:t xml:space="preserve"> market prices under AI conditions are not significantly different from one another</w:t>
      </w:r>
      <w:r w:rsidRPr="00EC63D3">
        <w:rPr>
          <w:rFonts w:ascii="Times New Roman" w:hAnsi="Times New Roman" w:cs="Times New Roman"/>
        </w:rPr>
        <w:t xml:space="preserve">. </w:t>
      </w:r>
    </w:p>
    <w:p w14:paraId="6CAEEAD7" w14:textId="7437389F" w:rsidR="00855ABB" w:rsidRPr="00EC63D3" w:rsidRDefault="00BD4325" w:rsidP="00EC63D3">
      <w:pPr>
        <w:spacing w:line="360" w:lineRule="auto"/>
        <w:ind w:firstLine="720"/>
        <w:jc w:val="both"/>
        <w:rPr>
          <w:rFonts w:ascii="Times New Roman" w:hAnsi="Times New Roman" w:cs="Times New Roman"/>
        </w:rPr>
      </w:pPr>
      <w:r w:rsidRPr="00EC63D3">
        <w:rPr>
          <w:rFonts w:ascii="Times New Roman" w:hAnsi="Times New Roman" w:cs="Times New Roman"/>
        </w:rPr>
        <w:t xml:space="preserve">Our studies </w:t>
      </w:r>
      <w:r w:rsidR="00A958B2" w:rsidRPr="00EC63D3">
        <w:rPr>
          <w:rFonts w:ascii="Times New Roman" w:hAnsi="Times New Roman" w:cs="Times New Roman"/>
        </w:rPr>
        <w:t>make four contributions to the literature. First, the results</w:t>
      </w:r>
      <w:r w:rsidR="00855ABB" w:rsidRPr="00EC63D3">
        <w:rPr>
          <w:rFonts w:ascii="Times New Roman" w:hAnsi="Times New Roman" w:cs="Times New Roman"/>
        </w:rPr>
        <w:t xml:space="preserve"> speak to the effect of communication on asset bubbles. </w:t>
      </w:r>
      <w:r w:rsidR="001E5147" w:rsidRPr="001E5147">
        <w:rPr>
          <w:rFonts w:ascii="Times New Roman" w:hAnsi="Times New Roman" w:cs="Times New Roman"/>
        </w:rPr>
        <w:t>Hargreaves Heap and Zizzo (2011)</w:t>
      </w:r>
      <w:r w:rsidR="00855ABB" w:rsidRPr="00EC63D3">
        <w:rPr>
          <w:rFonts w:ascii="Times New Roman" w:hAnsi="Times New Roman" w:cs="Times New Roman"/>
        </w:rPr>
        <w:t xml:space="preserve"> found that anonymous digital communication appears to have little to no effect on the magnitude of bubbles.</w:t>
      </w:r>
      <w:r w:rsidR="001E5147">
        <w:rPr>
          <w:rFonts w:ascii="Times New Roman" w:hAnsi="Times New Roman" w:cs="Times New Roman"/>
        </w:rPr>
        <w:t xml:space="preserve"> </w:t>
      </w:r>
      <w:proofErr w:type="spellStart"/>
      <w:r w:rsidR="001E5147" w:rsidRPr="001E5147">
        <w:rPr>
          <w:rFonts w:ascii="Times New Roman" w:hAnsi="Times New Roman" w:cs="Times New Roman"/>
        </w:rPr>
        <w:t>Oechssler</w:t>
      </w:r>
      <w:proofErr w:type="spellEnd"/>
      <w:r w:rsidR="001E5147" w:rsidRPr="001E5147">
        <w:rPr>
          <w:rFonts w:ascii="Times New Roman" w:hAnsi="Times New Roman" w:cs="Times New Roman"/>
        </w:rPr>
        <w:t xml:space="preserve"> et al. (2011)</w:t>
      </w:r>
      <w:r w:rsidR="00855ABB" w:rsidRPr="00EC63D3">
        <w:rPr>
          <w:rFonts w:ascii="Times New Roman" w:hAnsi="Times New Roman" w:cs="Times New Roman"/>
        </w:rPr>
        <w:t xml:space="preserve"> note that computer-based messaging might discourage bubble formation. In </w:t>
      </w:r>
      <w:r w:rsidR="00855ABB" w:rsidRPr="00EC63D3">
        <w:rPr>
          <w:rFonts w:ascii="Times New Roman" w:hAnsi="Times New Roman" w:cs="Times New Roman"/>
        </w:rPr>
        <w:lastRenderedPageBreak/>
        <w:t xml:space="preserve">contrast, </w:t>
      </w:r>
      <w:r w:rsidR="001E5147" w:rsidRPr="001E5147">
        <w:rPr>
          <w:rFonts w:ascii="Times New Roman" w:hAnsi="Times New Roman" w:cs="Times New Roman"/>
        </w:rPr>
        <w:t>Steiger and Pelster (2020)</w:t>
      </w:r>
      <w:r w:rsidR="00855ABB" w:rsidRPr="00EC63D3">
        <w:rPr>
          <w:rFonts w:ascii="Times New Roman" w:hAnsi="Times New Roman" w:cs="Times New Roman"/>
        </w:rPr>
        <w:t xml:space="preserve"> demonstrate that face-to-face interactions exacerbate bubble formation when compared to traditional laboratory settings. Yet these are communications among the traders</w:t>
      </w:r>
      <w:r w:rsidR="00A958B2" w:rsidRPr="00EC63D3">
        <w:rPr>
          <w:rFonts w:ascii="Times New Roman" w:hAnsi="Times New Roman" w:cs="Times New Roman"/>
        </w:rPr>
        <w:t xml:space="preserve"> themselves</w:t>
      </w:r>
      <w:r w:rsidR="00855ABB" w:rsidRPr="00EC63D3">
        <w:rPr>
          <w:rFonts w:ascii="Times New Roman" w:hAnsi="Times New Roman" w:cs="Times New Roman"/>
        </w:rPr>
        <w:t xml:space="preserve">. Our setting resembles a situation where investors receive financial advice. To this end, </w:t>
      </w:r>
      <w:proofErr w:type="spellStart"/>
      <w:r w:rsidR="001E5147" w:rsidRPr="001E5147">
        <w:rPr>
          <w:rFonts w:ascii="Times New Roman" w:hAnsi="Times New Roman" w:cs="Times New Roman"/>
        </w:rPr>
        <w:t>Alevy</w:t>
      </w:r>
      <w:proofErr w:type="spellEnd"/>
      <w:r w:rsidR="001E5147" w:rsidRPr="001E5147">
        <w:rPr>
          <w:rFonts w:ascii="Times New Roman" w:hAnsi="Times New Roman" w:cs="Times New Roman"/>
        </w:rPr>
        <w:t xml:space="preserve"> and Price (2017)</w:t>
      </w:r>
      <w:r w:rsidR="00855ABB" w:rsidRPr="00EC63D3">
        <w:rPr>
          <w:rFonts w:ascii="Times New Roman" w:hAnsi="Times New Roman" w:cs="Times New Roman"/>
        </w:rPr>
        <w:t xml:space="preserve"> find that bubbles are significantly reduced when traders are advised by experienced traders who participated in the experiment before. Our results corroborate this finding in a setting in which financial advice is provided by generative AI.</w:t>
      </w:r>
    </w:p>
    <w:p w14:paraId="0D741F1D" w14:textId="451DC876" w:rsidR="00855ABB" w:rsidRPr="00EC63D3" w:rsidRDefault="00855ABB" w:rsidP="00EC63D3">
      <w:pPr>
        <w:spacing w:line="360" w:lineRule="auto"/>
        <w:ind w:firstLine="720"/>
        <w:jc w:val="both"/>
        <w:rPr>
          <w:rFonts w:ascii="Times New Roman" w:hAnsi="Times New Roman" w:cs="Times New Roman"/>
        </w:rPr>
      </w:pPr>
      <w:r w:rsidRPr="00EC63D3">
        <w:rPr>
          <w:rFonts w:ascii="Times New Roman" w:hAnsi="Times New Roman" w:cs="Times New Roman"/>
        </w:rPr>
        <w:t xml:space="preserve">This study also contributes to the emerging literature on augmenting human decision-making with algorithms. This literature has shown that human decision-makers do not interact with algorithms as passive recipients </w:t>
      </w:r>
      <w:r w:rsidR="001E5147" w:rsidRPr="001E5147">
        <w:rPr>
          <w:rFonts w:ascii="Times New Roman" w:hAnsi="Times New Roman" w:cs="Times New Roman"/>
        </w:rPr>
        <w:t>(Caro et al., 2026)</w:t>
      </w:r>
      <w:r w:rsidRPr="00EC63D3">
        <w:rPr>
          <w:rFonts w:ascii="Times New Roman" w:hAnsi="Times New Roman" w:cs="Times New Roman"/>
        </w:rPr>
        <w:t xml:space="preserve">. Rather, individuals actively adjust their reliance on algorithms, constantly weighing the cognitive costs of verification against the perceived accuracy of AI </w:t>
      </w:r>
      <w:r w:rsidR="001E5147" w:rsidRPr="001E5147">
        <w:rPr>
          <w:rFonts w:ascii="Times New Roman" w:hAnsi="Times New Roman" w:cs="Times New Roman"/>
        </w:rPr>
        <w:t>(Vasconcelos et al., 2023)</w:t>
      </w:r>
      <w:r w:rsidRPr="00EC63D3">
        <w:rPr>
          <w:rFonts w:ascii="Times New Roman" w:hAnsi="Times New Roman" w:cs="Times New Roman"/>
        </w:rPr>
        <w:t xml:space="preserve">. In practice, investors use AI to filter out bad projects in Initial Coin Offerings </w:t>
      </w:r>
      <w:r w:rsidR="001E5147" w:rsidRPr="001E5147">
        <w:rPr>
          <w:rFonts w:ascii="Times New Roman" w:hAnsi="Times New Roman" w:cs="Times New Roman"/>
        </w:rPr>
        <w:t>(Basu et al., 2021)</w:t>
      </w:r>
      <w:r w:rsidRPr="00EC63D3">
        <w:rPr>
          <w:rFonts w:ascii="Times New Roman" w:hAnsi="Times New Roman" w:cs="Times New Roman"/>
        </w:rPr>
        <w:t xml:space="preserve"> but rely on personal expertise for good ones. </w:t>
      </w:r>
      <w:r w:rsidR="001E5147" w:rsidRPr="001E5147">
        <w:rPr>
          <w:rFonts w:ascii="Times New Roman" w:hAnsi="Times New Roman" w:cs="Times New Roman"/>
        </w:rPr>
        <w:t xml:space="preserve">Bianchi and </w:t>
      </w:r>
      <w:proofErr w:type="spellStart"/>
      <w:r w:rsidR="001E5147" w:rsidRPr="001E5147">
        <w:rPr>
          <w:rFonts w:ascii="Times New Roman" w:hAnsi="Times New Roman" w:cs="Times New Roman"/>
        </w:rPr>
        <w:t>Brière</w:t>
      </w:r>
      <w:proofErr w:type="spellEnd"/>
      <w:r w:rsidR="001E5147" w:rsidRPr="001E5147">
        <w:rPr>
          <w:rFonts w:ascii="Times New Roman" w:hAnsi="Times New Roman" w:cs="Times New Roman"/>
        </w:rPr>
        <w:t xml:space="preserve"> (2026)</w:t>
      </w:r>
      <w:r w:rsidRPr="00EC63D3">
        <w:rPr>
          <w:rFonts w:ascii="Times New Roman" w:hAnsi="Times New Roman" w:cs="Times New Roman"/>
        </w:rPr>
        <w:t xml:space="preserve"> study how investors interact with a </w:t>
      </w:r>
      <w:proofErr w:type="spellStart"/>
      <w:r w:rsidRPr="00EC63D3">
        <w:rPr>
          <w:rFonts w:ascii="Times New Roman" w:hAnsi="Times New Roman" w:cs="Times New Roman"/>
        </w:rPr>
        <w:t>robo</w:t>
      </w:r>
      <w:proofErr w:type="spellEnd"/>
      <w:r w:rsidRPr="00EC63D3">
        <w:rPr>
          <w:rFonts w:ascii="Times New Roman" w:hAnsi="Times New Roman" w:cs="Times New Roman"/>
        </w:rPr>
        <w:t xml:space="preserve">-advisor deployed by a large asset management company. The investor has the option to follow the recommendation while retaining full control over the portfolio. The authors find that investors do follow the advice of the robot and become more attentive to deviations from their target allocations, and earn higher returns. In the domain of financial loan evaluations, </w:t>
      </w:r>
      <w:r w:rsidR="001E5147" w:rsidRPr="001E5147">
        <w:rPr>
          <w:rFonts w:ascii="Times New Roman" w:hAnsi="Times New Roman" w:cs="Times New Roman"/>
        </w:rPr>
        <w:t>Wang et al. (2026)</w:t>
      </w:r>
      <w:r w:rsidRPr="00EC63D3">
        <w:rPr>
          <w:rFonts w:ascii="Times New Roman" w:hAnsi="Times New Roman" w:cs="Times New Roman"/>
        </w:rPr>
        <w:t xml:space="preserve"> show that human-algorithm collaboration can achieve the best results (relative to human- or algorithm-only approaches). This works especially well when humans can call out inconsistencies made by the algorithm. </w:t>
      </w:r>
      <w:r w:rsidR="001E5147" w:rsidRPr="001E5147">
        <w:rPr>
          <w:rFonts w:ascii="Times New Roman" w:hAnsi="Times New Roman" w:cs="Times New Roman"/>
        </w:rPr>
        <w:t>Yang et al. (2026)</w:t>
      </w:r>
      <w:r w:rsidRPr="00EC63D3">
        <w:rPr>
          <w:rFonts w:ascii="Times New Roman" w:hAnsi="Times New Roman" w:cs="Times New Roman"/>
        </w:rPr>
        <w:t xml:space="preserve"> conducted a field experiment in a real-world financial advisory setting. They find that trust and uptake are lower when financial advice comes solely from AI than when humans are involved. </w:t>
      </w:r>
      <w:r w:rsidR="00205EE7" w:rsidRPr="00EC63D3">
        <w:rPr>
          <w:rFonts w:ascii="Times New Roman" w:hAnsi="Times New Roman" w:cs="Times New Roman"/>
        </w:rPr>
        <w:t>We, too, find that a significant portion of investors do not blindly follow the advice of AI in asset markets</w:t>
      </w:r>
      <w:r w:rsidR="00287E00" w:rsidRPr="00EC63D3">
        <w:rPr>
          <w:rFonts w:ascii="Times New Roman" w:hAnsi="Times New Roman" w:cs="Times New Roman"/>
        </w:rPr>
        <w:t>,</w:t>
      </w:r>
      <w:r w:rsidR="002868E0" w:rsidRPr="00EC63D3">
        <w:rPr>
          <w:rFonts w:ascii="Times New Roman" w:hAnsi="Times New Roman" w:cs="Times New Roman"/>
        </w:rPr>
        <w:t xml:space="preserve"> and they filter out bad information actively in the </w:t>
      </w:r>
      <w:r w:rsidR="008004E7" w:rsidRPr="00EC63D3">
        <w:rPr>
          <w:rFonts w:ascii="Times New Roman" w:hAnsi="Times New Roman" w:cs="Times New Roman"/>
        </w:rPr>
        <w:t>B</w:t>
      </w:r>
      <w:r w:rsidR="002868E0" w:rsidRPr="00EC63D3">
        <w:rPr>
          <w:rFonts w:ascii="Times New Roman" w:hAnsi="Times New Roman" w:cs="Times New Roman"/>
        </w:rPr>
        <w:t>ad AI treatment.</w:t>
      </w:r>
      <w:r w:rsidR="00205EE7" w:rsidRPr="00EC63D3">
        <w:rPr>
          <w:rFonts w:ascii="Times New Roman" w:hAnsi="Times New Roman" w:cs="Times New Roman"/>
        </w:rPr>
        <w:t xml:space="preserve">  </w:t>
      </w:r>
    </w:p>
    <w:p w14:paraId="3ADA4951" w14:textId="151C37A8" w:rsidR="00855ABB" w:rsidRPr="00EC63D3" w:rsidRDefault="008004E7" w:rsidP="00EC63D3">
      <w:pPr>
        <w:spacing w:line="360" w:lineRule="auto"/>
        <w:ind w:firstLine="720"/>
        <w:jc w:val="both"/>
        <w:rPr>
          <w:rFonts w:ascii="Times New Roman" w:hAnsi="Times New Roman" w:cs="Times New Roman"/>
          <w:lang w:eastAsia="zh-CN"/>
        </w:rPr>
      </w:pPr>
      <w:r w:rsidRPr="00EC63D3">
        <w:rPr>
          <w:rFonts w:ascii="Times New Roman" w:hAnsi="Times New Roman" w:cs="Times New Roman"/>
        </w:rPr>
        <w:t>Third, o</w:t>
      </w:r>
      <w:r w:rsidR="00855ABB" w:rsidRPr="00EC63D3">
        <w:rPr>
          <w:rFonts w:ascii="Times New Roman" w:hAnsi="Times New Roman" w:cs="Times New Roman"/>
        </w:rPr>
        <w:t xml:space="preserve">ur study also relates to the literature on algorithm aversion </w:t>
      </w:r>
      <w:r w:rsidR="001E5147" w:rsidRPr="001E5147">
        <w:rPr>
          <w:rFonts w:ascii="Times New Roman" w:hAnsi="Times New Roman" w:cs="Times New Roman"/>
        </w:rPr>
        <w:t xml:space="preserve">(Davis et al., 2024; </w:t>
      </w:r>
      <w:proofErr w:type="spellStart"/>
      <w:r w:rsidR="001E5147" w:rsidRPr="001E5147">
        <w:rPr>
          <w:rFonts w:ascii="Times New Roman" w:hAnsi="Times New Roman" w:cs="Times New Roman"/>
        </w:rPr>
        <w:t>Dietvorst</w:t>
      </w:r>
      <w:proofErr w:type="spellEnd"/>
      <w:r w:rsidR="001E5147" w:rsidRPr="001E5147">
        <w:rPr>
          <w:rFonts w:ascii="Times New Roman" w:hAnsi="Times New Roman" w:cs="Times New Roman"/>
        </w:rPr>
        <w:t xml:space="preserve"> et al., 2015)</w:t>
      </w:r>
      <w:r w:rsidR="00855ABB" w:rsidRPr="00EC63D3">
        <w:rPr>
          <w:rFonts w:ascii="Times New Roman" w:hAnsi="Times New Roman" w:cs="Times New Roman"/>
        </w:rPr>
        <w:t xml:space="preserve">. The foundational premise is that individuals tend to discount computer-based advice more heavily than identical human advice, particularly after observing the algorithm make a mistake </w:t>
      </w:r>
      <w:r w:rsidR="001E5147" w:rsidRPr="001E5147">
        <w:rPr>
          <w:rFonts w:ascii="Times New Roman" w:hAnsi="Times New Roman" w:cs="Times New Roman"/>
        </w:rPr>
        <w:t xml:space="preserve">(Castelo et al., 2019; </w:t>
      </w:r>
      <w:proofErr w:type="spellStart"/>
      <w:r w:rsidR="001E5147" w:rsidRPr="001E5147">
        <w:rPr>
          <w:rFonts w:ascii="Times New Roman" w:hAnsi="Times New Roman" w:cs="Times New Roman"/>
        </w:rPr>
        <w:t>Dietvorst</w:t>
      </w:r>
      <w:proofErr w:type="spellEnd"/>
      <w:r w:rsidR="001E5147" w:rsidRPr="001E5147">
        <w:rPr>
          <w:rFonts w:ascii="Times New Roman" w:hAnsi="Times New Roman" w:cs="Times New Roman"/>
        </w:rPr>
        <w:t xml:space="preserve"> et al., 2015)</w:t>
      </w:r>
      <w:r w:rsidR="00855ABB" w:rsidRPr="00EC63D3">
        <w:rPr>
          <w:rFonts w:ascii="Times New Roman" w:hAnsi="Times New Roman" w:cs="Times New Roman"/>
        </w:rPr>
        <w:t xml:space="preserve">. In financial contexts, where predictive perfection is impossible, algorithms will inevitably produce errors. When users observe these errors, they may rapidly lose confidence in the algorithm, despite the mathematical reality that the algorithm will still outperform the human over a long-term probabilistic horizon </w:t>
      </w:r>
      <w:r w:rsidR="001E5147" w:rsidRPr="001E5147">
        <w:rPr>
          <w:rFonts w:ascii="Times New Roman" w:hAnsi="Times New Roman" w:cs="Times New Roman"/>
        </w:rPr>
        <w:t>(</w:t>
      </w:r>
      <w:proofErr w:type="spellStart"/>
      <w:r w:rsidR="001E5147" w:rsidRPr="001E5147">
        <w:rPr>
          <w:rFonts w:ascii="Times New Roman" w:hAnsi="Times New Roman" w:cs="Times New Roman"/>
        </w:rPr>
        <w:t>Dietvorst</w:t>
      </w:r>
      <w:proofErr w:type="spellEnd"/>
      <w:r w:rsidR="001E5147" w:rsidRPr="001E5147">
        <w:rPr>
          <w:rFonts w:ascii="Times New Roman" w:hAnsi="Times New Roman" w:cs="Times New Roman"/>
        </w:rPr>
        <w:t xml:space="preserve"> et al., 2015)</w:t>
      </w:r>
      <w:r w:rsidR="00855ABB" w:rsidRPr="00EC63D3">
        <w:rPr>
          <w:rFonts w:ascii="Times New Roman" w:hAnsi="Times New Roman" w:cs="Times New Roman"/>
        </w:rPr>
        <w:t xml:space="preserve">.  Yet, a major difference between generative AI </w:t>
      </w:r>
      <w:r w:rsidR="00855ABB" w:rsidRPr="00EC63D3">
        <w:rPr>
          <w:rFonts w:ascii="Times New Roman" w:hAnsi="Times New Roman" w:cs="Times New Roman"/>
        </w:rPr>
        <w:lastRenderedPageBreak/>
        <w:t xml:space="preserve">and an algorithm is that the AI can explain its decision (even its mistakes). It is thus interesting to examine whether such an effect carries over in the AI era and in the domain of investment decisions. </w:t>
      </w:r>
      <w:r w:rsidR="001E5147" w:rsidRPr="001E5147">
        <w:rPr>
          <w:rFonts w:ascii="Times New Roman" w:hAnsi="Times New Roman" w:cs="Times New Roman"/>
        </w:rPr>
        <w:t>Logg et al. (2019)</w:t>
      </w:r>
      <w:r w:rsidR="00855ABB" w:rsidRPr="00EC63D3">
        <w:rPr>
          <w:rFonts w:ascii="Times New Roman" w:hAnsi="Times New Roman" w:cs="Times New Roman"/>
        </w:rPr>
        <w:t xml:space="preserve">’s experiments demonstrate that such aversion is dependent on individuals’ own expertise. Algorithm aversion only shows up when they find themselves laypeople frequently adhere more strictly to advice when they believe it originates from an algorithm rather than a human. The results wane when they have expertise </w:t>
      </w:r>
      <w:proofErr w:type="gramStart"/>
      <w:r w:rsidR="00855ABB" w:rsidRPr="00EC63D3">
        <w:rPr>
          <w:rFonts w:ascii="Times New Roman" w:hAnsi="Times New Roman" w:cs="Times New Roman"/>
        </w:rPr>
        <w:t>on</w:t>
      </w:r>
      <w:proofErr w:type="gramEnd"/>
      <w:r w:rsidR="00855ABB" w:rsidRPr="00EC63D3">
        <w:rPr>
          <w:rFonts w:ascii="Times New Roman" w:hAnsi="Times New Roman" w:cs="Times New Roman"/>
        </w:rPr>
        <w:t xml:space="preserve"> the topic. </w:t>
      </w:r>
    </w:p>
    <w:p w14:paraId="633B8197" w14:textId="0A148677" w:rsidR="00855ABB" w:rsidRPr="00EC63D3" w:rsidRDefault="00855ABB" w:rsidP="00EC63D3">
      <w:pPr>
        <w:spacing w:line="360" w:lineRule="auto"/>
        <w:ind w:firstLine="720"/>
        <w:jc w:val="both"/>
        <w:rPr>
          <w:rFonts w:ascii="Times New Roman" w:hAnsi="Times New Roman" w:cs="Times New Roman"/>
        </w:rPr>
      </w:pPr>
      <w:bookmarkStart w:id="1" w:name="_Hlk215047895"/>
      <w:r w:rsidRPr="00EC63D3">
        <w:rPr>
          <w:rFonts w:ascii="Times New Roman" w:hAnsi="Times New Roman" w:cs="Times New Roman"/>
          <w:lang w:eastAsia="zh-CN"/>
        </w:rPr>
        <w:t>Lastly</w:t>
      </w:r>
      <w:r w:rsidRPr="00EC63D3">
        <w:rPr>
          <w:rFonts w:ascii="Times New Roman" w:hAnsi="Times New Roman" w:cs="Times New Roman"/>
        </w:rPr>
        <w:t>, this paper makes a methodological contribution by proposing an experimental market framework that integrates AI tools into the decision-making environments. This study establishes clear guidelines for setting up the AI-assisted market experiment and designing the interaction between participants and AI systems. The framework is flexible and replicable, and can be adapted in future research to analyze the role of AI advice across different market contexts.</w:t>
      </w:r>
      <w:r w:rsidR="00946A3D" w:rsidRPr="00EC63D3">
        <w:rPr>
          <w:rFonts w:ascii="Times New Roman" w:hAnsi="Times New Roman" w:cs="Times New Roman"/>
        </w:rPr>
        <w:t xml:space="preserve"> Furthermore, </w:t>
      </w:r>
      <w:r w:rsidR="00E34760" w:rsidRPr="00EC63D3">
        <w:rPr>
          <w:rFonts w:ascii="Times New Roman" w:hAnsi="Times New Roman" w:cs="Times New Roman"/>
        </w:rPr>
        <w:t xml:space="preserve">since the seminal work of Smith et al. (1988), experimental markets have frequently relied on declining fundamental values to reliably generate price bubbles. Subsequent literature, however, demonstrates that altering this process to a random walk or a constant fundamental value can significantly reduce or eliminate bubble formation (e.g., Huber et al., 2008; </w:t>
      </w:r>
      <w:proofErr w:type="spellStart"/>
      <w:r w:rsidR="00E34760" w:rsidRPr="00EC63D3">
        <w:rPr>
          <w:rFonts w:ascii="Times New Roman" w:hAnsi="Times New Roman" w:cs="Times New Roman"/>
        </w:rPr>
        <w:t>Kirchler</w:t>
      </w:r>
      <w:proofErr w:type="spellEnd"/>
      <w:r w:rsidR="00E34760" w:rsidRPr="00EC63D3">
        <w:rPr>
          <w:rFonts w:ascii="Times New Roman" w:hAnsi="Times New Roman" w:cs="Times New Roman"/>
        </w:rPr>
        <w:t xml:space="preserve"> </w:t>
      </w:r>
      <w:r w:rsidR="006E3194">
        <w:rPr>
          <w:rFonts w:asciiTheme="majorBidi" w:hAnsiTheme="majorBidi" w:cstheme="majorBidi"/>
          <w:lang w:val="en-NZ" w:eastAsia="zh-CN"/>
        </w:rPr>
        <w:t>and</w:t>
      </w:r>
      <w:r w:rsidR="00E34760" w:rsidRPr="00EC63D3">
        <w:rPr>
          <w:rFonts w:ascii="Times New Roman" w:hAnsi="Times New Roman" w:cs="Times New Roman"/>
        </w:rPr>
        <w:t xml:space="preserve"> Huber, 2007; </w:t>
      </w:r>
      <w:proofErr w:type="spellStart"/>
      <w:r w:rsidR="00E34760" w:rsidRPr="00EC63D3">
        <w:rPr>
          <w:rFonts w:ascii="Times New Roman" w:hAnsi="Times New Roman" w:cs="Times New Roman"/>
        </w:rPr>
        <w:t>Kirchler</w:t>
      </w:r>
      <w:proofErr w:type="spellEnd"/>
      <w:r w:rsidR="00E34760" w:rsidRPr="00EC63D3">
        <w:rPr>
          <w:rFonts w:ascii="Times New Roman" w:hAnsi="Times New Roman" w:cs="Times New Roman"/>
        </w:rPr>
        <w:t xml:space="preserve"> et al., 2012; Lambrecht et al., 2025; </w:t>
      </w:r>
      <w:proofErr w:type="spellStart"/>
      <w:r w:rsidR="00E34760" w:rsidRPr="00EC63D3">
        <w:rPr>
          <w:rFonts w:ascii="Times New Roman" w:hAnsi="Times New Roman" w:cs="Times New Roman"/>
        </w:rPr>
        <w:t>Noussair</w:t>
      </w:r>
      <w:proofErr w:type="spellEnd"/>
      <w:r w:rsidR="00E34760" w:rsidRPr="00EC63D3">
        <w:rPr>
          <w:rFonts w:ascii="Times New Roman" w:hAnsi="Times New Roman" w:cs="Times New Roman"/>
        </w:rPr>
        <w:t xml:space="preserve"> et al., 2022; Stöckl et al., 2015). We contribute to this literature by demonstrating that a call market that uses a random walk with drift can also reliably generate bubbles. In our baseline condition, prices initially start below the fundamental value but eventually rise significantly above it, remaining at elevated levels. This study thus provides a robust alternative framework for investigating bubbles and crashes within controlled laboratory environments.</w:t>
      </w:r>
    </w:p>
    <w:p w14:paraId="7CE75D89" w14:textId="636E6BF4" w:rsidR="00855ABB" w:rsidRPr="00EC63D3" w:rsidRDefault="00855ABB" w:rsidP="00EC63D3">
      <w:pPr>
        <w:spacing w:line="360" w:lineRule="auto"/>
        <w:ind w:firstLine="720"/>
        <w:jc w:val="both"/>
        <w:rPr>
          <w:rFonts w:ascii="Times New Roman" w:hAnsi="Times New Roman" w:cs="Times New Roman"/>
        </w:rPr>
      </w:pPr>
      <w:r w:rsidRPr="00EC63D3">
        <w:rPr>
          <w:rFonts w:ascii="Times New Roman" w:hAnsi="Times New Roman" w:cs="Times New Roman"/>
        </w:rPr>
        <w:t xml:space="preserve">The </w:t>
      </w:r>
      <w:r w:rsidR="00E34760" w:rsidRPr="00EC63D3">
        <w:rPr>
          <w:rFonts w:ascii="Times New Roman" w:hAnsi="Times New Roman" w:cs="Times New Roman"/>
        </w:rPr>
        <w:t xml:space="preserve">rest of the </w:t>
      </w:r>
      <w:r w:rsidRPr="00EC63D3">
        <w:rPr>
          <w:rFonts w:ascii="Times New Roman" w:hAnsi="Times New Roman" w:cs="Times New Roman"/>
        </w:rPr>
        <w:t>paper is organized as follows. Section 2 lays out the experimental design and procedure.</w:t>
      </w:r>
      <w:r w:rsidR="005D073A" w:rsidRPr="00EC63D3">
        <w:rPr>
          <w:rFonts w:ascii="Times New Roman" w:hAnsi="Times New Roman" w:cs="Times New Roman"/>
        </w:rPr>
        <w:t xml:space="preserve"> Section 3 lays </w:t>
      </w:r>
      <w:r w:rsidR="000B31DE" w:rsidRPr="00EC63D3">
        <w:rPr>
          <w:rFonts w:ascii="Times New Roman" w:hAnsi="Times New Roman" w:cs="Times New Roman"/>
        </w:rPr>
        <w:t>out the hypotheses.</w:t>
      </w:r>
      <w:r w:rsidRPr="00EC63D3">
        <w:rPr>
          <w:rFonts w:ascii="Times New Roman" w:hAnsi="Times New Roman" w:cs="Times New Roman"/>
        </w:rPr>
        <w:t xml:space="preserve"> We report the results in Section </w:t>
      </w:r>
      <w:r w:rsidR="000B31DE" w:rsidRPr="00EC63D3">
        <w:rPr>
          <w:rFonts w:ascii="Times New Roman" w:hAnsi="Times New Roman" w:cs="Times New Roman"/>
        </w:rPr>
        <w:t>4</w:t>
      </w:r>
      <w:r w:rsidRPr="00EC63D3">
        <w:rPr>
          <w:rFonts w:ascii="Times New Roman" w:hAnsi="Times New Roman" w:cs="Times New Roman"/>
        </w:rPr>
        <w:t>.</w:t>
      </w:r>
      <w:bookmarkEnd w:id="1"/>
      <w:r w:rsidRPr="00EC63D3">
        <w:rPr>
          <w:rFonts w:ascii="Times New Roman" w:hAnsi="Times New Roman" w:cs="Times New Roman"/>
        </w:rPr>
        <w:t xml:space="preserve"> Discussion and conclusion are presented in Section </w:t>
      </w:r>
      <w:r w:rsidR="000B31DE" w:rsidRPr="00EC63D3">
        <w:rPr>
          <w:rFonts w:ascii="Times New Roman" w:hAnsi="Times New Roman" w:cs="Times New Roman"/>
        </w:rPr>
        <w:t>5</w:t>
      </w:r>
      <w:r w:rsidRPr="00EC63D3">
        <w:rPr>
          <w:rFonts w:ascii="Times New Roman" w:hAnsi="Times New Roman" w:cs="Times New Roman"/>
        </w:rPr>
        <w:t>.</w:t>
      </w:r>
    </w:p>
    <w:p w14:paraId="79E8E677" w14:textId="22346850" w:rsidR="00855ABB" w:rsidRPr="00EC63D3" w:rsidRDefault="00855ABB" w:rsidP="00EC63D3">
      <w:pPr>
        <w:pStyle w:val="ListParagraph"/>
        <w:numPr>
          <w:ilvl w:val="0"/>
          <w:numId w:val="1"/>
        </w:numPr>
        <w:spacing w:line="360" w:lineRule="auto"/>
        <w:rPr>
          <w:rFonts w:ascii="Times New Roman" w:hAnsi="Times New Roman" w:cs="Times New Roman"/>
          <w:b/>
          <w:bCs/>
        </w:rPr>
      </w:pPr>
      <w:r w:rsidRPr="00EC63D3">
        <w:rPr>
          <w:rFonts w:ascii="Times New Roman" w:hAnsi="Times New Roman" w:cs="Times New Roman"/>
          <w:b/>
          <w:bCs/>
        </w:rPr>
        <w:t xml:space="preserve">The Experiment </w:t>
      </w:r>
    </w:p>
    <w:p w14:paraId="76DE6AD9" w14:textId="0B30EAEA" w:rsidR="00855ABB" w:rsidRPr="00EC63D3" w:rsidRDefault="00855ABB" w:rsidP="00C87A3B">
      <w:pPr>
        <w:spacing w:line="360" w:lineRule="auto"/>
        <w:jc w:val="both"/>
        <w:rPr>
          <w:rFonts w:ascii="Times New Roman" w:hAnsi="Times New Roman" w:cs="Times New Roman"/>
          <w:iCs/>
        </w:rPr>
      </w:pPr>
      <w:r w:rsidRPr="00EC63D3">
        <w:rPr>
          <w:rFonts w:ascii="Times New Roman" w:hAnsi="Times New Roman" w:cs="Times New Roman"/>
        </w:rPr>
        <w:t xml:space="preserve">The experiment consisted of 30 markets conducted at </w:t>
      </w:r>
      <w:r w:rsidR="00A41BFE" w:rsidRPr="00EC63D3">
        <w:rPr>
          <w:rFonts w:ascii="Times New Roman" w:hAnsi="Times New Roman" w:cs="Times New Roman"/>
        </w:rPr>
        <w:t>the Waikato Experimental Economics Laboratory (WEEL), located at the University of Waikato, New Zealand,</w:t>
      </w:r>
      <w:r w:rsidRPr="00EC63D3">
        <w:rPr>
          <w:rFonts w:ascii="Times New Roman" w:hAnsi="Times New Roman" w:cs="Times New Roman"/>
        </w:rPr>
        <w:t xml:space="preserve"> between May 2025 and June 2025.  Each market consisted of eight traders, except for one market with seven, resulting in 239 participants in the experiment.  Participants were recruited university </w:t>
      </w:r>
      <w:proofErr w:type="gramStart"/>
      <w:r w:rsidRPr="00EC63D3">
        <w:rPr>
          <w:rFonts w:ascii="Times New Roman" w:hAnsi="Times New Roman" w:cs="Times New Roman"/>
        </w:rPr>
        <w:t>wide</w:t>
      </w:r>
      <w:proofErr w:type="gramEnd"/>
      <w:r w:rsidRPr="00EC63D3">
        <w:rPr>
          <w:rFonts w:ascii="Times New Roman" w:hAnsi="Times New Roman" w:cs="Times New Roman"/>
        </w:rPr>
        <w:t xml:space="preserve"> using the ORSEE recruitment system (Greiner, 2015).  Some of the participants may have had previous experience in economic experiments, but all participants were inexperienced in asset markets and participated in a single session of this study.  The markets were computerized and </w:t>
      </w:r>
      <w:r w:rsidRPr="00EC63D3">
        <w:rPr>
          <w:rFonts w:ascii="Times New Roman" w:hAnsi="Times New Roman" w:cs="Times New Roman"/>
        </w:rPr>
        <w:lastRenderedPageBreak/>
        <w:t xml:space="preserve">programmed with the oTree software package (Chen et al., 2016).  </w:t>
      </w:r>
      <w:r w:rsidRPr="00EC63D3">
        <w:rPr>
          <w:rFonts w:ascii="Times New Roman" w:hAnsi="Times New Roman" w:cs="Times New Roman"/>
          <w:iCs/>
        </w:rPr>
        <w:t xml:space="preserve">Trade was facilitated with the experimental currency francs, and final cash holdings were converted into </w:t>
      </w:r>
      <w:r w:rsidR="00CD73E0" w:rsidRPr="00EC63D3">
        <w:rPr>
          <w:rFonts w:ascii="Times New Roman" w:hAnsi="Times New Roman" w:cs="Times New Roman"/>
          <w:iCs/>
        </w:rPr>
        <w:t>New Zealand dollars</w:t>
      </w:r>
      <w:r w:rsidRPr="00EC63D3">
        <w:rPr>
          <w:rFonts w:ascii="Times New Roman" w:hAnsi="Times New Roman" w:cs="Times New Roman"/>
          <w:iCs/>
        </w:rPr>
        <w:t xml:space="preserve"> at a publicly known exchange rate.  Each session lasted between 90 and 120 minutes, depending upon the treatment.</w:t>
      </w:r>
      <w:r w:rsidRPr="00EC63D3">
        <w:rPr>
          <w:rStyle w:val="FootnoteReference"/>
          <w:rFonts w:ascii="Times New Roman" w:hAnsi="Times New Roman" w:cs="Times New Roman"/>
          <w:iCs/>
        </w:rPr>
        <w:footnoteReference w:id="1"/>
      </w:r>
      <w:r w:rsidRPr="00EC63D3">
        <w:rPr>
          <w:rFonts w:ascii="Times New Roman" w:hAnsi="Times New Roman" w:cs="Times New Roman"/>
          <w:iCs/>
        </w:rPr>
        <w:t xml:space="preserve"> Parameters were set for all treatments to achieve expected earnings of 25 </w:t>
      </w:r>
      <w:r w:rsidR="00CD73E0" w:rsidRPr="00EC63D3">
        <w:rPr>
          <w:rFonts w:ascii="Times New Roman" w:hAnsi="Times New Roman" w:cs="Times New Roman"/>
          <w:iCs/>
        </w:rPr>
        <w:t xml:space="preserve">NZD </w:t>
      </w:r>
      <w:r w:rsidRPr="00EC63D3">
        <w:rPr>
          <w:rFonts w:ascii="Times New Roman" w:hAnsi="Times New Roman" w:cs="Times New Roman"/>
          <w:iCs/>
        </w:rPr>
        <w:t xml:space="preserve">per hour with realized average earnings of 49 </w:t>
      </w:r>
      <w:r w:rsidR="00CD73E0" w:rsidRPr="00EC63D3">
        <w:rPr>
          <w:rFonts w:ascii="Times New Roman" w:hAnsi="Times New Roman" w:cs="Times New Roman"/>
          <w:iCs/>
        </w:rPr>
        <w:t>NZD</w:t>
      </w:r>
      <w:r w:rsidRPr="00EC63D3">
        <w:rPr>
          <w:rFonts w:ascii="Times New Roman" w:hAnsi="Times New Roman" w:cs="Times New Roman"/>
          <w:iCs/>
        </w:rPr>
        <w:t>.</w:t>
      </w:r>
    </w:p>
    <w:p w14:paraId="4DB5FE58" w14:textId="77777777" w:rsidR="00855ABB" w:rsidRPr="00EC63D3" w:rsidRDefault="00855ABB" w:rsidP="00EC63D3">
      <w:pPr>
        <w:spacing w:line="360" w:lineRule="auto"/>
        <w:ind w:firstLine="720"/>
        <w:jc w:val="both"/>
        <w:rPr>
          <w:rFonts w:ascii="Times New Roman" w:hAnsi="Times New Roman" w:cs="Times New Roman"/>
          <w:iCs/>
        </w:rPr>
      </w:pPr>
      <w:r w:rsidRPr="00EC63D3">
        <w:rPr>
          <w:rFonts w:ascii="Times New Roman" w:hAnsi="Times New Roman" w:cs="Times New Roman"/>
          <w:iCs/>
        </w:rPr>
        <w:t>At the beginning of each market, traders were endowed with 10 units of an asset called X and 41,000 francs, and thus the initial cash-to-asset ratio across all markets was fixed at approximately ten.</w:t>
      </w:r>
      <w:r w:rsidRPr="00EC63D3">
        <w:rPr>
          <w:rStyle w:val="FootnoteReference"/>
          <w:rFonts w:ascii="Times New Roman" w:hAnsi="Times New Roman" w:cs="Times New Roman"/>
          <w:iCs/>
        </w:rPr>
        <w:footnoteReference w:id="2"/>
      </w:r>
      <w:r w:rsidRPr="00EC63D3">
        <w:rPr>
          <w:rFonts w:ascii="Times New Roman" w:hAnsi="Times New Roman" w:cs="Times New Roman"/>
          <w:iCs/>
        </w:rPr>
        <w:t xml:space="preserve"> The assets had a finite life of 15 periods during which traders had the opportunity to buy and/or sell assets across this time horizon according to the following constraints.  Traders must have sufficient stock (cash) to sell (buy) a unit of the asset, and they cannot submit a purchase order for more units than are available in the market.</w:t>
      </w:r>
      <w:r w:rsidRPr="00EC63D3">
        <w:rPr>
          <w:rStyle w:val="FootnoteReference"/>
          <w:rFonts w:ascii="Times New Roman" w:hAnsi="Times New Roman" w:cs="Times New Roman"/>
          <w:iCs/>
        </w:rPr>
        <w:footnoteReference w:id="3"/>
      </w:r>
      <w:r w:rsidRPr="00EC63D3">
        <w:rPr>
          <w:rFonts w:ascii="Times New Roman" w:hAnsi="Times New Roman" w:cs="Times New Roman"/>
          <w:iCs/>
        </w:rPr>
        <w:t xml:space="preserve">  There were no trading fees nor interest paid on cash holdings. </w:t>
      </w:r>
    </w:p>
    <w:p w14:paraId="59EB4504" w14:textId="04D16557" w:rsidR="00855ABB" w:rsidRPr="00EC63D3" w:rsidRDefault="00855ABB" w:rsidP="00EC63D3">
      <w:pPr>
        <w:spacing w:line="360" w:lineRule="auto"/>
        <w:ind w:firstLine="720"/>
        <w:jc w:val="both"/>
        <w:rPr>
          <w:rFonts w:ascii="Times New Roman" w:hAnsi="Times New Roman" w:cs="Times New Roman"/>
        </w:rPr>
      </w:pPr>
      <w:r w:rsidRPr="00EC63D3">
        <w:rPr>
          <w:rFonts w:ascii="Times New Roman" w:hAnsi="Times New Roman" w:cs="Times New Roman"/>
          <w:iCs/>
        </w:rPr>
        <w:t xml:space="preserve">At the end of the market, the experimenter bought back the assets held in the inventories of each trader.  The price paid, and thus fundamental value, for each asset was called the </w:t>
      </w:r>
      <w:r w:rsidRPr="00EC63D3">
        <w:rPr>
          <w:rFonts w:ascii="Times New Roman" w:hAnsi="Times New Roman" w:cs="Times New Roman"/>
        </w:rPr>
        <w:t xml:space="preserve">End of Market Buyout Value, which equaled 100 francs plus the sum of fifteen random draws that occurred at the end of each period </w:t>
      </w:r>
      <w:r w:rsidR="001E5147" w:rsidRPr="001E5147">
        <w:rPr>
          <w:rFonts w:ascii="Times New Roman" w:hAnsi="Times New Roman" w:cs="Times New Roman"/>
        </w:rPr>
        <w:t>(</w:t>
      </w:r>
      <w:proofErr w:type="spellStart"/>
      <w:r w:rsidR="001E5147" w:rsidRPr="001E5147">
        <w:rPr>
          <w:rFonts w:ascii="Times New Roman" w:hAnsi="Times New Roman" w:cs="Times New Roman"/>
        </w:rPr>
        <w:t>Kirchler</w:t>
      </w:r>
      <w:proofErr w:type="spellEnd"/>
      <w:r w:rsidR="001E5147" w:rsidRPr="001E5147">
        <w:rPr>
          <w:rFonts w:ascii="Times New Roman" w:hAnsi="Times New Roman" w:cs="Times New Roman"/>
        </w:rPr>
        <w:t xml:space="preserve">, 2009; </w:t>
      </w:r>
      <w:proofErr w:type="spellStart"/>
      <w:r w:rsidR="001E5147" w:rsidRPr="001E5147">
        <w:rPr>
          <w:rFonts w:ascii="Times New Roman" w:hAnsi="Times New Roman" w:cs="Times New Roman"/>
        </w:rPr>
        <w:t>Noussair</w:t>
      </w:r>
      <w:proofErr w:type="spellEnd"/>
      <w:r w:rsidR="001E5147" w:rsidRPr="001E5147">
        <w:rPr>
          <w:rFonts w:ascii="Times New Roman" w:hAnsi="Times New Roman" w:cs="Times New Roman"/>
        </w:rPr>
        <w:t xml:space="preserve"> et al., 2022)</w:t>
      </w:r>
      <w:r w:rsidRPr="00EC63D3">
        <w:rPr>
          <w:rFonts w:ascii="Times New Roman" w:hAnsi="Times New Roman" w:cs="Times New Roman"/>
        </w:rPr>
        <w:t>.</w:t>
      </w:r>
      <w:r w:rsidRPr="00EC63D3">
        <w:rPr>
          <w:rStyle w:val="FootnoteReference"/>
          <w:rFonts w:ascii="Times New Roman" w:hAnsi="Times New Roman" w:cs="Times New Roman"/>
        </w:rPr>
        <w:footnoteReference w:id="4"/>
      </w:r>
      <w:r w:rsidRPr="00EC63D3">
        <w:rPr>
          <w:rFonts w:ascii="Times New Roman" w:hAnsi="Times New Roman" w:cs="Times New Roman"/>
        </w:rPr>
        <w:t xml:space="preserve"> The asset’s fundamental value (</w:t>
      </w:r>
      <m:oMath>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oMath>
      <w:r w:rsidRPr="00EC63D3">
        <w:rPr>
          <w:rFonts w:ascii="Times New Roman" w:hAnsi="Times New Roman" w:cs="Times New Roman"/>
        </w:rPr>
        <w:t xml:space="preserve">) in any given period, </w:t>
      </w:r>
      <w:r w:rsidRPr="00EC63D3">
        <w:rPr>
          <w:rFonts w:ascii="Times New Roman" w:hAnsi="Times New Roman" w:cs="Times New Roman"/>
          <w:i/>
          <w:iCs/>
        </w:rPr>
        <w:t>t</w:t>
      </w:r>
      <w:r w:rsidRPr="00EC63D3">
        <w:rPr>
          <w:rFonts w:ascii="Times New Roman" w:hAnsi="Times New Roman" w:cs="Times New Roman"/>
        </w:rPr>
        <w:t xml:space="preserve"> was calculated as</w:t>
      </w:r>
    </w:p>
    <w:p w14:paraId="31C39C7F" w14:textId="77777777" w:rsidR="00855ABB" w:rsidRPr="00EC63D3" w:rsidRDefault="00D71E3F" w:rsidP="00EC63D3">
      <w:pPr>
        <w:spacing w:line="360" w:lineRule="auto"/>
        <w:ind w:firstLine="72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BV</m:t>
              </m:r>
            </m:e>
            <m:sub>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e>
              </m:d>
            </m:e>
            <m:sup>
              <m:d>
                <m:dPr>
                  <m:ctrlPr>
                    <w:rPr>
                      <w:rFonts w:ascii="Cambria Math" w:hAnsi="Cambria Math" w:cs="Times New Roman"/>
                      <w:i/>
                    </w:rPr>
                  </m:ctrlPr>
                </m:dPr>
                <m:e>
                  <m:r>
                    <w:rPr>
                      <w:rFonts w:ascii="Cambria Math" w:hAnsi="Cambria Math" w:cs="Times New Roman"/>
                    </w:rPr>
                    <m:t>T</m:t>
                  </m:r>
                  <m:r>
                    <w:rPr>
                      <w:rFonts w:ascii="Cambria Math" w:hAnsi="Cambria Math" w:cs="Times New Roman"/>
                    </w:rPr>
                    <m:t>-</m:t>
                  </m:r>
                  <m:r>
                    <w:rPr>
                      <w:rFonts w:ascii="Cambria Math" w:hAnsi="Cambria Math" w:cs="Times New Roman"/>
                    </w:rPr>
                    <m:t>(</m:t>
                  </m:r>
                  <m:r>
                    <w:rPr>
                      <w:rFonts w:ascii="Cambria Math" w:hAnsi="Cambria Math" w:cs="Times New Roman"/>
                    </w:rPr>
                    <m:t>t</m:t>
                  </m:r>
                  <m:r>
                    <w:rPr>
                      <w:rFonts w:ascii="Cambria Math" w:hAnsi="Cambria Math" w:cs="Times New Roman"/>
                    </w:rPr>
                    <m:t>-</m:t>
                  </m:r>
                  <m:r>
                    <w:rPr>
                      <w:rFonts w:ascii="Cambria Math" w:hAnsi="Cambria Math" w:cs="Times New Roman"/>
                    </w:rPr>
                    <m:t>1)</m:t>
                  </m:r>
                </m:e>
              </m:d>
            </m:sup>
          </m:sSup>
        </m:oMath>
      </m:oMathPara>
    </w:p>
    <w:p w14:paraId="417DD94F" w14:textId="77777777" w:rsidR="00474A24" w:rsidRPr="00EC63D3" w:rsidRDefault="00855ABB" w:rsidP="00EC63D3">
      <w:pPr>
        <w:spacing w:line="360" w:lineRule="auto"/>
        <w:jc w:val="both"/>
        <w:rPr>
          <w:rFonts w:ascii="Times New Roman" w:hAnsi="Times New Roman" w:cs="Times New Roman"/>
        </w:rPr>
      </w:pPr>
      <w:r w:rsidRPr="00EC63D3">
        <w:rPr>
          <w:rFonts w:ascii="Times New Roman" w:hAnsi="Times New Roman" w:cs="Times New Roman"/>
          <w:iCs/>
        </w:rPr>
        <w:t xml:space="preserve">where </w:t>
      </w:r>
      <w:r w:rsidRPr="00EC63D3">
        <w:rPr>
          <w:rFonts w:ascii="Times New Roman" w:hAnsi="Times New Roman" w:cs="Times New Roman"/>
          <w:i/>
        </w:rPr>
        <w:t>ɛ</w:t>
      </w:r>
      <w:r w:rsidRPr="00EC63D3">
        <w:rPr>
          <w:rFonts w:ascii="Times New Roman" w:hAnsi="Times New Roman" w:cs="Times New Roman"/>
          <w:iCs/>
        </w:rPr>
        <w:t xml:space="preserve"> was randomly drawn at the end of each period and followed </w:t>
      </w:r>
      <w:r w:rsidRPr="00EC63D3">
        <w:rPr>
          <w:rFonts w:ascii="Times New Roman" w:hAnsi="Times New Roman" w:cs="Times New Roman"/>
        </w:rPr>
        <w:t xml:space="preserve">a normal distribution with an average of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m:t>
        </m:r>
      </m:oMath>
      <w:r w:rsidRPr="00EC63D3">
        <w:rPr>
          <w:rFonts w:ascii="Times New Roman" w:hAnsi="Times New Roman" w:cs="Times New Roman"/>
        </w:rPr>
        <w:t>9.80% and a standard deviation of 19.55%.</w:t>
      </w:r>
      <w:r w:rsidRPr="00EC63D3">
        <w:rPr>
          <w:rStyle w:val="FootnoteReference"/>
          <w:rFonts w:ascii="Times New Roman" w:hAnsi="Times New Roman" w:cs="Times New Roman"/>
        </w:rPr>
        <w:footnoteReference w:id="5"/>
      </w:r>
      <w:r w:rsidRPr="00EC63D3">
        <w:rPr>
          <w:rFonts w:ascii="Times New Roman" w:hAnsi="Times New Roman" w:cs="Times New Roman"/>
        </w:rPr>
        <w:t xml:space="preserve"> The </w:t>
      </w:r>
      <w:r w:rsidR="00474A24" w:rsidRPr="00EC63D3">
        <w:rPr>
          <w:rFonts w:ascii="Times New Roman" w:hAnsi="Times New Roman" w:cs="Times New Roman"/>
        </w:rPr>
        <w:t xml:space="preserve">fundamentals, or what we called the </w:t>
      </w:r>
      <w:r w:rsidRPr="00EC63D3">
        <w:rPr>
          <w:rFonts w:ascii="Times New Roman" w:hAnsi="Times New Roman" w:cs="Times New Roman"/>
        </w:rPr>
        <w:t>expected End-of-Market Buyout Value for the given period (at the end of period 15)</w:t>
      </w:r>
      <w:r w:rsidR="00474A24" w:rsidRPr="00EC63D3">
        <w:rPr>
          <w:rFonts w:ascii="Times New Roman" w:hAnsi="Times New Roman" w:cs="Times New Roman"/>
        </w:rPr>
        <w:t>, was</w:t>
      </w:r>
      <w:r w:rsidRPr="00EC63D3">
        <w:rPr>
          <w:rFonts w:ascii="Times New Roman" w:hAnsi="Times New Roman" w:cs="Times New Roman"/>
        </w:rPr>
        <w:t xml:space="preserve"> calculated and displayed on each trader’s bidding screen.  </w:t>
      </w:r>
    </w:p>
    <w:p w14:paraId="38577925" w14:textId="22006AD8" w:rsidR="00855ABB" w:rsidRPr="00EC63D3" w:rsidRDefault="00855ABB" w:rsidP="00EC63D3">
      <w:pPr>
        <w:spacing w:line="360" w:lineRule="auto"/>
        <w:ind w:firstLine="720"/>
        <w:jc w:val="both"/>
        <w:rPr>
          <w:rFonts w:ascii="Times New Roman" w:hAnsi="Times New Roman" w:cs="Times New Roman"/>
        </w:rPr>
      </w:pPr>
      <w:r w:rsidRPr="00EC63D3">
        <w:rPr>
          <w:rFonts w:ascii="Times New Roman" w:hAnsi="Times New Roman" w:cs="Times New Roman"/>
        </w:rPr>
        <w:lastRenderedPageBreak/>
        <w:t>The End-of-Period Buyout Value</w:t>
      </w:r>
      <w:r w:rsidR="00AB0115" w:rsidRPr="00EC63D3">
        <w:rPr>
          <w:rFonts w:ascii="Times New Roman" w:hAnsi="Times New Roman" w:cs="Times New Roman"/>
        </w:rPr>
        <w:t xml:space="preserve"> followed a random walk and </w:t>
      </w:r>
      <w:r w:rsidRPr="00EC63D3">
        <w:rPr>
          <w:rFonts w:ascii="Times New Roman" w:hAnsi="Times New Roman" w:cs="Times New Roman"/>
        </w:rPr>
        <w:t>was also presented on each trader’s bidding screen</w:t>
      </w:r>
      <w:r w:rsidR="00C76953" w:rsidRPr="00EC63D3">
        <w:rPr>
          <w:rFonts w:ascii="Times New Roman" w:hAnsi="Times New Roman" w:cs="Times New Roman"/>
        </w:rPr>
        <w:t>. F</w:t>
      </w:r>
      <w:r w:rsidRPr="00EC63D3">
        <w:rPr>
          <w:rFonts w:ascii="Times New Roman" w:hAnsi="Times New Roman" w:cs="Times New Roman"/>
        </w:rPr>
        <w:t xml:space="preserve">or </w:t>
      </w:r>
      <w:r w:rsidR="00C76953" w:rsidRPr="00EC63D3">
        <w:rPr>
          <w:rFonts w:ascii="Times New Roman" w:hAnsi="Times New Roman" w:cs="Times New Roman"/>
        </w:rPr>
        <w:t xml:space="preserve">any </w:t>
      </w:r>
      <w:r w:rsidRPr="00EC63D3">
        <w:rPr>
          <w:rFonts w:ascii="Times New Roman" w:hAnsi="Times New Roman" w:cs="Times New Roman"/>
        </w:rPr>
        <w:t xml:space="preserve">given period </w:t>
      </w:r>
      <w:r w:rsidRPr="00EC63D3">
        <w:rPr>
          <w:rFonts w:ascii="Times New Roman" w:hAnsi="Times New Roman" w:cs="Times New Roman"/>
          <w:i/>
          <w:iCs/>
        </w:rPr>
        <w:t>t</w:t>
      </w:r>
      <w:r w:rsidRPr="00EC63D3">
        <w:rPr>
          <w:rFonts w:ascii="Times New Roman" w:hAnsi="Times New Roman" w:cs="Times New Roman"/>
        </w:rPr>
        <w:t xml:space="preserve">, </w:t>
      </w:r>
      <w:proofErr w:type="spellStart"/>
      <w:r w:rsidR="00C76953" w:rsidRPr="00EC63D3">
        <w:rPr>
          <w:rFonts w:ascii="Times New Roman" w:hAnsi="Times New Roman" w:cs="Times New Roman"/>
          <w:i/>
          <w:iCs/>
        </w:rPr>
        <w:t>BV</w:t>
      </w:r>
      <w:r w:rsidR="00C76953" w:rsidRPr="00EC63D3">
        <w:rPr>
          <w:rFonts w:ascii="Times New Roman" w:hAnsi="Times New Roman" w:cs="Times New Roman"/>
          <w:i/>
          <w:iCs/>
          <w:vertAlign w:val="subscript"/>
        </w:rPr>
        <w:t>t</w:t>
      </w:r>
      <w:proofErr w:type="spellEnd"/>
      <w:r w:rsidR="00C76953" w:rsidRPr="00EC63D3">
        <w:rPr>
          <w:rFonts w:ascii="Times New Roman" w:hAnsi="Times New Roman" w:cs="Times New Roman"/>
        </w:rPr>
        <w:t xml:space="preserve"> follows a process that is described as  </w:t>
      </w:r>
    </w:p>
    <w:p w14:paraId="0ECF6573" w14:textId="77777777" w:rsidR="00855ABB" w:rsidRPr="00EC63D3" w:rsidRDefault="00D71E3F" w:rsidP="00EC63D3">
      <w:pPr>
        <w:spacing w:line="360" w:lineRule="auto"/>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BV</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BV</m:t>
            </m:r>
          </m:e>
          <m:sub>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e>
        </m:d>
      </m:oMath>
      <w:r w:rsidR="00855ABB" w:rsidRPr="00EC63D3">
        <w:rPr>
          <w:rFonts w:ascii="Times New Roman" w:hAnsi="Times New Roman" w:cs="Times New Roman"/>
        </w:rPr>
        <w:t>.</w:t>
      </w:r>
    </w:p>
    <w:p w14:paraId="45739A8F" w14:textId="77777777" w:rsidR="00855ABB" w:rsidRPr="00EC63D3" w:rsidRDefault="00855ABB" w:rsidP="00EC63D3">
      <w:pPr>
        <w:spacing w:line="360" w:lineRule="auto"/>
        <w:ind w:firstLine="720"/>
        <w:jc w:val="both"/>
        <w:rPr>
          <w:rFonts w:ascii="Times New Roman" w:hAnsi="Times New Roman" w:cs="Times New Roman"/>
        </w:rPr>
      </w:pPr>
      <w:r w:rsidRPr="00EC63D3">
        <w:rPr>
          <w:rFonts w:ascii="Times New Roman" w:hAnsi="Times New Roman" w:cs="Times New Roman"/>
          <w:iCs/>
        </w:rPr>
        <w:t xml:space="preserve">The closed-book call market trading institution was used across all markets (Smith et al., 2000; Friedman, 1993; Cason and Friedman, 1997).  In each period, traders simultaneously decided whether to submit an offer to buy or an offer to sell or not to trade.  An offer to buy consists of a maximum quantity they are willing to purchase and a maximum per unit price they are willing to pay for those units.  Similarly, an offer to sell consists of a maximum quantity that they are willing to sell and a minimum per unit price that they are willing to sell each of those units. If a trader did not want to trade in a period, they had the option to click a button labelled “I do not want to trade”.  Once all the traders have made their decisions, the computer creates demand and supply schedules from the submitted offers to buy and sell.  A uniform market price is calculated as the lowest price that clears the market.  Traders with offers to buy (sell) greater (less) than or equal to the market clearing price made purchases (sales).  </w:t>
      </w:r>
      <w:r w:rsidRPr="00EC63D3">
        <w:rPr>
          <w:rFonts w:ascii="Times New Roman" w:hAnsi="Times New Roman" w:cs="Times New Roman"/>
        </w:rPr>
        <w:t>In the event of excess supply or demand at the market clearing price, successful orders were selected in the order in which they were submitted.</w:t>
      </w:r>
    </w:p>
    <w:p w14:paraId="7EFD391C" w14:textId="77777777" w:rsidR="00855ABB" w:rsidRPr="00EC63D3" w:rsidRDefault="00855ABB" w:rsidP="00EC63D3">
      <w:pPr>
        <w:spacing w:line="360" w:lineRule="auto"/>
        <w:ind w:firstLine="720"/>
        <w:jc w:val="both"/>
        <w:rPr>
          <w:rFonts w:ascii="Times New Roman" w:hAnsi="Times New Roman" w:cs="Times New Roman"/>
          <w:iCs/>
        </w:rPr>
      </w:pPr>
      <w:r w:rsidRPr="00EC63D3">
        <w:rPr>
          <w:rFonts w:ascii="Times New Roman" w:hAnsi="Times New Roman" w:cs="Times New Roman"/>
        </w:rPr>
        <w:t xml:space="preserve">The experiment consisted of three treatments with quality of available AI assistance as the treatment variable: </w:t>
      </w:r>
      <w:r w:rsidRPr="00EC63D3">
        <w:rPr>
          <w:rFonts w:ascii="Times New Roman" w:hAnsi="Times New Roman" w:cs="Times New Roman"/>
          <w:i/>
          <w:iCs/>
        </w:rPr>
        <w:t>No AI</w:t>
      </w:r>
      <w:r w:rsidRPr="00EC63D3">
        <w:rPr>
          <w:rFonts w:ascii="Times New Roman" w:hAnsi="Times New Roman" w:cs="Times New Roman"/>
        </w:rPr>
        <w:t xml:space="preserve"> (</w:t>
      </w:r>
      <w:r w:rsidRPr="00EC63D3">
        <w:rPr>
          <w:rFonts w:ascii="Times New Roman" w:hAnsi="Times New Roman" w:cs="Times New Roman"/>
          <w:i/>
          <w:iCs/>
        </w:rPr>
        <w:t>NAI</w:t>
      </w:r>
      <w:r w:rsidRPr="00EC63D3">
        <w:rPr>
          <w:rFonts w:ascii="Times New Roman" w:hAnsi="Times New Roman" w:cs="Times New Roman"/>
        </w:rPr>
        <w:t xml:space="preserve">), </w:t>
      </w:r>
      <w:r w:rsidRPr="00EC63D3">
        <w:rPr>
          <w:rFonts w:ascii="Times New Roman" w:hAnsi="Times New Roman" w:cs="Times New Roman"/>
          <w:i/>
          <w:iCs/>
        </w:rPr>
        <w:t xml:space="preserve">Good AI </w:t>
      </w:r>
      <w:r w:rsidRPr="00EC63D3">
        <w:rPr>
          <w:rFonts w:ascii="Times New Roman" w:hAnsi="Times New Roman" w:cs="Times New Roman"/>
        </w:rPr>
        <w:t>(</w:t>
      </w:r>
      <w:r w:rsidRPr="00EC63D3">
        <w:rPr>
          <w:rFonts w:ascii="Times New Roman" w:hAnsi="Times New Roman" w:cs="Times New Roman"/>
          <w:i/>
          <w:iCs/>
        </w:rPr>
        <w:t>GAI</w:t>
      </w:r>
      <w:r w:rsidRPr="00EC63D3">
        <w:rPr>
          <w:rFonts w:ascii="Times New Roman" w:hAnsi="Times New Roman" w:cs="Times New Roman"/>
        </w:rPr>
        <w:t xml:space="preserve">), and </w:t>
      </w:r>
      <w:r w:rsidRPr="00EC63D3">
        <w:rPr>
          <w:rFonts w:ascii="Times New Roman" w:hAnsi="Times New Roman" w:cs="Times New Roman"/>
          <w:i/>
          <w:iCs/>
        </w:rPr>
        <w:t xml:space="preserve">Bad AI </w:t>
      </w:r>
      <w:r w:rsidRPr="00EC63D3">
        <w:rPr>
          <w:rFonts w:ascii="Times New Roman" w:hAnsi="Times New Roman" w:cs="Times New Roman"/>
        </w:rPr>
        <w:t>(</w:t>
      </w:r>
      <w:r w:rsidRPr="00EC63D3">
        <w:rPr>
          <w:rFonts w:ascii="Times New Roman" w:hAnsi="Times New Roman" w:cs="Times New Roman"/>
          <w:i/>
          <w:iCs/>
        </w:rPr>
        <w:t>BAI</w:t>
      </w:r>
      <w:r w:rsidRPr="00EC63D3">
        <w:rPr>
          <w:rFonts w:ascii="Times New Roman" w:hAnsi="Times New Roman" w:cs="Times New Roman"/>
        </w:rPr>
        <w:t xml:space="preserve">).  In the baseline </w:t>
      </w:r>
      <w:r w:rsidRPr="00EC63D3">
        <w:rPr>
          <w:rFonts w:ascii="Times New Roman" w:hAnsi="Times New Roman" w:cs="Times New Roman"/>
          <w:i/>
          <w:iCs/>
        </w:rPr>
        <w:t>NAI</w:t>
      </w:r>
      <w:r w:rsidRPr="00EC63D3">
        <w:rPr>
          <w:rFonts w:ascii="Times New Roman" w:hAnsi="Times New Roman" w:cs="Times New Roman"/>
        </w:rPr>
        <w:t xml:space="preserve">, traders did not have access to AI assistance and made decisions using only the information provided.  </w:t>
      </w:r>
      <w:r w:rsidRPr="00EC63D3">
        <w:rPr>
          <w:rFonts w:ascii="Times New Roman" w:hAnsi="Times New Roman" w:cs="Times New Roman"/>
          <w:iCs/>
        </w:rPr>
        <w:t>In both AI treatments, participants received the same information as the baseline and were also allowed to consult with the AI up to five times per period. They could select from two default questions or submit their own formulated query.  The default questions were “</w:t>
      </w:r>
      <w:r w:rsidRPr="00EC63D3">
        <w:rPr>
          <w:rFonts w:ascii="Times New Roman" w:hAnsi="Times New Roman" w:cs="Times New Roman"/>
          <w:i/>
        </w:rPr>
        <w:t>If I want to sell, what should I do?</w:t>
      </w:r>
      <w:r w:rsidRPr="00EC63D3">
        <w:rPr>
          <w:rFonts w:ascii="Times New Roman" w:hAnsi="Times New Roman" w:cs="Times New Roman"/>
          <w:iCs/>
        </w:rPr>
        <w:t>” and “</w:t>
      </w:r>
      <w:r w:rsidRPr="00EC63D3">
        <w:rPr>
          <w:rFonts w:ascii="Times New Roman" w:hAnsi="Times New Roman" w:cs="Times New Roman"/>
          <w:i/>
        </w:rPr>
        <w:t>If I want to buy, what should I do?</w:t>
      </w:r>
      <w:r w:rsidRPr="00EC63D3">
        <w:rPr>
          <w:rFonts w:ascii="Times New Roman" w:hAnsi="Times New Roman" w:cs="Times New Roman"/>
          <w:iCs/>
        </w:rPr>
        <w:t>”</w:t>
      </w:r>
    </w:p>
    <w:p w14:paraId="5384ED38" w14:textId="4666A002" w:rsidR="00855ABB" w:rsidRPr="00EC63D3" w:rsidRDefault="00855ABB" w:rsidP="00EC63D3">
      <w:pPr>
        <w:spacing w:line="360" w:lineRule="auto"/>
        <w:ind w:firstLine="720"/>
        <w:jc w:val="both"/>
        <w:rPr>
          <w:rFonts w:ascii="Times New Roman" w:hAnsi="Times New Roman" w:cs="Times New Roman"/>
          <w:iCs/>
        </w:rPr>
      </w:pPr>
      <w:r w:rsidRPr="00EC63D3">
        <w:rPr>
          <w:rFonts w:ascii="Times New Roman" w:hAnsi="Times New Roman" w:cs="Times New Roman"/>
          <w:iCs/>
        </w:rPr>
        <w:t xml:space="preserve">Each AI advisor was programmed to receive the same instructions and data as their trader for each period.  More specifically, a given AI advisor only used public information (e.g., experiment instructions, history of market clearing prices, history of buyout values, </w:t>
      </w:r>
      <w:proofErr w:type="spellStart"/>
      <w:r w:rsidRPr="00EC63D3">
        <w:rPr>
          <w:rFonts w:ascii="Times New Roman" w:hAnsi="Times New Roman" w:cs="Times New Roman"/>
          <w:iCs/>
        </w:rPr>
        <w:t>etc</w:t>
      </w:r>
      <w:proofErr w:type="spellEnd"/>
      <w:r w:rsidRPr="00EC63D3">
        <w:rPr>
          <w:rFonts w:ascii="Times New Roman" w:hAnsi="Times New Roman" w:cs="Times New Roman"/>
          <w:iCs/>
        </w:rPr>
        <w:t xml:space="preserve">) and trader-specific private information (e.g., asset and cash balances, previous market interaction, previous and current AI queries, </w:t>
      </w:r>
      <w:proofErr w:type="spellStart"/>
      <w:r w:rsidRPr="00EC63D3">
        <w:rPr>
          <w:rFonts w:ascii="Times New Roman" w:hAnsi="Times New Roman" w:cs="Times New Roman"/>
          <w:iCs/>
        </w:rPr>
        <w:t>etc</w:t>
      </w:r>
      <w:proofErr w:type="spellEnd"/>
      <w:r w:rsidRPr="00EC63D3">
        <w:rPr>
          <w:rFonts w:ascii="Times New Roman" w:hAnsi="Times New Roman" w:cs="Times New Roman"/>
          <w:iCs/>
        </w:rPr>
        <w:t>).  At the end of each period, the AI information was automatically updated with new relevant market information just as their assigned trader was updated.</w:t>
      </w:r>
    </w:p>
    <w:p w14:paraId="4C3EF4D6" w14:textId="4373B8FE" w:rsidR="00BD6CAC" w:rsidRPr="00EC63D3" w:rsidRDefault="00855ABB" w:rsidP="00EC63D3">
      <w:pPr>
        <w:spacing w:line="360" w:lineRule="auto"/>
        <w:ind w:firstLine="720"/>
        <w:jc w:val="both"/>
        <w:rPr>
          <w:rFonts w:ascii="Times New Roman" w:hAnsi="Times New Roman" w:cs="Times New Roman"/>
          <w:iCs/>
        </w:rPr>
      </w:pPr>
      <w:r w:rsidRPr="00EC63D3">
        <w:rPr>
          <w:rFonts w:ascii="Times New Roman" w:hAnsi="Times New Roman" w:cs="Times New Roman"/>
          <w:iCs/>
        </w:rPr>
        <w:t xml:space="preserve">The two AI treatments differed in the quality and alignment of the advice provided. In the </w:t>
      </w:r>
      <w:r w:rsidRPr="00EC63D3">
        <w:rPr>
          <w:rFonts w:ascii="Times New Roman" w:hAnsi="Times New Roman" w:cs="Times New Roman"/>
          <w:i/>
        </w:rPr>
        <w:t>GAI</w:t>
      </w:r>
      <w:r w:rsidRPr="00EC63D3">
        <w:rPr>
          <w:rFonts w:ascii="Times New Roman" w:hAnsi="Times New Roman" w:cs="Times New Roman"/>
          <w:iCs/>
        </w:rPr>
        <w:t xml:space="preserve"> treatment, the advice was based on the asset’s fundamental value (FV). In contrast, the </w:t>
      </w:r>
      <w:r w:rsidRPr="00EC63D3">
        <w:rPr>
          <w:rFonts w:ascii="Times New Roman" w:hAnsi="Times New Roman" w:cs="Times New Roman"/>
          <w:i/>
        </w:rPr>
        <w:lastRenderedPageBreak/>
        <w:t>BAI</w:t>
      </w:r>
      <w:r w:rsidRPr="00EC63D3">
        <w:rPr>
          <w:rFonts w:ascii="Times New Roman" w:hAnsi="Times New Roman" w:cs="Times New Roman"/>
          <w:iCs/>
        </w:rPr>
        <w:t xml:space="preserve"> treatment offered advice aligned with the End of Period Buyout Value (BV). </w:t>
      </w:r>
      <w:r w:rsidR="00781E39" w:rsidRPr="00EC63D3">
        <w:rPr>
          <w:rFonts w:ascii="Times New Roman" w:hAnsi="Times New Roman" w:cs="Times New Roman"/>
          <w:iCs/>
        </w:rPr>
        <w:t xml:space="preserve"> </w:t>
      </w:r>
      <w:proofErr w:type="gramStart"/>
      <w:r w:rsidR="00781E39" w:rsidRPr="00EC63D3">
        <w:rPr>
          <w:rFonts w:ascii="Times New Roman" w:hAnsi="Times New Roman" w:cs="Times New Roman"/>
          <w:iCs/>
        </w:rPr>
        <w:t>In order to</w:t>
      </w:r>
      <w:proofErr w:type="gramEnd"/>
      <w:r w:rsidR="00781E39" w:rsidRPr="00EC63D3">
        <w:rPr>
          <w:rFonts w:ascii="Times New Roman" w:hAnsi="Times New Roman" w:cs="Times New Roman"/>
          <w:iCs/>
        </w:rPr>
        <w:t xml:space="preserve"> induce this difference in </w:t>
      </w:r>
      <w:r w:rsidR="00BD6CAC" w:rsidRPr="00EC63D3">
        <w:rPr>
          <w:rFonts w:ascii="Times New Roman" w:hAnsi="Times New Roman" w:cs="Times New Roman"/>
          <w:iCs/>
        </w:rPr>
        <w:t xml:space="preserve">the </w:t>
      </w:r>
      <w:r w:rsidR="00781E39" w:rsidRPr="00EC63D3">
        <w:rPr>
          <w:rFonts w:ascii="Times New Roman" w:hAnsi="Times New Roman" w:cs="Times New Roman"/>
          <w:iCs/>
        </w:rPr>
        <w:t xml:space="preserve">quality of advice by the AI advisor, we employed different AI models for each treatment.  For the GAI, we used </w:t>
      </w:r>
      <w:r w:rsidR="000259AA" w:rsidRPr="00EC63D3">
        <w:rPr>
          <w:rFonts w:ascii="Times New Roman" w:hAnsi="Times New Roman" w:cs="Times New Roman"/>
          <w:iCs/>
        </w:rPr>
        <w:t>the gpt-4.1-2025-04-14 model, while for the BAI treatment, we used the gpt-4o-2024-05-13 model</w:t>
      </w:r>
      <w:r w:rsidR="00781E39" w:rsidRPr="00EC63D3">
        <w:rPr>
          <w:rFonts w:ascii="Times New Roman" w:hAnsi="Times New Roman" w:cs="Times New Roman"/>
          <w:iCs/>
        </w:rPr>
        <w:t>. Pretesting of the models supported consistency with the respective treatment conditions.</w:t>
      </w:r>
      <w:r w:rsidR="00BD6CAC" w:rsidRPr="00EC63D3">
        <w:rPr>
          <w:rFonts w:ascii="Times New Roman" w:hAnsi="Times New Roman" w:cs="Times New Roman"/>
          <w:iCs/>
        </w:rPr>
        <w:t xml:space="preserve"> Subjects were not informed about the quality of the AI models, nor did we mention the specific name of the model.</w:t>
      </w:r>
      <w:r w:rsidR="00781E39" w:rsidRPr="00EC63D3">
        <w:rPr>
          <w:rFonts w:ascii="Times New Roman" w:hAnsi="Times New Roman" w:cs="Times New Roman"/>
          <w:iCs/>
        </w:rPr>
        <w:t xml:space="preserve"> </w:t>
      </w:r>
    </w:p>
    <w:p w14:paraId="586B6C1E" w14:textId="3B3C2A03" w:rsidR="00A229C0" w:rsidRPr="00EC63D3" w:rsidRDefault="00A229C0" w:rsidP="00EC63D3">
      <w:pPr>
        <w:spacing w:line="360" w:lineRule="auto"/>
        <w:ind w:firstLine="720"/>
        <w:jc w:val="both"/>
        <w:rPr>
          <w:rFonts w:ascii="Times New Roman" w:hAnsi="Times New Roman" w:cs="Times New Roman"/>
          <w:iCs/>
        </w:rPr>
      </w:pPr>
      <w:r w:rsidRPr="00EC63D3">
        <w:rPr>
          <w:rFonts w:ascii="Times New Roman" w:hAnsi="Times New Roman" w:cs="Times New Roman"/>
          <w:iCs/>
        </w:rPr>
        <w:t>The timing of events for each session was as follows.  (1) Participants were brought into the lab and chose a computer terminal for the session.  (2) Instructions were distributed</w:t>
      </w:r>
      <w:r w:rsidR="00AD4AFF" w:rsidRPr="00EC63D3">
        <w:rPr>
          <w:rFonts w:ascii="Times New Roman" w:hAnsi="Times New Roman" w:cs="Times New Roman"/>
          <w:iCs/>
        </w:rPr>
        <w:t>,</w:t>
      </w:r>
      <w:r w:rsidRPr="00EC63D3">
        <w:rPr>
          <w:rFonts w:ascii="Times New Roman" w:hAnsi="Times New Roman" w:cs="Times New Roman"/>
          <w:iCs/>
        </w:rPr>
        <w:t xml:space="preserve"> and participants were provided approximately 15 minutes to read through the instructions on their own.</w:t>
      </w:r>
      <w:r w:rsidRPr="00EC63D3">
        <w:rPr>
          <w:rStyle w:val="FootnoteReference"/>
          <w:rFonts w:ascii="Times New Roman" w:hAnsi="Times New Roman" w:cs="Times New Roman"/>
          <w:iCs/>
        </w:rPr>
        <w:footnoteReference w:id="6"/>
      </w:r>
      <w:r w:rsidRPr="00EC63D3">
        <w:rPr>
          <w:rFonts w:ascii="Times New Roman" w:hAnsi="Times New Roman" w:cs="Times New Roman"/>
          <w:iCs/>
        </w:rPr>
        <w:t xml:space="preserve">  (3) The experimenter summarized the main features of the market and reviewed the market interface via screenshots presented on the overhead.  Participants were encouraged to ask questions (to be addressed privately) throughout the experiment.  (4) A computerized short quiz</w:t>
      </w:r>
      <w:r w:rsidRPr="00EC63D3">
        <w:rPr>
          <w:rStyle w:val="FootnoteReference"/>
          <w:rFonts w:ascii="Times New Roman" w:hAnsi="Times New Roman" w:cs="Times New Roman"/>
          <w:iCs/>
        </w:rPr>
        <w:footnoteReference w:id="7"/>
      </w:r>
      <w:r w:rsidRPr="00EC63D3">
        <w:rPr>
          <w:rFonts w:ascii="Times New Roman" w:hAnsi="Times New Roman" w:cs="Times New Roman"/>
          <w:iCs/>
        </w:rPr>
        <w:t xml:space="preserve"> focused on the dividend process was administered.  If a participant answered a quiz question incorrectly, they were directed to the specific section of the instructions to review the concept and then asked the question again.  If a participant answered incorrectly three times in a row, the program prompted them to raise their hand for explanation by the experimenter.  (5) Once all participants correctly answered the quiz comprehension questions, they proceeded to a practice round.  (6) Upon completion of the practice round, cash balances and asset inventories were reset for the start of the first trading period.  The trading market was conducted. (7) After the market completed, an incentivized seven-item Cognitive Reflection Test (CRT-7) was administered </w:t>
      </w:r>
      <w:r w:rsidR="001E5147" w:rsidRPr="001E5147">
        <w:rPr>
          <w:rFonts w:ascii="Times New Roman" w:hAnsi="Times New Roman" w:cs="Times New Roman"/>
          <w:iCs/>
        </w:rPr>
        <w:t>(Toplak et al., 2014)</w:t>
      </w:r>
      <w:r w:rsidRPr="00EC63D3">
        <w:rPr>
          <w:rFonts w:ascii="Times New Roman" w:hAnsi="Times New Roman" w:cs="Times New Roman"/>
          <w:iCs/>
        </w:rPr>
        <w:t xml:space="preserve"> in which participants earned $0.5 </w:t>
      </w:r>
      <w:r w:rsidR="00761E3D" w:rsidRPr="00EC63D3">
        <w:rPr>
          <w:rFonts w:ascii="Times New Roman" w:hAnsi="Times New Roman" w:cs="Times New Roman"/>
          <w:iCs/>
        </w:rPr>
        <w:t>NZD</w:t>
      </w:r>
      <w:r w:rsidRPr="00EC63D3">
        <w:rPr>
          <w:rFonts w:ascii="Times New Roman" w:hAnsi="Times New Roman" w:cs="Times New Roman"/>
          <w:iCs/>
        </w:rPr>
        <w:t xml:space="preserve"> for each correct answer. (8) Participants were privately paid their cash earnings and then left the experiment.</w:t>
      </w:r>
    </w:p>
    <w:p w14:paraId="550CA82D" w14:textId="2A3B9CB9" w:rsidR="00751D06" w:rsidRPr="00EC63D3" w:rsidRDefault="00751D06" w:rsidP="00EC63D3">
      <w:pPr>
        <w:spacing w:line="360" w:lineRule="auto"/>
        <w:jc w:val="both"/>
        <w:rPr>
          <w:rFonts w:ascii="Times New Roman" w:hAnsi="Times New Roman" w:cs="Times New Roman"/>
          <w:b/>
          <w:bCs/>
          <w:iCs/>
        </w:rPr>
      </w:pPr>
      <w:r w:rsidRPr="00EC63D3">
        <w:rPr>
          <w:rFonts w:ascii="Times New Roman" w:hAnsi="Times New Roman" w:cs="Times New Roman"/>
          <w:b/>
          <w:bCs/>
          <w:iCs/>
        </w:rPr>
        <w:t>The quality of AI output</w:t>
      </w:r>
    </w:p>
    <w:p w14:paraId="63DE1137" w14:textId="1EEE580C" w:rsidR="00781E39" w:rsidRPr="00EC63D3" w:rsidRDefault="00BD6CAC" w:rsidP="00C87A3B">
      <w:pPr>
        <w:spacing w:line="360" w:lineRule="auto"/>
        <w:jc w:val="both"/>
        <w:rPr>
          <w:rFonts w:ascii="Times New Roman" w:hAnsi="Times New Roman" w:cs="Times New Roman"/>
          <w:iCs/>
        </w:rPr>
      </w:pPr>
      <w:r w:rsidRPr="00EC63D3">
        <w:rPr>
          <w:rFonts w:ascii="Times New Roman" w:hAnsi="Times New Roman" w:cs="Times New Roman"/>
          <w:iCs/>
        </w:rPr>
        <w:t xml:space="preserve">For our analysis, </w:t>
      </w:r>
      <w:r w:rsidR="00781E39" w:rsidRPr="00EC63D3">
        <w:rPr>
          <w:rFonts w:ascii="Times New Roman" w:hAnsi="Times New Roman" w:cs="Times New Roman"/>
          <w:iCs/>
        </w:rPr>
        <w:t xml:space="preserve">it is </w:t>
      </w:r>
      <w:r w:rsidR="004D7DCB" w:rsidRPr="00EC63D3">
        <w:rPr>
          <w:rFonts w:ascii="Times New Roman" w:hAnsi="Times New Roman" w:cs="Times New Roman"/>
          <w:iCs/>
        </w:rPr>
        <w:t xml:space="preserve">critical to understand the quality of advice participants </w:t>
      </w:r>
      <w:proofErr w:type="gramStart"/>
      <w:r w:rsidR="004D7DCB" w:rsidRPr="00EC63D3">
        <w:rPr>
          <w:rFonts w:ascii="Times New Roman" w:hAnsi="Times New Roman" w:cs="Times New Roman"/>
          <w:iCs/>
        </w:rPr>
        <w:t>actually received</w:t>
      </w:r>
      <w:proofErr w:type="gramEnd"/>
      <w:r w:rsidR="004D7DCB" w:rsidRPr="00EC63D3">
        <w:rPr>
          <w:rFonts w:ascii="Times New Roman" w:hAnsi="Times New Roman" w:cs="Times New Roman"/>
          <w:iCs/>
        </w:rPr>
        <w:t xml:space="preserve"> in each treatment to formulate predictions about</w:t>
      </w:r>
      <w:r w:rsidR="00781E39" w:rsidRPr="00EC63D3">
        <w:rPr>
          <w:rFonts w:ascii="Times New Roman" w:hAnsi="Times New Roman" w:cs="Times New Roman"/>
          <w:iCs/>
        </w:rPr>
        <w:t xml:space="preserve"> behavior</w:t>
      </w:r>
      <w:r w:rsidR="004D7DCB" w:rsidRPr="00EC63D3">
        <w:rPr>
          <w:rFonts w:ascii="Times New Roman" w:hAnsi="Times New Roman" w:cs="Times New Roman"/>
          <w:iCs/>
        </w:rPr>
        <w:t xml:space="preserve"> resulting from interactions with AIs</w:t>
      </w:r>
      <w:r w:rsidR="00781E39" w:rsidRPr="00EC63D3">
        <w:rPr>
          <w:rFonts w:ascii="Times New Roman" w:hAnsi="Times New Roman" w:cs="Times New Roman"/>
          <w:iCs/>
        </w:rPr>
        <w:t xml:space="preserve">.  </w:t>
      </w:r>
      <w:r w:rsidR="00781E39" w:rsidRPr="00EC63D3">
        <w:rPr>
          <w:rFonts w:ascii="Times New Roman" w:hAnsi="Times New Roman" w:cs="Times New Roman"/>
          <w:bCs/>
        </w:rPr>
        <w:t xml:space="preserve">To </w:t>
      </w:r>
      <w:r w:rsidR="007E156E" w:rsidRPr="00EC63D3">
        <w:rPr>
          <w:rFonts w:ascii="Times New Roman" w:hAnsi="Times New Roman" w:cs="Times New Roman"/>
          <w:bCs/>
        </w:rPr>
        <w:t>this end</w:t>
      </w:r>
      <w:r w:rsidR="00781E39" w:rsidRPr="00EC63D3">
        <w:rPr>
          <w:rFonts w:ascii="Times New Roman" w:hAnsi="Times New Roman" w:cs="Times New Roman"/>
          <w:bCs/>
        </w:rPr>
        <w:t>, we classified the AI's advice at two levels of aggregation: the individual message level and the overall conversation level.</w:t>
      </w:r>
    </w:p>
    <w:p w14:paraId="594767BC" w14:textId="77777777" w:rsidR="00781E39" w:rsidRPr="00EC63D3" w:rsidRDefault="00781E39" w:rsidP="00EC63D3">
      <w:pPr>
        <w:spacing w:line="360" w:lineRule="auto"/>
        <w:ind w:firstLine="720"/>
        <w:jc w:val="both"/>
        <w:rPr>
          <w:rFonts w:ascii="Times New Roman" w:hAnsi="Times New Roman" w:cs="Times New Roman"/>
          <w:bCs/>
        </w:rPr>
      </w:pPr>
      <w:r w:rsidRPr="00EC63D3">
        <w:rPr>
          <w:rFonts w:ascii="Times New Roman" w:hAnsi="Times New Roman" w:cs="Times New Roman"/>
          <w:bCs/>
        </w:rPr>
        <w:t xml:space="preserve">First, at the message level, AI advice was categorized as </w:t>
      </w:r>
      <w:r w:rsidRPr="00EC63D3">
        <w:rPr>
          <w:rFonts w:ascii="Times New Roman" w:hAnsi="Times New Roman" w:cs="Times New Roman"/>
          <w:bCs/>
          <w:i/>
          <w:iCs/>
        </w:rPr>
        <w:t>consistent</w:t>
      </w:r>
      <w:r w:rsidRPr="00EC63D3">
        <w:rPr>
          <w:rFonts w:ascii="Times New Roman" w:hAnsi="Times New Roman" w:cs="Times New Roman"/>
          <w:bCs/>
        </w:rPr>
        <w:t xml:space="preserve">, </w:t>
      </w:r>
      <w:r w:rsidRPr="00EC63D3">
        <w:rPr>
          <w:rFonts w:ascii="Times New Roman" w:hAnsi="Times New Roman" w:cs="Times New Roman"/>
          <w:bCs/>
          <w:i/>
          <w:iCs/>
        </w:rPr>
        <w:t>inconsistent</w:t>
      </w:r>
      <w:r w:rsidRPr="00EC63D3">
        <w:rPr>
          <w:rFonts w:ascii="Times New Roman" w:hAnsi="Times New Roman" w:cs="Times New Roman"/>
          <w:bCs/>
        </w:rPr>
        <w:t xml:space="preserve">, or </w:t>
      </w:r>
      <w:r w:rsidRPr="00EC63D3">
        <w:rPr>
          <w:rFonts w:ascii="Times New Roman" w:hAnsi="Times New Roman" w:cs="Times New Roman"/>
          <w:bCs/>
          <w:i/>
          <w:iCs/>
        </w:rPr>
        <w:t>other</w:t>
      </w:r>
      <w:r w:rsidRPr="00EC63D3">
        <w:rPr>
          <w:rFonts w:ascii="Times New Roman" w:hAnsi="Times New Roman" w:cs="Times New Roman"/>
          <w:bCs/>
        </w:rPr>
        <w:t xml:space="preserve">, depending on its alignment with the reference value of the specific treatment. In the GAI </w:t>
      </w:r>
      <w:r w:rsidRPr="00EC63D3">
        <w:rPr>
          <w:rFonts w:ascii="Times New Roman" w:hAnsi="Times New Roman" w:cs="Times New Roman"/>
          <w:bCs/>
        </w:rPr>
        <w:lastRenderedPageBreak/>
        <w:t xml:space="preserve">treatment, advice was considered </w:t>
      </w:r>
      <w:r w:rsidRPr="00EC63D3">
        <w:rPr>
          <w:rFonts w:ascii="Times New Roman" w:hAnsi="Times New Roman" w:cs="Times New Roman"/>
          <w:bCs/>
          <w:i/>
          <w:iCs/>
        </w:rPr>
        <w:t>consistent</w:t>
      </w:r>
      <w:r w:rsidRPr="00EC63D3">
        <w:rPr>
          <w:rFonts w:ascii="Times New Roman" w:hAnsi="Times New Roman" w:cs="Times New Roman"/>
          <w:bCs/>
        </w:rPr>
        <w:t xml:space="preserve"> if it aligned with the Fundamental Value (FV) and </w:t>
      </w:r>
      <w:r w:rsidRPr="00EC63D3">
        <w:rPr>
          <w:rFonts w:ascii="Times New Roman" w:hAnsi="Times New Roman" w:cs="Times New Roman"/>
          <w:bCs/>
          <w:i/>
          <w:iCs/>
        </w:rPr>
        <w:t>inconsistent</w:t>
      </w:r>
      <w:r w:rsidRPr="00EC63D3">
        <w:rPr>
          <w:rFonts w:ascii="Times New Roman" w:hAnsi="Times New Roman" w:cs="Times New Roman"/>
          <w:bCs/>
        </w:rPr>
        <w:t xml:space="preserve"> if it aligned with the Buyout Value (BV). In the BAI treatment, these criteria were reversed: alignment with the BV was </w:t>
      </w:r>
      <w:r w:rsidRPr="00EC63D3">
        <w:rPr>
          <w:rFonts w:ascii="Times New Roman" w:hAnsi="Times New Roman" w:cs="Times New Roman"/>
          <w:bCs/>
          <w:i/>
          <w:iCs/>
        </w:rPr>
        <w:t>consistent</w:t>
      </w:r>
      <w:r w:rsidRPr="00EC63D3">
        <w:rPr>
          <w:rFonts w:ascii="Times New Roman" w:hAnsi="Times New Roman" w:cs="Times New Roman"/>
          <w:bCs/>
        </w:rPr>
        <w:t xml:space="preserve">, and alignment with the FV was </w:t>
      </w:r>
      <w:r w:rsidRPr="00EC63D3">
        <w:rPr>
          <w:rFonts w:ascii="Times New Roman" w:hAnsi="Times New Roman" w:cs="Times New Roman"/>
          <w:bCs/>
          <w:i/>
          <w:iCs/>
        </w:rPr>
        <w:t>inconsistent</w:t>
      </w:r>
      <w:r w:rsidRPr="00EC63D3">
        <w:rPr>
          <w:rFonts w:ascii="Times New Roman" w:hAnsi="Times New Roman" w:cs="Times New Roman"/>
          <w:bCs/>
        </w:rPr>
        <w:t xml:space="preserve">. Advice that could not be strictly classified into either category (e.g., general advice lacking reference values, recommendations to use both FV and BV, or suggestions based solely on the current market price) was classified as </w:t>
      </w:r>
      <w:r w:rsidRPr="00EC63D3">
        <w:rPr>
          <w:rFonts w:ascii="Times New Roman" w:hAnsi="Times New Roman" w:cs="Times New Roman"/>
          <w:bCs/>
          <w:i/>
          <w:iCs/>
        </w:rPr>
        <w:t>other</w:t>
      </w:r>
      <w:r w:rsidRPr="00EC63D3">
        <w:rPr>
          <w:rFonts w:ascii="Times New Roman" w:hAnsi="Times New Roman" w:cs="Times New Roman"/>
          <w:bCs/>
        </w:rPr>
        <w:t>.</w:t>
      </w:r>
    </w:p>
    <w:p w14:paraId="236381B2" w14:textId="41C05FA0" w:rsidR="00781E39" w:rsidRPr="00EC63D3" w:rsidRDefault="00781E39" w:rsidP="00EC63D3">
      <w:pPr>
        <w:spacing w:line="360" w:lineRule="auto"/>
        <w:ind w:firstLine="720"/>
        <w:jc w:val="both"/>
        <w:rPr>
          <w:rFonts w:ascii="Times New Roman" w:hAnsi="Times New Roman" w:cs="Times New Roman"/>
          <w:bCs/>
        </w:rPr>
      </w:pPr>
      <w:r w:rsidRPr="00EC63D3">
        <w:rPr>
          <w:rFonts w:ascii="Times New Roman" w:hAnsi="Times New Roman" w:cs="Times New Roman"/>
          <w:bCs/>
        </w:rPr>
        <w:t xml:space="preserve">Because participants could submit up to five queries within a single period, we aggregated these message-level classifications to construct a conversation-level measure, which serves as our primary unit of analysis. Prior to aggregation, we excluded interactions unrelated to market decisions, such as small talk, numerical calculations, experimental instructions, or AI responses </w:t>
      </w:r>
      <w:r w:rsidR="00751D06" w:rsidRPr="00EC63D3">
        <w:rPr>
          <w:rFonts w:ascii="Times New Roman" w:hAnsi="Times New Roman" w:cs="Times New Roman"/>
          <w:bCs/>
        </w:rPr>
        <w:t>for which participant</w:t>
      </w:r>
      <w:r w:rsidRPr="00EC63D3">
        <w:rPr>
          <w:rFonts w:ascii="Times New Roman" w:hAnsi="Times New Roman" w:cs="Times New Roman"/>
          <w:bCs/>
        </w:rPr>
        <w:t xml:space="preserve"> compliance could not be verified.</w:t>
      </w:r>
    </w:p>
    <w:p w14:paraId="3B7360CE" w14:textId="2D19C1B6" w:rsidR="00781E39" w:rsidRPr="00EC63D3" w:rsidRDefault="00781E39" w:rsidP="00EC63D3">
      <w:pPr>
        <w:spacing w:line="360" w:lineRule="auto"/>
        <w:ind w:firstLine="720"/>
        <w:jc w:val="both"/>
        <w:rPr>
          <w:rFonts w:ascii="Times New Roman" w:hAnsi="Times New Roman" w:cs="Times New Roman"/>
          <w:bCs/>
        </w:rPr>
      </w:pPr>
      <w:r w:rsidRPr="00EC63D3">
        <w:rPr>
          <w:rFonts w:ascii="Times New Roman" w:hAnsi="Times New Roman" w:cs="Times New Roman"/>
          <w:bCs/>
        </w:rPr>
        <w:t>The remaining message-level classifications were then aggregated into a conversation-level classification. The logic for this aggregation is uniform across both treatments, relative to their respective definitions of consistency:</w:t>
      </w:r>
    </w:p>
    <w:p w14:paraId="5455A231" w14:textId="77777777" w:rsidR="00781E39" w:rsidRPr="00EC63D3" w:rsidRDefault="00781E39" w:rsidP="00EC63D3">
      <w:pPr>
        <w:numPr>
          <w:ilvl w:val="0"/>
          <w:numId w:val="2"/>
        </w:numPr>
        <w:spacing w:line="360" w:lineRule="auto"/>
        <w:jc w:val="both"/>
        <w:rPr>
          <w:rFonts w:ascii="Times New Roman" w:hAnsi="Times New Roman" w:cs="Times New Roman"/>
          <w:bCs/>
        </w:rPr>
      </w:pPr>
      <w:r w:rsidRPr="00EC63D3">
        <w:rPr>
          <w:rFonts w:ascii="Times New Roman" w:hAnsi="Times New Roman" w:cs="Times New Roman"/>
          <w:b/>
          <w:bCs/>
        </w:rPr>
        <w:t>Consistent:</w:t>
      </w:r>
      <w:r w:rsidRPr="00EC63D3">
        <w:rPr>
          <w:rFonts w:ascii="Times New Roman" w:hAnsi="Times New Roman" w:cs="Times New Roman"/>
          <w:bCs/>
        </w:rPr>
        <w:t xml:space="preserve"> All specific advice within the conversation aligns with the treatment's </w:t>
      </w:r>
      <w:r w:rsidRPr="00EC63D3">
        <w:rPr>
          <w:rFonts w:ascii="Times New Roman" w:hAnsi="Times New Roman" w:cs="Times New Roman"/>
          <w:bCs/>
          <w:i/>
          <w:iCs/>
        </w:rPr>
        <w:t>consistent</w:t>
      </w:r>
      <w:r w:rsidRPr="00EC63D3">
        <w:rPr>
          <w:rFonts w:ascii="Times New Roman" w:hAnsi="Times New Roman" w:cs="Times New Roman"/>
          <w:bCs/>
        </w:rPr>
        <w:t xml:space="preserve"> reference value.</w:t>
      </w:r>
    </w:p>
    <w:p w14:paraId="743C0618" w14:textId="77777777" w:rsidR="00781E39" w:rsidRPr="00EC63D3" w:rsidRDefault="00781E39" w:rsidP="00EC63D3">
      <w:pPr>
        <w:numPr>
          <w:ilvl w:val="0"/>
          <w:numId w:val="2"/>
        </w:numPr>
        <w:spacing w:line="360" w:lineRule="auto"/>
        <w:jc w:val="both"/>
        <w:rPr>
          <w:rFonts w:ascii="Times New Roman" w:hAnsi="Times New Roman" w:cs="Times New Roman"/>
          <w:bCs/>
        </w:rPr>
      </w:pPr>
      <w:r w:rsidRPr="00EC63D3">
        <w:rPr>
          <w:rFonts w:ascii="Times New Roman" w:hAnsi="Times New Roman" w:cs="Times New Roman"/>
          <w:b/>
          <w:bCs/>
        </w:rPr>
        <w:t>Inconsistent:</w:t>
      </w:r>
      <w:r w:rsidRPr="00EC63D3">
        <w:rPr>
          <w:rFonts w:ascii="Times New Roman" w:hAnsi="Times New Roman" w:cs="Times New Roman"/>
          <w:bCs/>
        </w:rPr>
        <w:t xml:space="preserve"> All specific advice aligns with the treatment's </w:t>
      </w:r>
      <w:r w:rsidRPr="00EC63D3">
        <w:rPr>
          <w:rFonts w:ascii="Times New Roman" w:hAnsi="Times New Roman" w:cs="Times New Roman"/>
          <w:bCs/>
          <w:i/>
          <w:iCs/>
        </w:rPr>
        <w:t>inconsistent</w:t>
      </w:r>
      <w:r w:rsidRPr="00EC63D3">
        <w:rPr>
          <w:rFonts w:ascii="Times New Roman" w:hAnsi="Times New Roman" w:cs="Times New Roman"/>
          <w:bCs/>
        </w:rPr>
        <w:t xml:space="preserve"> reference value.</w:t>
      </w:r>
    </w:p>
    <w:p w14:paraId="3DC2ADD2" w14:textId="77777777" w:rsidR="00781E39" w:rsidRPr="00EC63D3" w:rsidRDefault="00781E39" w:rsidP="00EC63D3">
      <w:pPr>
        <w:numPr>
          <w:ilvl w:val="0"/>
          <w:numId w:val="2"/>
        </w:numPr>
        <w:spacing w:line="360" w:lineRule="auto"/>
        <w:jc w:val="both"/>
        <w:rPr>
          <w:rFonts w:ascii="Times New Roman" w:hAnsi="Times New Roman" w:cs="Times New Roman"/>
          <w:bCs/>
        </w:rPr>
      </w:pPr>
      <w:r w:rsidRPr="00EC63D3">
        <w:rPr>
          <w:rFonts w:ascii="Times New Roman" w:hAnsi="Times New Roman" w:cs="Times New Roman"/>
          <w:b/>
          <w:bCs/>
        </w:rPr>
        <w:t>Other:</w:t>
      </w:r>
      <w:r w:rsidRPr="00EC63D3">
        <w:rPr>
          <w:rFonts w:ascii="Times New Roman" w:hAnsi="Times New Roman" w:cs="Times New Roman"/>
          <w:bCs/>
        </w:rPr>
        <w:t xml:space="preserve"> The conversation contains mixed references (e.g., both FV and BV) or specific values outside the FV/BV framework.</w:t>
      </w:r>
    </w:p>
    <w:p w14:paraId="709328BA" w14:textId="77777777" w:rsidR="00781E39" w:rsidRPr="00EC63D3" w:rsidRDefault="00781E39" w:rsidP="00EC63D3">
      <w:pPr>
        <w:spacing w:line="360" w:lineRule="auto"/>
        <w:ind w:firstLine="720"/>
        <w:jc w:val="both"/>
        <w:rPr>
          <w:rFonts w:ascii="Times New Roman" w:hAnsi="Times New Roman" w:cs="Times New Roman"/>
          <w:bCs/>
        </w:rPr>
      </w:pPr>
      <w:r w:rsidRPr="00EC63D3">
        <w:rPr>
          <w:rFonts w:ascii="Times New Roman" w:hAnsi="Times New Roman" w:cs="Times New Roman"/>
          <w:bCs/>
        </w:rPr>
        <w:t xml:space="preserve">As a sidenote, neutral responses (general statements lacking specific numerical references) do not independently determine the conversation's classification. Instead, they are interpreted alongside the specific advice provided; a conversation containing only neutral and </w:t>
      </w:r>
      <w:r w:rsidRPr="00EC63D3">
        <w:rPr>
          <w:rFonts w:ascii="Times New Roman" w:hAnsi="Times New Roman" w:cs="Times New Roman"/>
          <w:bCs/>
          <w:i/>
          <w:iCs/>
        </w:rPr>
        <w:t>consistent</w:t>
      </w:r>
      <w:r w:rsidRPr="00EC63D3">
        <w:rPr>
          <w:rFonts w:ascii="Times New Roman" w:hAnsi="Times New Roman" w:cs="Times New Roman"/>
          <w:bCs/>
        </w:rPr>
        <w:t xml:space="preserve"> advice is classified as </w:t>
      </w:r>
      <w:r w:rsidRPr="00EC63D3">
        <w:rPr>
          <w:rFonts w:ascii="Times New Roman" w:hAnsi="Times New Roman" w:cs="Times New Roman"/>
          <w:bCs/>
          <w:i/>
          <w:iCs/>
        </w:rPr>
        <w:t>consistent</w:t>
      </w:r>
      <w:r w:rsidRPr="00EC63D3">
        <w:rPr>
          <w:rFonts w:ascii="Times New Roman" w:hAnsi="Times New Roman" w:cs="Times New Roman"/>
          <w:bCs/>
        </w:rPr>
        <w:t xml:space="preserve">, while one containing neutral and </w:t>
      </w:r>
      <w:r w:rsidRPr="00EC63D3">
        <w:rPr>
          <w:rFonts w:ascii="Times New Roman" w:hAnsi="Times New Roman" w:cs="Times New Roman"/>
          <w:bCs/>
          <w:i/>
          <w:iCs/>
        </w:rPr>
        <w:t>inconsistent</w:t>
      </w:r>
      <w:r w:rsidRPr="00EC63D3">
        <w:rPr>
          <w:rFonts w:ascii="Times New Roman" w:hAnsi="Times New Roman" w:cs="Times New Roman"/>
          <w:bCs/>
        </w:rPr>
        <w:t xml:space="preserve"> advice is classified as </w:t>
      </w:r>
      <w:r w:rsidRPr="00EC63D3">
        <w:rPr>
          <w:rFonts w:ascii="Times New Roman" w:hAnsi="Times New Roman" w:cs="Times New Roman"/>
          <w:bCs/>
          <w:i/>
          <w:iCs/>
        </w:rPr>
        <w:t>inconsistent</w:t>
      </w:r>
      <w:r w:rsidRPr="00EC63D3">
        <w:rPr>
          <w:rFonts w:ascii="Times New Roman" w:hAnsi="Times New Roman" w:cs="Times New Roman"/>
          <w:bCs/>
        </w:rPr>
        <w:t>.</w:t>
      </w:r>
    </w:p>
    <w:p w14:paraId="588E66CC" w14:textId="2F735436" w:rsidR="00781E39" w:rsidRPr="00EC63D3" w:rsidRDefault="00A65093" w:rsidP="00EC63D3">
      <w:pPr>
        <w:spacing w:line="360" w:lineRule="auto"/>
        <w:ind w:firstLine="720"/>
        <w:jc w:val="both"/>
        <w:rPr>
          <w:rFonts w:ascii="Times New Roman" w:hAnsi="Times New Roman" w:cs="Times New Roman"/>
          <w:color w:val="000000"/>
        </w:rPr>
      </w:pPr>
      <w:r>
        <w:rPr>
          <w:rFonts w:ascii="Times New Roman" w:hAnsi="Times New Roman" w:cs="Times New Roman"/>
          <w:bCs/>
        </w:rPr>
        <w:t xml:space="preserve">Table </w:t>
      </w:r>
      <w:r w:rsidR="005D6475" w:rsidRPr="00EC63D3">
        <w:rPr>
          <w:rFonts w:ascii="Times New Roman" w:hAnsi="Times New Roman" w:cs="Times New Roman"/>
          <w:bCs/>
        </w:rPr>
        <w:t>1</w:t>
      </w:r>
      <w:r w:rsidR="00781E39" w:rsidRPr="00EC63D3">
        <w:rPr>
          <w:rFonts w:ascii="Times New Roman" w:hAnsi="Times New Roman" w:cs="Times New Roman"/>
          <w:bCs/>
        </w:rPr>
        <w:t xml:space="preserve"> shows that AI advice differs systematically across treatments. Advice in GAI was mostly consistent, with 92.4% of classifiable conversations </w:t>
      </w:r>
      <w:r w:rsidR="00616F69" w:rsidRPr="00EC63D3">
        <w:rPr>
          <w:rFonts w:ascii="Times New Roman" w:hAnsi="Times New Roman" w:cs="Times New Roman"/>
          <w:bCs/>
        </w:rPr>
        <w:t xml:space="preserve">aligning with the FV (the </w:t>
      </w:r>
      <w:r w:rsidR="00781E39" w:rsidRPr="00EC63D3">
        <w:rPr>
          <w:rFonts w:ascii="Times New Roman" w:hAnsi="Times New Roman" w:cs="Times New Roman"/>
          <w:bCs/>
        </w:rPr>
        <w:t>correct value of the asset). These results indicate that GAI performed as well as we expected</w:t>
      </w:r>
      <w:r w:rsidR="00781E39" w:rsidRPr="00EC63D3">
        <w:rPr>
          <w:rFonts w:ascii="Times New Roman" w:hAnsi="Times New Roman" w:cs="Times New Roman"/>
        </w:rPr>
        <w:t>. Conversely</w:t>
      </w:r>
      <w:r w:rsidR="00781E39" w:rsidRPr="00EC63D3">
        <w:rPr>
          <w:rFonts w:ascii="Times New Roman" w:hAnsi="Times New Roman" w:cs="Times New Roman"/>
          <w:bCs/>
        </w:rPr>
        <w:t xml:space="preserve">, 52.6% of the conversations for BAI were consistent and focused on BV (incorrect </w:t>
      </w:r>
      <w:r w:rsidR="00781E39" w:rsidRPr="00EC63D3">
        <w:rPr>
          <w:rFonts w:ascii="Times New Roman" w:hAnsi="Times New Roman" w:cs="Times New Roman"/>
          <w:bCs/>
        </w:rPr>
        <w:lastRenderedPageBreak/>
        <w:t>value of the asset).</w:t>
      </w:r>
      <w:r w:rsidR="00781E39" w:rsidRPr="00EC63D3">
        <w:rPr>
          <w:rStyle w:val="FootnoteReference"/>
          <w:rFonts w:ascii="Times New Roman" w:hAnsi="Times New Roman" w:cs="Times New Roman"/>
          <w:bCs/>
        </w:rPr>
        <w:footnoteReference w:id="8"/>
      </w:r>
      <w:r w:rsidR="00781E39" w:rsidRPr="00EC63D3">
        <w:rPr>
          <w:rFonts w:ascii="Times New Roman" w:hAnsi="Times New Roman" w:cs="Times New Roman"/>
          <w:bCs/>
        </w:rPr>
        <w:t xml:space="preserve"> This suggests that BAI indeed offers worse advice than the GAI. </w:t>
      </w:r>
      <w:r w:rsidR="00BF61D1" w:rsidRPr="00EC63D3">
        <w:rPr>
          <w:rFonts w:ascii="Times New Roman" w:hAnsi="Times New Roman" w:cs="Times New Roman"/>
          <w:bCs/>
        </w:rPr>
        <w:t>Yet</w:t>
      </w:r>
      <w:r w:rsidR="007A2E37" w:rsidRPr="00EC63D3">
        <w:rPr>
          <w:rFonts w:ascii="Times New Roman" w:hAnsi="Times New Roman" w:cs="Times New Roman"/>
          <w:bCs/>
        </w:rPr>
        <w:t xml:space="preserve"> it does not consistently produce misleading information: </w:t>
      </w:r>
      <w:r w:rsidR="00616F69" w:rsidRPr="00EC63D3">
        <w:rPr>
          <w:rFonts w:ascii="Times New Roman" w:hAnsi="Times New Roman" w:cs="Times New Roman"/>
          <w:color w:val="000000"/>
        </w:rPr>
        <w:t xml:space="preserve">16% of the time it </w:t>
      </w:r>
      <w:r w:rsidR="007A2E37" w:rsidRPr="00EC63D3">
        <w:rPr>
          <w:rFonts w:ascii="Times New Roman" w:hAnsi="Times New Roman" w:cs="Times New Roman"/>
          <w:color w:val="000000"/>
        </w:rPr>
        <w:t>gives</w:t>
      </w:r>
      <w:r w:rsidR="00616F69" w:rsidRPr="00EC63D3">
        <w:rPr>
          <w:rFonts w:ascii="Times New Roman" w:hAnsi="Times New Roman" w:cs="Times New Roman"/>
          <w:color w:val="000000"/>
        </w:rPr>
        <w:t xml:space="preserve"> advice aligned with FV, and</w:t>
      </w:r>
      <w:r w:rsidR="00781E39" w:rsidRPr="00EC63D3">
        <w:rPr>
          <w:rFonts w:ascii="Times New Roman" w:hAnsi="Times New Roman" w:cs="Times New Roman"/>
          <w:color w:val="000000"/>
        </w:rPr>
        <w:t xml:space="preserve"> 31.</w:t>
      </w:r>
      <w:r w:rsidR="007A2E37" w:rsidRPr="00EC63D3">
        <w:rPr>
          <w:rFonts w:ascii="Times New Roman" w:hAnsi="Times New Roman" w:cs="Times New Roman"/>
          <w:color w:val="000000"/>
        </w:rPr>
        <w:t>4</w:t>
      </w:r>
      <w:r w:rsidR="00781E39" w:rsidRPr="00EC63D3">
        <w:rPr>
          <w:rFonts w:ascii="Times New Roman" w:hAnsi="Times New Roman" w:cs="Times New Roman"/>
          <w:color w:val="000000"/>
        </w:rPr>
        <w:t xml:space="preserve">% </w:t>
      </w:r>
      <w:r w:rsidR="00616F69" w:rsidRPr="00EC63D3">
        <w:rPr>
          <w:rFonts w:ascii="Times New Roman" w:hAnsi="Times New Roman" w:cs="Times New Roman"/>
          <w:color w:val="000000"/>
        </w:rPr>
        <w:t xml:space="preserve">of the time it </w:t>
      </w:r>
      <w:r w:rsidR="007A2E37" w:rsidRPr="00EC63D3">
        <w:rPr>
          <w:rFonts w:ascii="Times New Roman" w:hAnsi="Times New Roman" w:cs="Times New Roman"/>
          <w:color w:val="000000"/>
        </w:rPr>
        <w:t>gives</w:t>
      </w:r>
      <w:r w:rsidR="00781E39" w:rsidRPr="00EC63D3">
        <w:rPr>
          <w:rFonts w:ascii="Times New Roman" w:hAnsi="Times New Roman" w:cs="Times New Roman"/>
          <w:color w:val="000000"/>
        </w:rPr>
        <w:t xml:space="preserve"> advice that is not aligned with either FV or BV. In sharp contrast, good AI </w:t>
      </w:r>
      <w:r w:rsidR="007A2E37" w:rsidRPr="00EC63D3">
        <w:rPr>
          <w:rFonts w:ascii="Times New Roman" w:hAnsi="Times New Roman" w:cs="Times New Roman"/>
          <w:color w:val="000000"/>
        </w:rPr>
        <w:t>gives incorrect advice only 0.4% of the time</w:t>
      </w:r>
      <w:r w:rsidR="00781E39" w:rsidRPr="00EC63D3">
        <w:rPr>
          <w:rFonts w:ascii="Times New Roman" w:hAnsi="Times New Roman" w:cs="Times New Roman"/>
          <w:color w:val="000000"/>
        </w:rPr>
        <w:t>, consistent with our experimental design. In the remaining 7.</w:t>
      </w:r>
      <w:r w:rsidR="007A2E37" w:rsidRPr="00EC63D3">
        <w:rPr>
          <w:rFonts w:ascii="Times New Roman" w:hAnsi="Times New Roman" w:cs="Times New Roman"/>
          <w:color w:val="000000"/>
        </w:rPr>
        <w:t>2</w:t>
      </w:r>
      <w:r w:rsidR="00781E39" w:rsidRPr="00EC63D3">
        <w:rPr>
          <w:rFonts w:ascii="Times New Roman" w:hAnsi="Times New Roman" w:cs="Times New Roman"/>
          <w:color w:val="000000"/>
        </w:rPr>
        <w:t xml:space="preserve">% of the time, it gives irrelevant messages (other). </w:t>
      </w:r>
    </w:p>
    <w:p w14:paraId="6A0A8A6E" w14:textId="70938BA1" w:rsidR="00781E39" w:rsidRPr="00A656DB" w:rsidRDefault="00781E39" w:rsidP="007E479D">
      <w:pPr>
        <w:pStyle w:val="Caption"/>
        <w:keepNext/>
        <w:spacing w:line="360" w:lineRule="auto"/>
        <w:jc w:val="center"/>
        <w:rPr>
          <w:rFonts w:ascii="Times New Roman" w:hAnsi="Times New Roman" w:cs="Times New Roman"/>
          <w:i w:val="0"/>
          <w:iCs w:val="0"/>
          <w:color w:val="000000" w:themeColor="text1"/>
          <w:sz w:val="22"/>
          <w:szCs w:val="22"/>
        </w:rPr>
      </w:pPr>
      <w:r w:rsidRPr="00A656DB">
        <w:rPr>
          <w:rFonts w:ascii="Times New Roman" w:hAnsi="Times New Roman" w:cs="Times New Roman"/>
          <w:i w:val="0"/>
          <w:iCs w:val="0"/>
          <w:color w:val="000000" w:themeColor="text1"/>
          <w:sz w:val="22"/>
          <w:szCs w:val="22"/>
        </w:rPr>
        <w:t xml:space="preserve">Table </w:t>
      </w:r>
      <w:r w:rsidR="005D6475" w:rsidRPr="00A656DB">
        <w:rPr>
          <w:rFonts w:ascii="Times New Roman" w:hAnsi="Times New Roman" w:cs="Times New Roman"/>
          <w:i w:val="0"/>
          <w:iCs w:val="0"/>
          <w:color w:val="000000" w:themeColor="text1"/>
          <w:sz w:val="22"/>
          <w:szCs w:val="22"/>
        </w:rPr>
        <w:t>1</w:t>
      </w:r>
      <w:r w:rsidRPr="00A656DB">
        <w:rPr>
          <w:rFonts w:ascii="Times New Roman" w:hAnsi="Times New Roman" w:cs="Times New Roman"/>
          <w:i w:val="0"/>
          <w:iCs w:val="0"/>
          <w:color w:val="000000" w:themeColor="text1"/>
          <w:sz w:val="22"/>
          <w:szCs w:val="22"/>
        </w:rPr>
        <w:t>. Consistency of AI advice with treatment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81E39" w:rsidRPr="00EC63D3" w14:paraId="1C0BB844" w14:textId="77777777" w:rsidTr="00EC63D3">
        <w:tc>
          <w:tcPr>
            <w:tcW w:w="3005" w:type="dxa"/>
            <w:tcBorders>
              <w:top w:val="single" w:sz="12" w:space="0" w:color="auto"/>
              <w:bottom w:val="single" w:sz="4" w:space="0" w:color="auto"/>
            </w:tcBorders>
            <w:vAlign w:val="center"/>
          </w:tcPr>
          <w:p w14:paraId="316D9480"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Advice alignment</w:t>
            </w:r>
          </w:p>
        </w:tc>
        <w:tc>
          <w:tcPr>
            <w:tcW w:w="3005" w:type="dxa"/>
            <w:tcBorders>
              <w:top w:val="single" w:sz="12" w:space="0" w:color="auto"/>
              <w:bottom w:val="single" w:sz="4" w:space="0" w:color="auto"/>
            </w:tcBorders>
            <w:vAlign w:val="center"/>
          </w:tcPr>
          <w:p w14:paraId="53E6B39D"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GAI</w:t>
            </w:r>
          </w:p>
        </w:tc>
        <w:tc>
          <w:tcPr>
            <w:tcW w:w="3006" w:type="dxa"/>
            <w:tcBorders>
              <w:top w:val="single" w:sz="12" w:space="0" w:color="auto"/>
              <w:bottom w:val="single" w:sz="4" w:space="0" w:color="auto"/>
            </w:tcBorders>
            <w:vAlign w:val="center"/>
          </w:tcPr>
          <w:p w14:paraId="548561F4"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BAI</w:t>
            </w:r>
          </w:p>
        </w:tc>
      </w:tr>
      <w:tr w:rsidR="00781E39" w:rsidRPr="00EC63D3" w14:paraId="37D6F9C6" w14:textId="77777777" w:rsidTr="00EC63D3">
        <w:tc>
          <w:tcPr>
            <w:tcW w:w="3005" w:type="dxa"/>
            <w:tcBorders>
              <w:top w:val="single" w:sz="4" w:space="0" w:color="auto"/>
            </w:tcBorders>
            <w:vAlign w:val="center"/>
          </w:tcPr>
          <w:p w14:paraId="08A8CE64" w14:textId="77777777" w:rsidR="00781E39" w:rsidRPr="00EC63D3" w:rsidRDefault="00781E39" w:rsidP="00DB3BC4">
            <w:pPr>
              <w:spacing w:before="20" w:after="20"/>
              <w:rPr>
                <w:rFonts w:ascii="Times New Roman" w:hAnsi="Times New Roman" w:cs="Times New Roman"/>
                <w:bCs/>
                <w:sz w:val="22"/>
                <w:szCs w:val="22"/>
              </w:rPr>
            </w:pPr>
            <w:r w:rsidRPr="00EC63D3">
              <w:rPr>
                <w:rFonts w:ascii="Times New Roman" w:hAnsi="Times New Roman" w:cs="Times New Roman"/>
                <w:bCs/>
                <w:sz w:val="22"/>
                <w:szCs w:val="22"/>
              </w:rPr>
              <w:t>FV</w:t>
            </w:r>
          </w:p>
        </w:tc>
        <w:tc>
          <w:tcPr>
            <w:tcW w:w="3005" w:type="dxa"/>
            <w:tcBorders>
              <w:top w:val="single" w:sz="4" w:space="0" w:color="auto"/>
            </w:tcBorders>
            <w:vAlign w:val="center"/>
          </w:tcPr>
          <w:p w14:paraId="4F0282F5"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92.44%</w:t>
            </w:r>
          </w:p>
        </w:tc>
        <w:tc>
          <w:tcPr>
            <w:tcW w:w="3006" w:type="dxa"/>
            <w:tcBorders>
              <w:top w:val="single" w:sz="4" w:space="0" w:color="auto"/>
            </w:tcBorders>
            <w:vAlign w:val="center"/>
          </w:tcPr>
          <w:p w14:paraId="2E66C66C"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16.00%</w:t>
            </w:r>
          </w:p>
        </w:tc>
      </w:tr>
      <w:tr w:rsidR="00781E39" w:rsidRPr="00EC63D3" w14:paraId="56BAF37E" w14:textId="77777777" w:rsidTr="00EC63D3">
        <w:tc>
          <w:tcPr>
            <w:tcW w:w="3005" w:type="dxa"/>
            <w:vAlign w:val="center"/>
          </w:tcPr>
          <w:p w14:paraId="4D38E0EB" w14:textId="77777777" w:rsidR="00781E39" w:rsidRPr="00EC63D3" w:rsidRDefault="00781E39" w:rsidP="00DB3BC4">
            <w:pPr>
              <w:spacing w:before="20" w:after="20"/>
              <w:rPr>
                <w:rFonts w:ascii="Times New Roman" w:hAnsi="Times New Roman" w:cs="Times New Roman"/>
                <w:bCs/>
                <w:sz w:val="22"/>
                <w:szCs w:val="22"/>
              </w:rPr>
            </w:pPr>
            <w:r w:rsidRPr="00EC63D3">
              <w:rPr>
                <w:rFonts w:ascii="Times New Roman" w:hAnsi="Times New Roman" w:cs="Times New Roman"/>
                <w:bCs/>
                <w:sz w:val="22"/>
                <w:szCs w:val="22"/>
              </w:rPr>
              <w:t>BV</w:t>
            </w:r>
          </w:p>
        </w:tc>
        <w:tc>
          <w:tcPr>
            <w:tcW w:w="3005" w:type="dxa"/>
            <w:vAlign w:val="center"/>
          </w:tcPr>
          <w:p w14:paraId="1A1975DC"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0.40%</w:t>
            </w:r>
          </w:p>
        </w:tc>
        <w:tc>
          <w:tcPr>
            <w:tcW w:w="3006" w:type="dxa"/>
            <w:vAlign w:val="center"/>
          </w:tcPr>
          <w:p w14:paraId="5DCB2E45"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52.61%</w:t>
            </w:r>
          </w:p>
        </w:tc>
      </w:tr>
      <w:tr w:rsidR="00781E39" w:rsidRPr="00EC63D3" w14:paraId="0C5F8019" w14:textId="77777777" w:rsidTr="00EC63D3">
        <w:tc>
          <w:tcPr>
            <w:tcW w:w="3005" w:type="dxa"/>
            <w:tcBorders>
              <w:bottom w:val="single" w:sz="4" w:space="0" w:color="auto"/>
            </w:tcBorders>
            <w:vAlign w:val="center"/>
          </w:tcPr>
          <w:p w14:paraId="5D1C0E3A" w14:textId="77777777" w:rsidR="00781E39" w:rsidRPr="00EC63D3" w:rsidRDefault="00781E39" w:rsidP="00DB3BC4">
            <w:pPr>
              <w:spacing w:before="20" w:after="20"/>
              <w:rPr>
                <w:rFonts w:ascii="Times New Roman" w:hAnsi="Times New Roman" w:cs="Times New Roman"/>
                <w:bCs/>
                <w:sz w:val="22"/>
                <w:szCs w:val="22"/>
              </w:rPr>
            </w:pPr>
            <w:r w:rsidRPr="00EC63D3">
              <w:rPr>
                <w:rFonts w:ascii="Times New Roman" w:hAnsi="Times New Roman" w:cs="Times New Roman"/>
                <w:bCs/>
                <w:sz w:val="22"/>
                <w:szCs w:val="22"/>
              </w:rPr>
              <w:t>Other</w:t>
            </w:r>
          </w:p>
        </w:tc>
        <w:tc>
          <w:tcPr>
            <w:tcW w:w="3005" w:type="dxa"/>
            <w:tcBorders>
              <w:bottom w:val="single" w:sz="4" w:space="0" w:color="auto"/>
            </w:tcBorders>
            <w:vAlign w:val="center"/>
          </w:tcPr>
          <w:p w14:paraId="185A9EAA"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7.15%</w:t>
            </w:r>
          </w:p>
        </w:tc>
        <w:tc>
          <w:tcPr>
            <w:tcW w:w="3006" w:type="dxa"/>
            <w:tcBorders>
              <w:bottom w:val="single" w:sz="4" w:space="0" w:color="auto"/>
            </w:tcBorders>
            <w:vAlign w:val="center"/>
          </w:tcPr>
          <w:p w14:paraId="6785A032" w14:textId="6C12F025"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31.</w:t>
            </w:r>
            <w:r w:rsidR="00052D7E" w:rsidRPr="00EC63D3">
              <w:rPr>
                <w:rFonts w:ascii="Times New Roman" w:hAnsi="Times New Roman" w:cs="Times New Roman"/>
                <w:bCs/>
                <w:sz w:val="22"/>
                <w:szCs w:val="22"/>
              </w:rPr>
              <w:t>3</w:t>
            </w:r>
            <w:r w:rsidRPr="00EC63D3">
              <w:rPr>
                <w:rFonts w:ascii="Times New Roman" w:hAnsi="Times New Roman" w:cs="Times New Roman"/>
                <w:bCs/>
                <w:sz w:val="22"/>
                <w:szCs w:val="22"/>
              </w:rPr>
              <w:t>8%</w:t>
            </w:r>
          </w:p>
        </w:tc>
      </w:tr>
      <w:tr w:rsidR="00781E39" w:rsidRPr="00EC63D3" w14:paraId="08088A5F" w14:textId="77777777" w:rsidTr="00EC63D3">
        <w:tc>
          <w:tcPr>
            <w:tcW w:w="3005" w:type="dxa"/>
            <w:tcBorders>
              <w:top w:val="single" w:sz="4" w:space="0" w:color="auto"/>
              <w:bottom w:val="single" w:sz="12" w:space="0" w:color="auto"/>
            </w:tcBorders>
            <w:vAlign w:val="center"/>
          </w:tcPr>
          <w:p w14:paraId="46C20211" w14:textId="77777777" w:rsidR="00781E39" w:rsidRPr="00EC63D3" w:rsidRDefault="00781E39" w:rsidP="00DB3BC4">
            <w:pPr>
              <w:spacing w:before="20" w:after="20"/>
              <w:rPr>
                <w:rFonts w:ascii="Times New Roman" w:hAnsi="Times New Roman" w:cs="Times New Roman"/>
                <w:bCs/>
                <w:sz w:val="22"/>
                <w:szCs w:val="22"/>
              </w:rPr>
            </w:pPr>
            <w:r w:rsidRPr="00EC63D3">
              <w:rPr>
                <w:rFonts w:ascii="Times New Roman" w:hAnsi="Times New Roman" w:cs="Times New Roman"/>
                <w:bCs/>
                <w:sz w:val="22"/>
                <w:szCs w:val="22"/>
              </w:rPr>
              <w:t>Classifiable conversations</w:t>
            </w:r>
          </w:p>
        </w:tc>
        <w:tc>
          <w:tcPr>
            <w:tcW w:w="3005" w:type="dxa"/>
            <w:tcBorders>
              <w:top w:val="single" w:sz="4" w:space="0" w:color="auto"/>
              <w:bottom w:val="single" w:sz="12" w:space="0" w:color="auto"/>
            </w:tcBorders>
            <w:vAlign w:val="center"/>
          </w:tcPr>
          <w:p w14:paraId="1BD62EDA"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489</w:t>
            </w:r>
          </w:p>
        </w:tc>
        <w:tc>
          <w:tcPr>
            <w:tcW w:w="3006" w:type="dxa"/>
            <w:tcBorders>
              <w:top w:val="single" w:sz="4" w:space="0" w:color="auto"/>
              <w:bottom w:val="single" w:sz="12" w:space="0" w:color="auto"/>
            </w:tcBorders>
            <w:vAlign w:val="center"/>
          </w:tcPr>
          <w:p w14:paraId="02D03186" w14:textId="77777777" w:rsidR="00781E39" w:rsidRPr="00EC63D3" w:rsidRDefault="00781E39" w:rsidP="00DB3BC4">
            <w:pPr>
              <w:spacing w:before="20" w:after="20"/>
              <w:jc w:val="center"/>
              <w:rPr>
                <w:rFonts w:ascii="Times New Roman" w:hAnsi="Times New Roman" w:cs="Times New Roman"/>
                <w:bCs/>
                <w:sz w:val="22"/>
                <w:szCs w:val="22"/>
              </w:rPr>
            </w:pPr>
            <w:r w:rsidRPr="00EC63D3">
              <w:rPr>
                <w:rFonts w:ascii="Times New Roman" w:hAnsi="Times New Roman" w:cs="Times New Roman"/>
                <w:bCs/>
                <w:sz w:val="22"/>
                <w:szCs w:val="22"/>
              </w:rPr>
              <w:t>325</w:t>
            </w:r>
          </w:p>
        </w:tc>
      </w:tr>
    </w:tbl>
    <w:p w14:paraId="017FFE5C" w14:textId="77777777" w:rsidR="00A229C0" w:rsidRPr="003C2C55" w:rsidRDefault="00A229C0" w:rsidP="00C457BC">
      <w:pPr>
        <w:spacing w:line="360" w:lineRule="auto"/>
        <w:ind w:firstLine="720"/>
        <w:jc w:val="both"/>
        <w:rPr>
          <w:rFonts w:ascii="Times New Roman" w:hAnsi="Times New Roman" w:cs="Times New Roman"/>
          <w:iCs/>
          <w:sz w:val="20"/>
          <w:szCs w:val="20"/>
        </w:rPr>
      </w:pPr>
    </w:p>
    <w:p w14:paraId="49F8D613" w14:textId="77777777" w:rsidR="00855ABB" w:rsidRPr="007E479D" w:rsidRDefault="00855ABB" w:rsidP="007E479D">
      <w:pPr>
        <w:pStyle w:val="ListParagraph"/>
        <w:numPr>
          <w:ilvl w:val="0"/>
          <w:numId w:val="1"/>
        </w:numPr>
        <w:spacing w:line="360" w:lineRule="auto"/>
        <w:jc w:val="both"/>
        <w:rPr>
          <w:rFonts w:ascii="Times New Roman" w:hAnsi="Times New Roman" w:cs="Times New Roman"/>
          <w:b/>
        </w:rPr>
      </w:pPr>
      <w:r w:rsidRPr="007E479D">
        <w:rPr>
          <w:rFonts w:ascii="Times New Roman" w:hAnsi="Times New Roman" w:cs="Times New Roman"/>
          <w:b/>
        </w:rPr>
        <w:t>Hypothesis</w:t>
      </w:r>
    </w:p>
    <w:p w14:paraId="6A396234" w14:textId="6A03F135" w:rsidR="00855ABB" w:rsidRPr="007E479D" w:rsidRDefault="00855ABB" w:rsidP="00C87A3B">
      <w:pPr>
        <w:spacing w:line="360" w:lineRule="auto"/>
        <w:jc w:val="both"/>
        <w:rPr>
          <w:rFonts w:ascii="Times New Roman" w:hAnsi="Times New Roman" w:cs="Times New Roman"/>
        </w:rPr>
      </w:pPr>
      <w:r w:rsidRPr="007E479D">
        <w:rPr>
          <w:rFonts w:ascii="Times New Roman" w:hAnsi="Times New Roman" w:cs="Times New Roman"/>
        </w:rPr>
        <w:t xml:space="preserve">Prior research shows that LLMs such as ChatGPT can provide useful financial advice. Related work in experimental asset markets finds that advice can substitute for experience </w:t>
      </w:r>
      <w:r w:rsidR="001E5147" w:rsidRPr="001E5147">
        <w:rPr>
          <w:rFonts w:ascii="Times New Roman" w:hAnsi="Times New Roman" w:cs="Times New Roman"/>
        </w:rPr>
        <w:t>(</w:t>
      </w:r>
      <w:proofErr w:type="spellStart"/>
      <w:r w:rsidR="001E5147" w:rsidRPr="001E5147">
        <w:rPr>
          <w:rFonts w:ascii="Times New Roman" w:hAnsi="Times New Roman" w:cs="Times New Roman"/>
        </w:rPr>
        <w:t>Alevy</w:t>
      </w:r>
      <w:proofErr w:type="spellEnd"/>
      <w:r w:rsidR="001E5147" w:rsidRPr="001E5147">
        <w:rPr>
          <w:rFonts w:ascii="Times New Roman" w:hAnsi="Times New Roman" w:cs="Times New Roman"/>
        </w:rPr>
        <w:t xml:space="preserve"> </w:t>
      </w:r>
      <w:r w:rsidR="006E3194">
        <w:rPr>
          <w:rFonts w:asciiTheme="majorBidi" w:hAnsiTheme="majorBidi" w:cstheme="majorBidi"/>
          <w:lang w:val="en-NZ" w:eastAsia="zh-CN"/>
        </w:rPr>
        <w:t>and</w:t>
      </w:r>
      <w:r w:rsidR="001E5147" w:rsidRPr="001E5147">
        <w:rPr>
          <w:rFonts w:ascii="Times New Roman" w:hAnsi="Times New Roman" w:cs="Times New Roman"/>
        </w:rPr>
        <w:t xml:space="preserve"> Price, 2017)</w:t>
      </w:r>
      <w:r w:rsidRPr="007E479D">
        <w:rPr>
          <w:rFonts w:ascii="Times New Roman" w:hAnsi="Times New Roman" w:cs="Times New Roman"/>
        </w:rPr>
        <w:t>.</w:t>
      </w:r>
      <w:r w:rsidRPr="007E479D">
        <w:rPr>
          <w:rFonts w:ascii="Times New Roman" w:hAnsi="Times New Roman" w:cs="Times New Roman"/>
          <w:lang w:eastAsia="zh-CN"/>
        </w:rPr>
        <w:t xml:space="preserve"> We therefore expect that access to good AI advice reduces mispricing and improves market efficiency.</w:t>
      </w:r>
      <w:r w:rsidRPr="007E479D">
        <w:rPr>
          <w:rFonts w:ascii="Times New Roman" w:hAnsi="Times New Roman" w:cs="Times New Roman"/>
        </w:rPr>
        <w:t xml:space="preserve"> </w:t>
      </w:r>
    </w:p>
    <w:p w14:paraId="367953C9" w14:textId="79FB3506" w:rsidR="00855ABB" w:rsidRPr="007E479D" w:rsidRDefault="00855ABB" w:rsidP="007E479D">
      <w:pPr>
        <w:spacing w:line="360" w:lineRule="auto"/>
        <w:jc w:val="both"/>
        <w:rPr>
          <w:rFonts w:ascii="Times New Roman" w:hAnsi="Times New Roman" w:cs="Times New Roman"/>
        </w:rPr>
      </w:pPr>
      <w:r w:rsidRPr="007E479D">
        <w:rPr>
          <w:rFonts w:ascii="Times New Roman" w:hAnsi="Times New Roman" w:cs="Times New Roman"/>
          <w:b/>
          <w:bCs/>
        </w:rPr>
        <w:t>Hypothesis</w:t>
      </w:r>
      <w:r w:rsidR="00DB3BC4">
        <w:rPr>
          <w:rFonts w:ascii="Times New Roman" w:hAnsi="Times New Roman" w:cs="Times New Roman"/>
          <w:b/>
          <w:bCs/>
        </w:rPr>
        <w:t xml:space="preserve"> 1</w:t>
      </w:r>
      <w:r w:rsidRPr="007E479D">
        <w:rPr>
          <w:rFonts w:ascii="Times New Roman" w:hAnsi="Times New Roman" w:cs="Times New Roman"/>
          <w:b/>
          <w:bCs/>
        </w:rPr>
        <w:t>:</w:t>
      </w:r>
      <w:r w:rsidRPr="007E479D">
        <w:rPr>
          <w:rFonts w:ascii="Times New Roman" w:hAnsi="Times New Roman" w:cs="Times New Roman"/>
        </w:rPr>
        <w:t xml:space="preserve"> In the GAI treatment, market prices will more closely track fundamental value.</w:t>
      </w:r>
    </w:p>
    <w:p w14:paraId="67901943" w14:textId="076A1B56" w:rsidR="00855ABB" w:rsidRPr="007E479D" w:rsidRDefault="00855ABB" w:rsidP="007E479D">
      <w:pPr>
        <w:spacing w:line="360" w:lineRule="auto"/>
        <w:ind w:firstLine="720"/>
        <w:jc w:val="both"/>
        <w:rPr>
          <w:rFonts w:ascii="Times New Roman" w:hAnsi="Times New Roman" w:cs="Times New Roman"/>
          <w:b/>
          <w:bCs/>
          <w:i/>
          <w:iCs/>
        </w:rPr>
      </w:pPr>
      <w:r w:rsidRPr="007E479D">
        <w:rPr>
          <w:rFonts w:ascii="Times New Roman" w:hAnsi="Times New Roman" w:cs="Times New Roman"/>
        </w:rPr>
        <w:t xml:space="preserve">However, earlier studies indicate that individuals have difficulty discerning the accuracy of AI responses </w:t>
      </w:r>
      <w:r w:rsidR="001E5147" w:rsidRPr="001E5147">
        <w:rPr>
          <w:rFonts w:ascii="Times New Roman" w:hAnsi="Times New Roman" w:cs="Times New Roman"/>
        </w:rPr>
        <w:t xml:space="preserve">(Hazra </w:t>
      </w:r>
      <w:r w:rsidR="006E3194">
        <w:rPr>
          <w:rFonts w:asciiTheme="majorBidi" w:hAnsiTheme="majorBidi" w:cstheme="majorBidi"/>
          <w:lang w:val="en-NZ" w:eastAsia="zh-CN"/>
        </w:rPr>
        <w:t>and</w:t>
      </w:r>
      <w:r w:rsidR="001E5147" w:rsidRPr="001E5147">
        <w:rPr>
          <w:rFonts w:ascii="Times New Roman" w:hAnsi="Times New Roman" w:cs="Times New Roman"/>
        </w:rPr>
        <w:t xml:space="preserve"> Serra-Garcia, 2025)</w:t>
      </w:r>
      <w:r w:rsidRPr="007E479D">
        <w:rPr>
          <w:rFonts w:ascii="Times New Roman" w:hAnsi="Times New Roman" w:cs="Times New Roman"/>
        </w:rPr>
        <w:t xml:space="preserve">. Individuals tend to overweight guidance from seemingly authoritative or confident sources </w:t>
      </w:r>
      <w:r w:rsidR="001E5147" w:rsidRPr="001E5147">
        <w:rPr>
          <w:rFonts w:ascii="Times New Roman" w:hAnsi="Times New Roman" w:cs="Times New Roman"/>
        </w:rPr>
        <w:t xml:space="preserve">(Price </w:t>
      </w:r>
      <w:r w:rsidR="006E3194">
        <w:rPr>
          <w:rFonts w:asciiTheme="majorBidi" w:hAnsiTheme="majorBidi" w:cstheme="majorBidi"/>
          <w:lang w:val="en-NZ" w:eastAsia="zh-CN"/>
        </w:rPr>
        <w:t>and</w:t>
      </w:r>
      <w:r w:rsidR="001E5147" w:rsidRPr="001E5147">
        <w:rPr>
          <w:rFonts w:ascii="Times New Roman" w:hAnsi="Times New Roman" w:cs="Times New Roman"/>
        </w:rPr>
        <w:t xml:space="preserve"> Stone, 2004)</w:t>
      </w:r>
      <w:r w:rsidRPr="007E479D">
        <w:rPr>
          <w:rFonts w:ascii="Times New Roman" w:hAnsi="Times New Roman" w:cs="Times New Roman"/>
        </w:rPr>
        <w:t xml:space="preserve"> </w:t>
      </w:r>
      <w:r w:rsidRPr="007E479D">
        <w:rPr>
          <w:rFonts w:ascii="Times New Roman" w:hAnsi="Times New Roman" w:cs="Times New Roman"/>
        </w:rPr>
        <w:fldChar w:fldCharType="begin"/>
      </w:r>
      <w:r w:rsidRPr="007E479D">
        <w:rPr>
          <w:rFonts w:ascii="Times New Roman" w:hAnsi="Times New Roman" w:cs="Times New Roman"/>
        </w:rPr>
        <w:instrText xml:space="preserve"> ADDIN EN.CITE &lt;EndNote&gt;&lt;Cite ExcludeAuth="1" ExcludeYear="1" Hidden="1"&gt;&lt;Author&gt;Price&lt;/Author&gt;&lt;Year&gt;2004&lt;/Year&gt;&lt;RecNum&gt;4826&lt;/RecNum&gt;&lt;record&gt;&lt;rec-number&gt;4826&lt;/rec-number&gt;&lt;foreign-keys&gt;&lt;key app="EN" db-id="rwspf0vejfeadreaw0evxt5kav0avwvd90vv" timestamp="1730259774"&gt;4826&lt;/key&gt;&lt;/foreign-keys&gt;&lt;ref-type name="Journal Article"&gt;17&lt;/ref-type&gt;&lt;contributors&gt;&lt;authors&gt;&lt;author&gt;Price, Paul C.&lt;/author&gt;&lt;author&gt;Stone, Eric R.&lt;/author&gt;&lt;/authors&gt;&lt;/contributors&gt;&lt;titles&gt;&lt;title&gt;Intuitive evaluation of likelihood judgment producers: evidence for a confidence heuristic&lt;/title&gt;&lt;secondary-title&gt;Journal of Behavioral Decision Making&lt;/secondary-title&gt;&lt;/titles&gt;&lt;periodical&gt;&lt;full-title&gt;Journal of Behavioral Decision Making&lt;/full-title&gt;&lt;/periodical&gt;&lt;pages&gt;39-57&lt;/pages&gt;&lt;volume&gt;17&lt;/volume&gt;&lt;number&gt;1&lt;/number&gt;&lt;dates&gt;&lt;year&gt;2004&lt;/year&gt;&lt;/dates&gt;&lt;isbn&gt;0894-3257&lt;/isbn&gt;&lt;urls&gt;&lt;related-urls&gt;&lt;url&gt;https://onlinelibrary.wiley.com/doi/abs/10.1002/bdm.460&lt;/url&gt;&lt;/related-urls&gt;&lt;/urls&gt;&lt;electronic-resource-num&gt;10.1002/bdm.460&lt;/electronic-resource-num&gt;&lt;/record&gt;&lt;/Cite&gt;&lt;Cite&gt;&lt;Author&gt;Price&lt;/Author&gt;&lt;Year&gt;2004&lt;/Year&gt;&lt;RecNum&gt;4826&lt;/RecNum&gt;&lt;record&gt;&lt;rec-number&gt;4826&lt;/rec-number&gt;&lt;foreign-keys&gt;&lt;key app="EN" db-id="rwspf0vejfeadreaw0evxt5kav0avwvd90vv" timestamp="1730259774"&gt;4826&lt;/key&gt;&lt;/foreign-keys&gt;&lt;ref-type name="Journal Article"&gt;17&lt;/ref-type&gt;&lt;contributors&gt;&lt;authors&gt;&lt;author&gt;Price, Paul C.&lt;/author&gt;&lt;author&gt;Stone, Eric R.&lt;/author&gt;&lt;/authors&gt;&lt;/contributors&gt;&lt;titles&gt;&lt;title&gt;Intuitive evaluation of likelihood judgment producers: evidence for a confidence heuristic&lt;/title&gt;&lt;secondary-title&gt;Journal of Behavioral Decision Making&lt;/secondary-title&gt;&lt;/titles&gt;&lt;periodical&gt;&lt;full-title&gt;Journal of Behavioral Decision Making&lt;/full-title&gt;&lt;/periodical&gt;&lt;pages&gt;39-57&lt;/pages&gt;&lt;volume&gt;17&lt;/volume&gt;&lt;number&gt;1&lt;/number&gt;&lt;dates&gt;&lt;year&gt;2004&lt;/year&gt;&lt;/dates&gt;&lt;isbn&gt;0894-3257&lt;/isbn&gt;&lt;urls&gt;&lt;related-urls&gt;&lt;url&gt;https://onlinelibrary.wiley.com/doi/abs/10.1002/bdm.460&lt;/url&gt;&lt;/related-urls&gt;&lt;/urls&gt;&lt;electronic-resource-num&gt;10.1002/bdm.460&lt;/electronic-resource-num&gt;&lt;/record&gt;&lt;/Cite&gt;&lt;/EndNote&gt;</w:instrText>
      </w:r>
      <w:r w:rsidRPr="007E479D">
        <w:rPr>
          <w:rFonts w:ascii="Times New Roman" w:hAnsi="Times New Roman" w:cs="Times New Roman"/>
        </w:rPr>
        <w:fldChar w:fldCharType="separate"/>
      </w:r>
      <w:r w:rsidRPr="007E479D">
        <w:rPr>
          <w:rFonts w:ascii="Times New Roman" w:hAnsi="Times New Roman" w:cs="Times New Roman"/>
        </w:rPr>
        <w:fldChar w:fldCharType="end"/>
      </w:r>
      <w:r w:rsidRPr="007E479D">
        <w:rPr>
          <w:rFonts w:ascii="Times New Roman" w:hAnsi="Times New Roman" w:cs="Times New Roman"/>
        </w:rPr>
        <w:t>in the context of financial advice. Receiving advice issued with a high degree of confidence by large language models (LLMs) could, therefore, generate a confidence bias among participants, who will show a high level of acceptance of the advice, even if the advice is incorrect or irrelevant.</w:t>
      </w:r>
    </w:p>
    <w:p w14:paraId="1E2617FA" w14:textId="6247E132" w:rsidR="00855ABB" w:rsidRPr="007E479D" w:rsidRDefault="00855ABB" w:rsidP="007E479D">
      <w:pPr>
        <w:pStyle w:val="Caption"/>
        <w:spacing w:after="160" w:line="360" w:lineRule="auto"/>
        <w:jc w:val="both"/>
        <w:rPr>
          <w:rFonts w:ascii="Times New Roman" w:hAnsi="Times New Roman" w:cs="Times New Roman"/>
          <w:i w:val="0"/>
          <w:iCs w:val="0"/>
          <w:color w:val="auto"/>
          <w:sz w:val="24"/>
          <w:szCs w:val="24"/>
        </w:rPr>
      </w:pPr>
      <w:r w:rsidRPr="007E479D">
        <w:rPr>
          <w:rFonts w:ascii="Times New Roman" w:hAnsi="Times New Roman" w:cs="Times New Roman"/>
          <w:b/>
          <w:bCs/>
          <w:i w:val="0"/>
          <w:iCs w:val="0"/>
          <w:color w:val="auto"/>
          <w:sz w:val="24"/>
          <w:szCs w:val="24"/>
        </w:rPr>
        <w:t>Hypothesis</w:t>
      </w:r>
      <w:r w:rsidR="00DB3BC4">
        <w:rPr>
          <w:rFonts w:ascii="Times New Roman" w:hAnsi="Times New Roman" w:cs="Times New Roman"/>
          <w:b/>
          <w:bCs/>
          <w:i w:val="0"/>
          <w:iCs w:val="0"/>
          <w:color w:val="auto"/>
          <w:sz w:val="24"/>
          <w:szCs w:val="24"/>
        </w:rPr>
        <w:t xml:space="preserve"> 2</w:t>
      </w:r>
      <w:r w:rsidRPr="007E479D">
        <w:rPr>
          <w:rFonts w:ascii="Times New Roman" w:hAnsi="Times New Roman" w:cs="Times New Roman"/>
          <w:b/>
          <w:bCs/>
          <w:i w:val="0"/>
          <w:iCs w:val="0"/>
          <w:color w:val="auto"/>
          <w:sz w:val="24"/>
          <w:szCs w:val="24"/>
        </w:rPr>
        <w:t xml:space="preserve">: </w:t>
      </w:r>
      <w:r w:rsidRPr="007E479D">
        <w:rPr>
          <w:rFonts w:ascii="Times New Roman" w:hAnsi="Times New Roman" w:cs="Times New Roman"/>
          <w:i w:val="0"/>
          <w:iCs w:val="0"/>
          <w:color w:val="auto"/>
          <w:sz w:val="24"/>
          <w:szCs w:val="24"/>
        </w:rPr>
        <w:t>In the BAI treatment, market prices will deviate further from fundamental value. Access to AI advice will increase mispricing and reduce market efficiency.</w:t>
      </w:r>
    </w:p>
    <w:p w14:paraId="3672963B" w14:textId="4B6233DA" w:rsidR="00855ABB" w:rsidRPr="007E479D" w:rsidRDefault="00855ABB" w:rsidP="007E479D">
      <w:pPr>
        <w:spacing w:line="360" w:lineRule="auto"/>
        <w:ind w:firstLine="720"/>
        <w:jc w:val="both"/>
        <w:rPr>
          <w:rFonts w:ascii="Times New Roman" w:hAnsi="Times New Roman" w:cs="Times New Roman"/>
        </w:rPr>
      </w:pPr>
      <w:r w:rsidRPr="007E479D">
        <w:rPr>
          <w:rFonts w:ascii="Times New Roman" w:hAnsi="Times New Roman" w:cs="Times New Roman"/>
        </w:rPr>
        <w:t xml:space="preserve">The introduction of AI advice increases consensus among traders by providing a common benchmark for expectations. When traders rely on AI advice, their beliefs may become more aligned, allowing them to reach consensus more easily and thus reducing the need to trade. Without AI, traders have more heterogeneous beliefs, increasing the likelihood </w:t>
      </w:r>
      <w:r w:rsidRPr="007E479D">
        <w:rPr>
          <w:rFonts w:ascii="Times New Roman" w:hAnsi="Times New Roman" w:cs="Times New Roman"/>
        </w:rPr>
        <w:lastRenderedPageBreak/>
        <w:t xml:space="preserve">of trading. </w:t>
      </w:r>
      <w:r w:rsidRPr="007E479D">
        <w:rPr>
          <w:rFonts w:ascii="Times New Roman" w:hAnsi="Times New Roman" w:cs="Times New Roman"/>
          <w:bCs/>
        </w:rPr>
        <w:t xml:space="preserve">As established by </w:t>
      </w:r>
      <w:r w:rsidR="001E5147" w:rsidRPr="001E5147">
        <w:rPr>
          <w:rFonts w:ascii="Times New Roman" w:hAnsi="Times New Roman" w:cs="Times New Roman"/>
          <w:bCs/>
        </w:rPr>
        <w:t>Harris and Raviv (1993)</w:t>
      </w:r>
      <w:r w:rsidRPr="007E479D">
        <w:rPr>
          <w:rFonts w:ascii="Times New Roman" w:hAnsi="Times New Roman" w:cs="Times New Roman"/>
          <w:bCs/>
        </w:rPr>
        <w:t xml:space="preserve"> and </w:t>
      </w:r>
      <w:r w:rsidR="001E5147" w:rsidRPr="001E5147">
        <w:rPr>
          <w:rFonts w:ascii="Times New Roman" w:hAnsi="Times New Roman" w:cs="Times New Roman"/>
          <w:bCs/>
        </w:rPr>
        <w:t>Kandel and Pearson (1995)</w:t>
      </w:r>
      <w:r w:rsidRPr="007E479D">
        <w:rPr>
          <w:rFonts w:ascii="Times New Roman" w:hAnsi="Times New Roman" w:cs="Times New Roman"/>
          <w:bCs/>
        </w:rPr>
        <w:t xml:space="preserve">, increased heterogeneity in trader beliefs and the differential interpretation of signals directly drive trading volume. Thus, the lower-quality AI inadvertently stimulated liquidity by acting as a shock to belief dispersion. This leads to our third hypothesis. </w:t>
      </w:r>
    </w:p>
    <w:p w14:paraId="4CB6F27B" w14:textId="64FA290D" w:rsidR="00855ABB" w:rsidRPr="007E479D" w:rsidRDefault="00855ABB" w:rsidP="007E479D">
      <w:pPr>
        <w:spacing w:line="360" w:lineRule="auto"/>
        <w:jc w:val="both"/>
        <w:rPr>
          <w:rFonts w:ascii="Times New Roman" w:hAnsi="Times New Roman" w:cs="Times New Roman"/>
          <w:bCs/>
        </w:rPr>
      </w:pPr>
      <w:r w:rsidRPr="007E479D">
        <w:rPr>
          <w:rFonts w:ascii="Times New Roman" w:hAnsi="Times New Roman" w:cs="Times New Roman"/>
          <w:b/>
          <w:bCs/>
        </w:rPr>
        <w:t>Hypothesis 3:</w:t>
      </w:r>
      <w:r w:rsidRPr="007E479D">
        <w:rPr>
          <w:rFonts w:ascii="Times New Roman" w:hAnsi="Times New Roman" w:cs="Times New Roman"/>
        </w:rPr>
        <w:t xml:space="preserve"> Turnover will be highest in the NAI treatment, lower in the BAI treatment, and lowest in the GAI treatment.</w:t>
      </w:r>
    </w:p>
    <w:p w14:paraId="5346D3A1" w14:textId="77777777" w:rsidR="00562B4D" w:rsidRPr="007E479D" w:rsidRDefault="00562B4D" w:rsidP="007E479D">
      <w:pPr>
        <w:pStyle w:val="ListParagraph"/>
        <w:numPr>
          <w:ilvl w:val="0"/>
          <w:numId w:val="1"/>
        </w:numPr>
        <w:spacing w:line="360" w:lineRule="auto"/>
        <w:jc w:val="both"/>
        <w:rPr>
          <w:rFonts w:ascii="Times New Roman" w:hAnsi="Times New Roman" w:cs="Times New Roman"/>
          <w:b/>
        </w:rPr>
      </w:pPr>
      <w:r w:rsidRPr="007E479D">
        <w:rPr>
          <w:rFonts w:ascii="Times New Roman" w:hAnsi="Times New Roman" w:cs="Times New Roman"/>
          <w:b/>
        </w:rPr>
        <w:t>Results</w:t>
      </w:r>
    </w:p>
    <w:p w14:paraId="5F31B39C" w14:textId="77777777" w:rsidR="00562B4D" w:rsidRPr="007E479D" w:rsidRDefault="00562B4D" w:rsidP="007E479D">
      <w:pPr>
        <w:pStyle w:val="ListParagraph"/>
        <w:numPr>
          <w:ilvl w:val="1"/>
          <w:numId w:val="1"/>
        </w:numPr>
        <w:spacing w:line="360" w:lineRule="auto"/>
        <w:ind w:left="450"/>
        <w:jc w:val="both"/>
        <w:rPr>
          <w:rFonts w:ascii="Times New Roman" w:hAnsi="Times New Roman" w:cs="Times New Roman"/>
          <w:b/>
        </w:rPr>
      </w:pPr>
      <w:r w:rsidRPr="007E479D">
        <w:rPr>
          <w:rFonts w:ascii="Times New Roman" w:hAnsi="Times New Roman" w:cs="Times New Roman"/>
          <w:b/>
        </w:rPr>
        <w:t>Mispricing</w:t>
      </w:r>
    </w:p>
    <w:p w14:paraId="10C445A3" w14:textId="466DE281" w:rsidR="00562B4D" w:rsidRPr="007E479D" w:rsidRDefault="00562B4D" w:rsidP="00C87A3B">
      <w:pPr>
        <w:spacing w:line="360" w:lineRule="auto"/>
        <w:jc w:val="both"/>
        <w:rPr>
          <w:rFonts w:ascii="Times New Roman" w:hAnsi="Times New Roman" w:cs="Times New Roman"/>
        </w:rPr>
      </w:pPr>
      <w:r w:rsidRPr="007E479D">
        <w:rPr>
          <w:rFonts w:ascii="Times New Roman" w:hAnsi="Times New Roman" w:cs="Times New Roman"/>
        </w:rPr>
        <w:t xml:space="preserve">We examined the impact of AI advice by comparing market prices in the NAI treatment with those in the GAI and BAI treatments. Figure 1 </w:t>
      </w:r>
      <w:r w:rsidRPr="007E479D">
        <w:rPr>
          <w:rFonts w:ascii="Times New Roman" w:hAnsi="Times New Roman" w:cs="Times New Roman"/>
          <w:color w:val="000000"/>
        </w:rPr>
        <w:t>illustrates the median prices observed for each treatment.</w:t>
      </w:r>
      <w:r w:rsidRPr="007E479D">
        <w:rPr>
          <w:rStyle w:val="FootnoteReference"/>
          <w:rFonts w:ascii="Times New Roman" w:hAnsi="Times New Roman" w:cs="Times New Roman"/>
        </w:rPr>
        <w:footnoteReference w:id="9"/>
      </w:r>
      <w:r w:rsidRPr="007E479D">
        <w:rPr>
          <w:rFonts w:ascii="Times New Roman" w:hAnsi="Times New Roman" w:cs="Times New Roman"/>
        </w:rPr>
        <w:t xml:space="preserve"> The vertical axis denotes median prices, while the horizontal axis represents the trading period. For reference, the long-dashed line indicates the asset’s Fundamental Value (FV), and the dotted line shows the asset’s End-of-The-Period Buyout Value (BV). The buyout value follows a random walk process explained in Section 2. In short, the Fundamental Value represents the expected holding value of the asset </w:t>
      </w:r>
      <w:proofErr w:type="gramStart"/>
      <w:r w:rsidRPr="007E479D">
        <w:rPr>
          <w:rFonts w:ascii="Times New Roman" w:hAnsi="Times New Roman" w:cs="Times New Roman"/>
        </w:rPr>
        <w:t>in a given</w:t>
      </w:r>
      <w:proofErr w:type="gramEnd"/>
      <w:r w:rsidRPr="007E479D">
        <w:rPr>
          <w:rFonts w:ascii="Times New Roman" w:hAnsi="Times New Roman" w:cs="Times New Roman"/>
        </w:rPr>
        <w:t xml:space="preserve"> period if the trader buys and holds the asset till the end of the market. The End-of-The-Period value represents the value of the asset if the asset were to be bought back at the end of the current period, forgoing all possible future changes in the buyout value.</w:t>
      </w:r>
    </w:p>
    <w:p w14:paraId="052773B8" w14:textId="161FD4B4" w:rsidR="00562B4D" w:rsidRPr="007E479D" w:rsidRDefault="00562B4D" w:rsidP="007E479D">
      <w:pPr>
        <w:spacing w:line="360" w:lineRule="auto"/>
        <w:ind w:firstLine="720"/>
        <w:jc w:val="both"/>
        <w:rPr>
          <w:rFonts w:ascii="Times New Roman" w:hAnsi="Times New Roman" w:cs="Times New Roman"/>
          <w:iCs/>
        </w:rPr>
      </w:pPr>
      <w:r w:rsidRPr="007E479D">
        <w:rPr>
          <w:rFonts w:ascii="Times New Roman" w:hAnsi="Times New Roman" w:cs="Times New Roman"/>
        </w:rPr>
        <w:t>Under the NAI baseline condition, prices</w:t>
      </w:r>
      <w:r w:rsidRPr="007E479D">
        <w:rPr>
          <w:rFonts w:ascii="Times New Roman" w:hAnsi="Times New Roman" w:cs="Times New Roman"/>
          <w:iCs/>
        </w:rPr>
        <w:t xml:space="preserve"> start</w:t>
      </w:r>
      <w:r w:rsidRPr="007E479D">
        <w:rPr>
          <w:rFonts w:ascii="Times New Roman" w:hAnsi="Times New Roman" w:cs="Times New Roman"/>
          <w:iCs/>
          <w:lang w:eastAsia="zh-CN"/>
        </w:rPr>
        <w:t xml:space="preserve"> below the FV but above the</w:t>
      </w:r>
      <w:r w:rsidRPr="007E479D">
        <w:rPr>
          <w:rFonts w:ascii="Times New Roman" w:hAnsi="Times New Roman" w:cs="Times New Roman"/>
          <w:iCs/>
        </w:rPr>
        <w:t xml:space="preserve"> BV, then rise above the FV after period 6, and remain at the elevated level of approximately 300 francs.</w:t>
      </w:r>
      <w:r w:rsidRPr="007E479D">
        <w:rPr>
          <w:rFonts w:ascii="Times New Roman" w:hAnsi="Times New Roman" w:cs="Times New Roman"/>
          <w:iCs/>
          <w:lang w:eastAsia="zh-CN"/>
        </w:rPr>
        <w:t xml:space="preserve"> </w:t>
      </w:r>
      <w:r w:rsidRPr="007E479D">
        <w:rPr>
          <w:rFonts w:ascii="Times New Roman" w:hAnsi="Times New Roman" w:cs="Times New Roman"/>
          <w:iCs/>
        </w:rPr>
        <w:t xml:space="preserve">Under the GAI treatment, prices in period 1 are close to BV, converge to </w:t>
      </w:r>
      <w:proofErr w:type="gramStart"/>
      <w:r w:rsidRPr="007E479D">
        <w:rPr>
          <w:rFonts w:ascii="Times New Roman" w:hAnsi="Times New Roman" w:cs="Times New Roman"/>
          <w:iCs/>
        </w:rPr>
        <w:t>the FV</w:t>
      </w:r>
      <w:proofErr w:type="gramEnd"/>
      <w:r w:rsidRPr="007E479D">
        <w:rPr>
          <w:rFonts w:ascii="Times New Roman" w:hAnsi="Times New Roman" w:cs="Times New Roman"/>
          <w:iCs/>
        </w:rPr>
        <w:t xml:space="preserve"> by period 5, and remain close to </w:t>
      </w:r>
      <w:proofErr w:type="gramStart"/>
      <w:r w:rsidRPr="007E479D">
        <w:rPr>
          <w:rFonts w:ascii="Times New Roman" w:hAnsi="Times New Roman" w:cs="Times New Roman"/>
          <w:iCs/>
        </w:rPr>
        <w:t>the FV</w:t>
      </w:r>
      <w:proofErr w:type="gramEnd"/>
      <w:r w:rsidRPr="007E479D">
        <w:rPr>
          <w:rFonts w:ascii="Times New Roman" w:hAnsi="Times New Roman" w:cs="Times New Roman"/>
          <w:iCs/>
        </w:rPr>
        <w:t xml:space="preserve"> for the remainder of the market.</w:t>
      </w:r>
      <w:r w:rsidRPr="007E479D">
        <w:rPr>
          <w:rFonts w:ascii="Times New Roman" w:hAnsi="Times New Roman" w:cs="Times New Roman"/>
          <w:iCs/>
          <w:lang w:eastAsia="zh-CN"/>
        </w:rPr>
        <w:t xml:space="preserve"> The presence of a good AI makes prices very close to the fundamentals.</w:t>
      </w:r>
      <w:r w:rsidRPr="007E479D">
        <w:rPr>
          <w:rFonts w:ascii="Times New Roman" w:hAnsi="Times New Roman" w:cs="Times New Roman"/>
          <w:iCs/>
        </w:rPr>
        <w:t xml:space="preserve"> Similarly, in the BAI treatment, prices also start below FV, fluctuate between BV and FV </w:t>
      </w:r>
      <w:r w:rsidRPr="007E479D">
        <w:rPr>
          <w:rFonts w:ascii="Times New Roman" w:hAnsi="Times New Roman" w:cs="Times New Roman"/>
          <w:iCs/>
          <w:lang w:eastAsia="zh-CN"/>
        </w:rPr>
        <w:t>until</w:t>
      </w:r>
      <w:r w:rsidRPr="007E479D">
        <w:rPr>
          <w:rFonts w:ascii="Times New Roman" w:hAnsi="Times New Roman" w:cs="Times New Roman"/>
          <w:iCs/>
        </w:rPr>
        <w:t xml:space="preserve"> period 6, and then remain close to the FV until the final period. Therefore, </w:t>
      </w:r>
      <w:r w:rsidRPr="007E479D">
        <w:rPr>
          <w:rFonts w:ascii="Times New Roman" w:hAnsi="Times New Roman" w:cs="Times New Roman"/>
        </w:rPr>
        <w:t>we do not observe significant differences in terms of mispricing when AI is available, regardless of its quality. Prices are lower in both AI treatments than in the no AI baseline treatment.</w:t>
      </w:r>
    </w:p>
    <w:p w14:paraId="558F164F" w14:textId="77777777" w:rsidR="00562B4D" w:rsidRPr="00A656DB" w:rsidRDefault="00562B4D" w:rsidP="007E479D">
      <w:pPr>
        <w:pStyle w:val="Caption"/>
        <w:keepNext/>
        <w:jc w:val="center"/>
        <w:rPr>
          <w:rFonts w:ascii="Times New Roman" w:hAnsi="Times New Roman" w:cs="Times New Roman"/>
          <w:i w:val="0"/>
          <w:iCs w:val="0"/>
          <w:color w:val="auto"/>
          <w:sz w:val="22"/>
          <w:szCs w:val="22"/>
        </w:rPr>
      </w:pPr>
      <w:r w:rsidRPr="00A656DB">
        <w:rPr>
          <w:rFonts w:ascii="Times New Roman" w:hAnsi="Times New Roman" w:cs="Times New Roman"/>
          <w:i w:val="0"/>
          <w:iCs w:val="0"/>
          <w:color w:val="auto"/>
          <w:sz w:val="22"/>
          <w:szCs w:val="22"/>
        </w:rPr>
        <w:lastRenderedPageBreak/>
        <w:t>Figure 1. Time series of treatment median prices</w:t>
      </w:r>
    </w:p>
    <w:p w14:paraId="6D57C4F0" w14:textId="77777777" w:rsidR="00562B4D" w:rsidRPr="007E479D" w:rsidRDefault="00562B4D" w:rsidP="007E479D">
      <w:pPr>
        <w:jc w:val="center"/>
        <w:rPr>
          <w:rFonts w:ascii="Times New Roman" w:hAnsi="Times New Roman" w:cs="Times New Roman"/>
        </w:rPr>
      </w:pPr>
      <w:r w:rsidRPr="007E479D">
        <w:rPr>
          <w:rFonts w:ascii="Times New Roman" w:hAnsi="Times New Roman" w:cs="Times New Roman"/>
          <w:noProof/>
        </w:rPr>
        <w:drawing>
          <wp:inline distT="0" distB="0" distL="0" distR="0" wp14:anchorId="451E8671" wp14:editId="128455EB">
            <wp:extent cx="4389120" cy="3383280"/>
            <wp:effectExtent l="0" t="0" r="0" b="0"/>
            <wp:docPr id="1289864760"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9864760" name="Imagen 1289864760"/>
                    <pic:cNvPicPr/>
                  </pic:nvPicPr>
                  <pic:blipFill rotWithShape="1">
                    <a:blip r:embed="rId8" cstate="print">
                      <a:extLst>
                        <a:ext uri="{28A0092B-C50C-407E-A947-70E740481C1C}">
                          <a14:useLocalDpi xmlns:a14="http://schemas.microsoft.com/office/drawing/2010/main" val="0"/>
                        </a:ext>
                      </a:extLst>
                    </a:blip>
                    <a:srcRect t="4847"/>
                    <a:stretch>
                      <a:fillRect/>
                    </a:stretch>
                  </pic:blipFill>
                  <pic:spPr bwMode="auto">
                    <a:xfrm>
                      <a:off x="0" y="0"/>
                      <a:ext cx="4389120" cy="3383280"/>
                    </a:xfrm>
                    <a:prstGeom prst="rect">
                      <a:avLst/>
                    </a:prstGeom>
                    <a:ln>
                      <a:noFill/>
                    </a:ln>
                    <a:extLst>
                      <a:ext uri="{53640926-AAD7-44D8-BBD7-CCE9431645EC}">
                        <a14:shadowObscured xmlns:a14="http://schemas.microsoft.com/office/drawing/2010/main"/>
                      </a:ext>
                    </a:extLst>
                  </pic:spPr>
                </pic:pic>
              </a:graphicData>
            </a:graphic>
          </wp:inline>
        </w:drawing>
      </w:r>
    </w:p>
    <w:p w14:paraId="5B2B2F23" w14:textId="5BB50550" w:rsidR="00562B4D" w:rsidRPr="007E479D" w:rsidRDefault="00562B4D" w:rsidP="007E479D">
      <w:pPr>
        <w:spacing w:line="360" w:lineRule="auto"/>
        <w:ind w:firstLine="720"/>
        <w:jc w:val="both"/>
        <w:rPr>
          <w:rFonts w:ascii="Times New Roman" w:hAnsi="Times New Roman" w:cs="Times New Roman"/>
        </w:rPr>
      </w:pPr>
      <w:r w:rsidRPr="007E479D">
        <w:rPr>
          <w:rFonts w:ascii="Times New Roman" w:hAnsi="Times New Roman" w:cs="Times New Roman"/>
        </w:rPr>
        <w:t xml:space="preserve">To formally assess the magnitude of mispricing in the experiment, we used three bubble measures frequently employed in the literature: Relative Absolute Deviation (RAD), Relative Deviation (RD), and Turnover </w:t>
      </w:r>
      <w:r w:rsidR="001E5147" w:rsidRPr="001E5147">
        <w:rPr>
          <w:rFonts w:ascii="Times New Roman" w:hAnsi="Times New Roman" w:cs="Times New Roman"/>
        </w:rPr>
        <w:t>(Stöckl et al., 2010; Van Boening et al., 1993; Weber et al., 2018)</w:t>
      </w:r>
      <w:r w:rsidRPr="007E479D">
        <w:rPr>
          <w:rFonts w:ascii="Times New Roman" w:hAnsi="Times New Roman" w:cs="Times New Roman"/>
        </w:rPr>
        <w:t xml:space="preserve">. </w:t>
      </w:r>
      <w:bookmarkStart w:id="2" w:name="_Hlk223961194"/>
      <w:r w:rsidRPr="007E479D">
        <w:rPr>
          <w:rFonts w:ascii="Times New Roman" w:hAnsi="Times New Roman" w:cs="Times New Roman"/>
        </w:rPr>
        <w:t xml:space="preserve">The first measure, RAD, evaluates how closely prices align with fundamental values, capturing the average degree of </w:t>
      </w:r>
      <w:proofErr w:type="gramStart"/>
      <w:r w:rsidRPr="007E479D">
        <w:rPr>
          <w:rFonts w:ascii="Times New Roman" w:hAnsi="Times New Roman" w:cs="Times New Roman"/>
        </w:rPr>
        <w:t>mispricing</w:t>
      </w:r>
      <w:proofErr w:type="gramEnd"/>
      <w:r w:rsidRPr="007E479D">
        <w:rPr>
          <w:rFonts w:ascii="Times New Roman" w:hAnsi="Times New Roman" w:cs="Times New Roman"/>
        </w:rPr>
        <w:t xml:space="preserve"> in the market. It is defined as</w:t>
      </w:r>
      <w:r w:rsidRPr="007E479D">
        <w:rPr>
          <w:rFonts w:ascii="Times New Roman" w:hAnsi="Times New Roman" w:cs="Times New Roman"/>
          <w:i/>
        </w:rPr>
        <w:br/>
      </w:r>
      <m:oMath>
        <m:r>
          <w:rPr>
            <w:rFonts w:ascii="Cambria Math" w:hAnsi="Cambria Math" w:cs="Times New Roman"/>
          </w:rPr>
          <m:t>RAD=</m:t>
        </m:r>
        <m:d>
          <m:dPr>
            <m:begChr m:val="{"/>
            <m:endChr m:val="}"/>
            <m:ctrlPr>
              <w:rPr>
                <w:rFonts w:ascii="Cambria Math" w:hAnsi="Cambria Math" w:cs="Times New Roman"/>
                <w:i/>
              </w:rPr>
            </m:ctrlPr>
          </m:dPr>
          <m:e>
            <m:nary>
              <m:naryPr>
                <m:chr m:val="∑"/>
                <m:limLoc m:val="undOvr"/>
                <m:supHide m:val="1"/>
                <m:ctrlPr>
                  <w:rPr>
                    <w:rFonts w:ascii="Cambria Math" w:hAnsi="Cambria Math" w:cs="Times New Roman"/>
                    <w:i/>
                  </w:rPr>
                </m:ctrlPr>
              </m:naryPr>
              <m:sub>
                <m:r>
                  <w:rPr>
                    <w:rFonts w:ascii="Cambria Math" w:hAnsi="Cambria Math" w:cs="Times New Roman"/>
                  </w:rPr>
                  <m:t>t</m:t>
                </m:r>
              </m:sub>
              <m:sup/>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e>
                </m:d>
              </m:e>
            </m:nary>
            <m:r>
              <w:rPr>
                <w:rFonts w:ascii="Cambria Math" w:hAnsi="Cambria Math" w:cs="Times New Roman"/>
              </w:rPr>
              <m:t>/</m:t>
            </m:r>
            <m:d>
              <m:dPr>
                <m:ctrlPr>
                  <w:rPr>
                    <w:rFonts w:ascii="Cambria Math" w:hAnsi="Cambria Math" w:cs="Times New Roman"/>
                    <w:i/>
                  </w:rPr>
                </m:ctrlPr>
              </m:dPr>
              <m:e>
                <m:nary>
                  <m:naryPr>
                    <m:chr m:val="∑"/>
                    <m:limLoc m:val="undOvr"/>
                    <m:supHide m:val="1"/>
                    <m:ctrlPr>
                      <w:rPr>
                        <w:rFonts w:ascii="Cambria Math" w:hAnsi="Cambria Math" w:cs="Times New Roman"/>
                        <w:i/>
                      </w:rPr>
                    </m:ctrlPr>
                  </m:naryPr>
                  <m:sub>
                    <m:r>
                      <w:rPr>
                        <w:rFonts w:ascii="Cambria Math" w:hAnsi="Cambria Math" w:cs="Times New Roman"/>
                      </w:rPr>
                      <m:t>t</m:t>
                    </m:r>
                  </m:sub>
                  <m:sup/>
                  <m:e>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r>
                          <w:rPr>
                            <w:rFonts w:ascii="Cambria Math" w:hAnsi="Cambria Math" w:cs="Times New Roman"/>
                          </w:rPr>
                          <m:t>)</m:t>
                        </m:r>
                      </m:num>
                      <m:den>
                        <m:r>
                          <w:rPr>
                            <w:rFonts w:ascii="Cambria Math" w:hAnsi="Cambria Math" w:cs="Times New Roman"/>
                          </w:rPr>
                          <m:t>T</m:t>
                        </m:r>
                      </m:den>
                    </m:f>
                  </m:e>
                </m:nary>
              </m:e>
            </m:d>
          </m:e>
        </m:d>
        <m:r>
          <w:rPr>
            <w:rFonts w:ascii="Cambria Math" w:hAnsi="Cambria Math" w:cs="Times New Roman"/>
          </w:rPr>
          <m:t>/T</m:t>
        </m:r>
      </m:oMath>
      <w:r w:rsidRPr="007E479D">
        <w:rPr>
          <w:rFonts w:ascii="Times New Roman" w:hAnsi="Times New Roman" w:cs="Times New Roman"/>
          <w:i/>
        </w:rPr>
        <w:t xml:space="preserve">, </w:t>
      </w:r>
      <w:r w:rsidRPr="007E479D">
        <w:rPr>
          <w:rFonts w:ascii="Times New Roman" w:hAnsi="Times New Roman" w:cs="Times New Roman"/>
          <w:iCs/>
        </w:rPr>
        <w:t xml:space="preserve">where </w:t>
      </w:r>
      <w:r w:rsidRPr="007E479D">
        <w:rPr>
          <w:rFonts w:ascii="Times New Roman" w:hAnsi="Times New Roman" w:cs="Times New Roman"/>
        </w:rPr>
        <w:t xml:space="preserve">T represents the total number of periods in a market session, </w:t>
      </w:r>
      <w:r w:rsidRPr="007E479D">
        <w:rPr>
          <w:rFonts w:ascii="Cambria Math" w:hAnsi="Cambria Math" w:cs="Cambria Math"/>
        </w:rPr>
        <w:t>𝐹𝑉</w:t>
      </w:r>
      <w:r w:rsidRPr="007E479D">
        <w:rPr>
          <w:rFonts w:ascii="Cambria Math" w:hAnsi="Cambria Math" w:cs="Cambria Math"/>
          <w:vertAlign w:val="subscript"/>
        </w:rPr>
        <w:t>𝑡</w:t>
      </w:r>
      <w:r w:rsidRPr="007E479D">
        <w:rPr>
          <w:rFonts w:ascii="Times New Roman" w:hAnsi="Times New Roman" w:cs="Times New Roman"/>
        </w:rPr>
        <w:t xml:space="preserve"> denotes the fundamental value in period t, and </w:t>
      </w:r>
      <w:r w:rsidRPr="007E479D">
        <w:rPr>
          <w:rFonts w:ascii="Cambria Math" w:hAnsi="Cambria Math" w:cs="Cambria Math"/>
        </w:rPr>
        <w:t>𝑃</w:t>
      </w:r>
      <w:r w:rsidRPr="007E479D">
        <w:rPr>
          <w:rFonts w:ascii="Cambria Math" w:hAnsi="Cambria Math" w:cs="Cambria Math"/>
          <w:vertAlign w:val="subscript"/>
        </w:rPr>
        <w:t>𝑡</w:t>
      </w:r>
      <w:r w:rsidRPr="007E479D">
        <w:rPr>
          <w:rFonts w:ascii="Times New Roman" w:hAnsi="Times New Roman" w:cs="Times New Roman"/>
        </w:rPr>
        <w:t xml:space="preserve"> is the average price in period t. The second measure, RD, indicates whether prices are on average above (RD &gt; 0) or below (RD &lt; 0) the fundamental values. Therefore, it is a measure of the average over or under valuation and is defined as </w:t>
      </w:r>
      <m:oMath>
        <m:r>
          <w:rPr>
            <w:rFonts w:ascii="Cambria Math" w:hAnsi="Cambria Math" w:cs="Times New Roman"/>
          </w:rPr>
          <m:t>RD=</m:t>
        </m:r>
        <m:d>
          <m:dPr>
            <m:begChr m:val="{"/>
            <m:endChr m:val="}"/>
            <m:ctrlPr>
              <w:rPr>
                <w:rFonts w:ascii="Cambria Math" w:hAnsi="Cambria Math" w:cs="Times New Roman"/>
                <w:i/>
              </w:rPr>
            </m:ctrlPr>
          </m:dPr>
          <m:e>
            <m:nary>
              <m:naryPr>
                <m:chr m:val="∑"/>
                <m:limLoc m:val="undOvr"/>
                <m:supHide m:val="1"/>
                <m:ctrlPr>
                  <w:rPr>
                    <w:rFonts w:ascii="Cambria Math" w:hAnsi="Cambria Math" w:cs="Times New Roman"/>
                    <w:i/>
                  </w:rPr>
                </m:ctrlPr>
              </m:naryPr>
              <m:sub>
                <m:r>
                  <w:rPr>
                    <w:rFonts w:ascii="Cambria Math" w:hAnsi="Cambria Math" w:cs="Times New Roman"/>
                  </w:rPr>
                  <m:t>t</m:t>
                </m:r>
              </m:sub>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r>
                  <w:rPr>
                    <w:rFonts w:ascii="Cambria Math" w:hAnsi="Cambria Math" w:cs="Times New Roman"/>
                  </w:rPr>
                  <m:t>)</m:t>
                </m:r>
              </m:e>
            </m:nary>
            <m:r>
              <w:rPr>
                <w:rFonts w:ascii="Cambria Math" w:hAnsi="Cambria Math" w:cs="Times New Roman"/>
              </w:rPr>
              <m:t>/</m:t>
            </m:r>
            <m:d>
              <m:dPr>
                <m:ctrlPr>
                  <w:rPr>
                    <w:rFonts w:ascii="Cambria Math" w:hAnsi="Cambria Math" w:cs="Times New Roman"/>
                    <w:i/>
                  </w:rPr>
                </m:ctrlPr>
              </m:dPr>
              <m:e>
                <m:nary>
                  <m:naryPr>
                    <m:chr m:val="∑"/>
                    <m:limLoc m:val="undOvr"/>
                    <m:supHide m:val="1"/>
                    <m:ctrlPr>
                      <w:rPr>
                        <w:rFonts w:ascii="Cambria Math" w:hAnsi="Cambria Math" w:cs="Times New Roman"/>
                        <w:i/>
                      </w:rPr>
                    </m:ctrlPr>
                  </m:naryPr>
                  <m:sub>
                    <m:r>
                      <w:rPr>
                        <w:rFonts w:ascii="Cambria Math" w:hAnsi="Cambria Math" w:cs="Times New Roman"/>
                      </w:rPr>
                      <m:t>t</m:t>
                    </m:r>
                  </m:sub>
                  <m:sup/>
                  <m:e>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r>
                          <w:rPr>
                            <w:rFonts w:ascii="Cambria Math" w:hAnsi="Cambria Math" w:cs="Times New Roman"/>
                          </w:rPr>
                          <m:t>)</m:t>
                        </m:r>
                      </m:num>
                      <m:den>
                        <m:r>
                          <w:rPr>
                            <w:rFonts w:ascii="Cambria Math" w:hAnsi="Cambria Math" w:cs="Times New Roman"/>
                          </w:rPr>
                          <m:t>T</m:t>
                        </m:r>
                      </m:den>
                    </m:f>
                  </m:e>
                </m:nary>
              </m:e>
            </m:d>
          </m:e>
        </m:d>
        <m:r>
          <w:rPr>
            <w:rFonts w:ascii="Cambria Math" w:hAnsi="Cambria Math" w:cs="Times New Roman"/>
          </w:rPr>
          <m:t>/T</m:t>
        </m:r>
      </m:oMath>
      <w:r w:rsidRPr="007E479D">
        <w:rPr>
          <w:rFonts w:ascii="Times New Roman" w:hAnsi="Times New Roman" w:cs="Times New Roman"/>
        </w:rPr>
        <w:t xml:space="preserve">. Turnover is the total number of transactions in a market session, normalized by the total units of asset available </w:t>
      </w:r>
      <w:proofErr w:type="gramStart"/>
      <w:r w:rsidRPr="007E479D">
        <w:rPr>
          <w:rFonts w:ascii="Times New Roman" w:hAnsi="Times New Roman" w:cs="Times New Roman"/>
        </w:rPr>
        <w:t>in</w:t>
      </w:r>
      <w:proofErr w:type="gramEnd"/>
      <w:r w:rsidRPr="007E479D">
        <w:rPr>
          <w:rFonts w:ascii="Times New Roman" w:hAnsi="Times New Roman" w:cs="Times New Roman"/>
        </w:rPr>
        <w:t xml:space="preserve"> the market, and calculated as, </w:t>
      </w:r>
      <m:oMath>
        <m:r>
          <w:rPr>
            <w:rFonts w:ascii="Cambria Math" w:hAnsi="Cambria Math" w:cs="Times New Roman"/>
          </w:rPr>
          <m:t>Turnover=</m:t>
        </m:r>
        <m:d>
          <m:dPr>
            <m:ctrlPr>
              <w:rPr>
                <w:rFonts w:ascii="Cambria Math" w:hAnsi="Cambria Math" w:cs="Times New Roman"/>
                <w:i/>
              </w:rPr>
            </m:ctrlPr>
          </m:dPr>
          <m:e>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m:t>
                    </m:r>
                  </m:sub>
                </m:sSub>
              </m:e>
            </m:nary>
          </m:e>
        </m:d>
        <m:r>
          <w:rPr>
            <w:rFonts w:ascii="Cambria Math" w:hAnsi="Cambria Math" w:cs="Times New Roman"/>
          </w:rPr>
          <m:t>/TSU</m:t>
        </m:r>
      </m:oMath>
      <w:r w:rsidRPr="007E479D">
        <w:rPr>
          <w:rFonts w:ascii="Times New Roman" w:hAnsi="Times New Roman" w:cs="Times New Roman"/>
        </w:rPr>
        <w:t xml:space="preserve">, where TSU denotes the total stock of units. In addition to these conventional measures, we also include the Geometric Absolute Deviation (GAD) and Geometric Deviation (GD), introduced by </w:t>
      </w:r>
      <w:r w:rsidR="001E5147" w:rsidRPr="001E5147">
        <w:rPr>
          <w:rFonts w:ascii="Times New Roman" w:hAnsi="Times New Roman" w:cs="Times New Roman"/>
        </w:rPr>
        <w:t>Powell (2016)</w:t>
      </w:r>
      <w:r w:rsidRPr="007E479D">
        <w:rPr>
          <w:rFonts w:ascii="Times New Roman" w:hAnsi="Times New Roman" w:cs="Times New Roman"/>
        </w:rPr>
        <w:t xml:space="preserve">. The interpretations of GAD and GD are the same as those of RAD and RD, and these measures satisfy numeraire independence. Their respective formulas are given as </w:t>
      </w:r>
      <m:oMath>
        <m:func>
          <m:funcPr>
            <m:ctrlPr>
              <w:rPr>
                <w:rFonts w:ascii="Cambria Math" w:hAnsi="Cambria Math" w:cs="Times New Roman"/>
              </w:rPr>
            </m:ctrlPr>
          </m:funcPr>
          <m:fName>
            <m:r>
              <w:rPr>
                <w:rFonts w:ascii="Cambria Math" w:hAnsi="Cambria Math" w:cs="Times New Roman"/>
              </w:rPr>
              <m:t>GAD</m:t>
            </m:r>
            <m:r>
              <m:rPr>
                <m:sty m:val="p"/>
              </m:rPr>
              <w:rPr>
                <w:rFonts w:ascii="Cambria Math" w:hAnsi="Cambria Math" w:cs="Times New Roman"/>
              </w:rPr>
              <m:t>=exp</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T</m:t>
                    </m:r>
                  </m:den>
                </m:f>
                <m:nary>
                  <m:naryPr>
                    <m:chr m:val="∑"/>
                    <m:limLoc m:val="undOvr"/>
                    <m:supHide m:val="1"/>
                    <m:ctrlPr>
                      <w:rPr>
                        <w:rFonts w:ascii="Cambria Math" w:hAnsi="Cambria Math" w:cs="Times New Roman"/>
                        <w:i/>
                      </w:rPr>
                    </m:ctrlPr>
                  </m:naryPr>
                  <m:sub>
                    <m:r>
                      <w:rPr>
                        <w:rFonts w:ascii="Cambria Math" w:hAnsi="Cambria Math" w:cs="Times New Roman"/>
                      </w:rPr>
                      <m:t>t</m:t>
                    </m:r>
                  </m:sub>
                  <m:sup/>
                  <m:e>
                    <m:d>
                      <m:dPr>
                        <m:begChr m:val="|"/>
                        <m:endChr m:val="|"/>
                        <m:ctrlPr>
                          <w:rPr>
                            <w:rFonts w:ascii="Cambria Math" w:hAnsi="Cambria Math" w:cs="Times New Roman"/>
                            <w:i/>
                          </w:rPr>
                        </m:ctrlPr>
                      </m:dPr>
                      <m:e>
                        <m:func>
                          <m:funcPr>
                            <m:ctrlPr>
                              <w:rPr>
                                <w:rFonts w:ascii="Cambria Math" w:hAnsi="Cambria Math" w:cs="Times New Roman"/>
                              </w:rPr>
                            </m:ctrlPr>
                          </m:funcPr>
                          <m:fName>
                            <m:r>
                              <m:rPr>
                                <m:sty m:val="p"/>
                              </m:rPr>
                              <w:rPr>
                                <w:rFonts w:ascii="Cambria Math" w:hAnsi="Cambria Math" w:cs="Times New Roman"/>
                              </w:rPr>
                              <m:t>ln</m:t>
                            </m:r>
                            <m:ctrlPr>
                              <w:rPr>
                                <w:rFonts w:ascii="Cambria Math" w:hAnsi="Cambria Math" w:cs="Times New Roman"/>
                                <w:i/>
                              </w:rPr>
                            </m:ctrlP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num>
                                  <m:den>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den>
                                </m:f>
                              </m:e>
                            </m:d>
                          </m:e>
                        </m:func>
                      </m:e>
                    </m:d>
                  </m:e>
                </m:nary>
              </m:e>
            </m:d>
          </m:e>
        </m:func>
        <m:r>
          <w:rPr>
            <w:rFonts w:ascii="Cambria Math" w:hAnsi="Cambria Math" w:cs="Times New Roman"/>
          </w:rPr>
          <m:t>-1</m:t>
        </m:r>
      </m:oMath>
      <w:r w:rsidRPr="007E479D">
        <w:rPr>
          <w:rFonts w:ascii="Times New Roman" w:hAnsi="Times New Roman" w:cs="Times New Roman"/>
        </w:rPr>
        <w:t xml:space="preserve"> and </w:t>
      </w:r>
      <m:oMath>
        <m:r>
          <w:rPr>
            <w:rFonts w:ascii="Cambria Math" w:eastAsia="Aptos" w:hAnsi="Cambria Math" w:cs="Times New Roman"/>
          </w:rPr>
          <m:t>GD=</m:t>
        </m:r>
        <m:sSup>
          <m:sSupPr>
            <m:ctrlPr>
              <w:rPr>
                <w:rFonts w:ascii="Cambria Math" w:eastAsia="Aptos" w:hAnsi="Cambria Math" w:cs="Times New Roman"/>
                <w:i/>
              </w:rPr>
            </m:ctrlPr>
          </m:sSupPr>
          <m:e>
            <m:d>
              <m:dPr>
                <m:ctrlPr>
                  <w:rPr>
                    <w:rFonts w:ascii="Cambria Math" w:eastAsia="Aptos" w:hAnsi="Cambria Math" w:cs="Times New Roman"/>
                    <w:i/>
                  </w:rPr>
                </m:ctrlPr>
              </m:dPr>
              <m:e>
                <m:nary>
                  <m:naryPr>
                    <m:chr m:val="∏"/>
                    <m:limLoc m:val="subSup"/>
                    <m:supHide m:val="1"/>
                    <m:ctrlPr>
                      <w:rPr>
                        <w:rFonts w:ascii="Cambria Math" w:eastAsia="Aptos" w:hAnsi="Cambria Math" w:cs="Times New Roman"/>
                        <w:i/>
                      </w:rPr>
                    </m:ctrlPr>
                  </m:naryPr>
                  <m:sub>
                    <m:r>
                      <w:rPr>
                        <w:rFonts w:ascii="Cambria Math" w:eastAsia="Aptos" w:hAnsi="Cambria Math" w:cs="Times New Roman"/>
                      </w:rPr>
                      <m:t>t</m:t>
                    </m:r>
                  </m:sub>
                  <m:sup/>
                  <m:e>
                    <m:sSub>
                      <m:sSubPr>
                        <m:ctrlPr>
                          <w:rPr>
                            <w:rFonts w:ascii="Cambria Math" w:eastAsia="Aptos" w:hAnsi="Cambria Math" w:cs="Times New Roman"/>
                            <w:i/>
                          </w:rPr>
                        </m:ctrlPr>
                      </m:sSubPr>
                      <m:e>
                        <m:r>
                          <w:rPr>
                            <w:rFonts w:ascii="Cambria Math" w:eastAsia="Aptos" w:hAnsi="Cambria Math" w:cs="Times New Roman"/>
                          </w:rPr>
                          <m:t>P</m:t>
                        </m:r>
                      </m:e>
                      <m:sub>
                        <m:r>
                          <w:rPr>
                            <w:rFonts w:ascii="Cambria Math" w:eastAsia="Aptos" w:hAnsi="Cambria Math" w:cs="Times New Roman"/>
                          </w:rPr>
                          <m:t>t</m:t>
                        </m:r>
                      </m:sub>
                    </m:sSub>
                  </m:e>
                </m:nary>
                <m:r>
                  <w:rPr>
                    <w:rFonts w:ascii="Cambria Math" w:eastAsia="Aptos" w:hAnsi="Cambria Math" w:cs="Times New Roman"/>
                  </w:rPr>
                  <m:t>/</m:t>
                </m:r>
                <m:sSub>
                  <m:sSubPr>
                    <m:ctrlPr>
                      <w:rPr>
                        <w:rFonts w:ascii="Cambria Math" w:hAnsi="Cambria Math" w:cs="Times New Roman"/>
                        <w:i/>
                      </w:rPr>
                    </m:ctrlPr>
                  </m:sSubPr>
                  <m:e>
                    <m:r>
                      <w:rPr>
                        <w:rFonts w:ascii="Cambria Math" w:hAnsi="Cambria Math" w:cs="Times New Roman"/>
                      </w:rPr>
                      <m:t>FV</m:t>
                    </m:r>
                  </m:e>
                  <m:sub>
                    <m:r>
                      <w:rPr>
                        <w:rFonts w:ascii="Cambria Math" w:hAnsi="Cambria Math" w:cs="Times New Roman"/>
                      </w:rPr>
                      <m:t>t</m:t>
                    </m:r>
                  </m:sub>
                </m:sSub>
              </m:e>
            </m:d>
          </m:e>
          <m:sup>
            <m:r>
              <w:rPr>
                <w:rFonts w:ascii="Cambria Math" w:eastAsia="Aptos" w:hAnsi="Cambria Math" w:cs="Times New Roman"/>
              </w:rPr>
              <m:t>1/T</m:t>
            </m:r>
          </m:sup>
        </m:sSup>
        <m:r>
          <w:rPr>
            <w:rFonts w:ascii="Cambria Math" w:eastAsia="Aptos" w:hAnsi="Cambria Math" w:cs="Times New Roman"/>
          </w:rPr>
          <m:t>-1</m:t>
        </m:r>
      </m:oMath>
      <w:r w:rsidRPr="007E479D">
        <w:rPr>
          <w:rFonts w:ascii="Times New Roman" w:hAnsi="Times New Roman" w:cs="Times New Roman"/>
        </w:rPr>
        <w:t xml:space="preserve">. </w:t>
      </w:r>
      <w:bookmarkEnd w:id="2"/>
    </w:p>
    <w:p w14:paraId="22BC269C" w14:textId="77777777" w:rsidR="00562B4D" w:rsidRPr="007E479D" w:rsidRDefault="00562B4D" w:rsidP="007E479D">
      <w:pPr>
        <w:spacing w:line="360" w:lineRule="auto"/>
        <w:ind w:firstLine="720"/>
        <w:jc w:val="both"/>
        <w:rPr>
          <w:rFonts w:ascii="Times New Roman" w:hAnsi="Times New Roman" w:cs="Times New Roman"/>
        </w:rPr>
      </w:pPr>
      <w:r w:rsidRPr="007E479D">
        <w:rPr>
          <w:rFonts w:ascii="Times New Roman" w:hAnsi="Times New Roman" w:cs="Times New Roman"/>
        </w:rPr>
        <w:lastRenderedPageBreak/>
        <w:t xml:space="preserve">As shown in Table 2, in the NAI baseline condition, the average degree of absolute mispricing reaches 245% relative to the fundamental values ​​(RAD), whereas the same statistics decrease to 33.8% and 30.4% with AI advice, for the GAI and BAI treatments, respectively. The GAD statistics show a similar pattern. Furthermore, only in NAI do we observe overpricing as indicated by positive RD and GD, while both </w:t>
      </w:r>
      <w:r w:rsidRPr="007E479D">
        <w:rPr>
          <w:rFonts w:ascii="Times New Roman" w:hAnsi="Times New Roman" w:cs="Times New Roman"/>
          <w:lang w:eastAsia="zh-CN"/>
        </w:rPr>
        <w:t xml:space="preserve">AI treatments have negative RD and GD values due to underpricing. </w:t>
      </w:r>
      <w:r w:rsidRPr="007E479D">
        <w:rPr>
          <w:rFonts w:ascii="Times New Roman" w:hAnsi="Times New Roman" w:cs="Times New Roman"/>
        </w:rPr>
        <w:t>Specifically, in the NAI treatment, RD is positive and 216.1% above the FV on average. In contrast, the RD values in the GAI and BAI treatments indicate that prices are 3.9% and 13.8% below the FV, respectively. For Turnover, we see that each stock is traded on average 0.5 times without AI, 0.4 times with good AI, and 0.6 times with bad AI.</w:t>
      </w:r>
      <w:r w:rsidRPr="007E479D">
        <w:rPr>
          <w:rStyle w:val="FootnoteReference"/>
          <w:rFonts w:ascii="Times New Roman" w:hAnsi="Times New Roman" w:cs="Times New Roman"/>
        </w:rPr>
        <w:footnoteReference w:id="10"/>
      </w:r>
      <w:r w:rsidRPr="007E479D">
        <w:rPr>
          <w:rFonts w:ascii="Times New Roman" w:hAnsi="Times New Roman" w:cs="Times New Roman"/>
        </w:rPr>
        <w:t xml:space="preserve"> </w:t>
      </w:r>
    </w:p>
    <w:p w14:paraId="272200CC" w14:textId="5A531B5D" w:rsidR="00562B4D" w:rsidRPr="00A656DB" w:rsidRDefault="00562B4D" w:rsidP="00562B4D">
      <w:pPr>
        <w:pStyle w:val="Caption"/>
        <w:keepNext/>
        <w:jc w:val="center"/>
        <w:rPr>
          <w:rFonts w:ascii="Times New Roman" w:hAnsi="Times New Roman" w:cs="Times New Roman"/>
          <w:i w:val="0"/>
          <w:iCs w:val="0"/>
          <w:color w:val="auto"/>
          <w:sz w:val="22"/>
          <w:szCs w:val="22"/>
        </w:rPr>
      </w:pPr>
      <w:r w:rsidRPr="00A656DB">
        <w:rPr>
          <w:rFonts w:ascii="Times New Roman" w:hAnsi="Times New Roman" w:cs="Times New Roman"/>
          <w:i w:val="0"/>
          <w:iCs w:val="0"/>
          <w:color w:val="auto"/>
          <w:sz w:val="22"/>
          <w:szCs w:val="22"/>
        </w:rPr>
        <w:t>Table 2. Average mispricing measures</w:t>
      </w:r>
    </w:p>
    <w:tbl>
      <w:tblPr>
        <w:tblW w:w="3721" w:type="pct"/>
        <w:jc w:val="center"/>
        <w:tblCellMar>
          <w:left w:w="70" w:type="dxa"/>
          <w:right w:w="70" w:type="dxa"/>
        </w:tblCellMar>
        <w:tblLook w:val="04A0" w:firstRow="1" w:lastRow="0" w:firstColumn="1" w:lastColumn="0" w:noHBand="0" w:noVBand="1"/>
      </w:tblPr>
      <w:tblGrid>
        <w:gridCol w:w="1149"/>
        <w:gridCol w:w="1115"/>
        <w:gridCol w:w="1115"/>
        <w:gridCol w:w="1115"/>
        <w:gridCol w:w="1116"/>
        <w:gridCol w:w="1107"/>
      </w:tblGrid>
      <w:tr w:rsidR="00562B4D" w:rsidRPr="00DB3BC4" w14:paraId="198CBA13" w14:textId="77777777" w:rsidTr="0051323E">
        <w:trPr>
          <w:trHeight w:val="285"/>
          <w:jc w:val="center"/>
        </w:trPr>
        <w:tc>
          <w:tcPr>
            <w:tcW w:w="855" w:type="pct"/>
            <w:tcBorders>
              <w:top w:val="single" w:sz="12" w:space="0" w:color="auto"/>
              <w:bottom w:val="single" w:sz="4" w:space="0" w:color="auto"/>
            </w:tcBorders>
            <w:noWrap/>
            <w:vAlign w:val="center"/>
            <w:hideMark/>
          </w:tcPr>
          <w:p w14:paraId="5E854895"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Treatment</w:t>
            </w:r>
          </w:p>
        </w:tc>
        <w:tc>
          <w:tcPr>
            <w:tcW w:w="830" w:type="pct"/>
            <w:tcBorders>
              <w:top w:val="single" w:sz="12" w:space="0" w:color="auto"/>
              <w:bottom w:val="single" w:sz="4" w:space="0" w:color="auto"/>
            </w:tcBorders>
            <w:noWrap/>
            <w:vAlign w:val="center"/>
            <w:hideMark/>
          </w:tcPr>
          <w:p w14:paraId="3A3E57FE"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RAD</w:t>
            </w:r>
          </w:p>
        </w:tc>
        <w:tc>
          <w:tcPr>
            <w:tcW w:w="830" w:type="pct"/>
            <w:tcBorders>
              <w:top w:val="single" w:sz="12" w:space="0" w:color="auto"/>
              <w:bottom w:val="single" w:sz="4" w:space="0" w:color="auto"/>
            </w:tcBorders>
            <w:noWrap/>
            <w:vAlign w:val="center"/>
            <w:hideMark/>
          </w:tcPr>
          <w:p w14:paraId="04C27947"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RD</w:t>
            </w:r>
          </w:p>
        </w:tc>
        <w:tc>
          <w:tcPr>
            <w:tcW w:w="830" w:type="pct"/>
            <w:tcBorders>
              <w:top w:val="single" w:sz="12" w:space="0" w:color="auto"/>
              <w:bottom w:val="single" w:sz="4" w:space="0" w:color="auto"/>
            </w:tcBorders>
            <w:noWrap/>
            <w:vAlign w:val="center"/>
            <w:hideMark/>
          </w:tcPr>
          <w:p w14:paraId="33B34FA4"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Turnover</w:t>
            </w:r>
          </w:p>
        </w:tc>
        <w:tc>
          <w:tcPr>
            <w:tcW w:w="831" w:type="pct"/>
            <w:tcBorders>
              <w:top w:val="single" w:sz="12" w:space="0" w:color="auto"/>
              <w:bottom w:val="single" w:sz="4" w:space="0" w:color="auto"/>
            </w:tcBorders>
            <w:noWrap/>
            <w:vAlign w:val="center"/>
            <w:hideMark/>
          </w:tcPr>
          <w:p w14:paraId="01031EEC"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GAD</w:t>
            </w:r>
          </w:p>
        </w:tc>
        <w:tc>
          <w:tcPr>
            <w:tcW w:w="824" w:type="pct"/>
            <w:tcBorders>
              <w:top w:val="single" w:sz="12" w:space="0" w:color="auto"/>
              <w:bottom w:val="single" w:sz="4" w:space="0" w:color="auto"/>
            </w:tcBorders>
            <w:noWrap/>
            <w:vAlign w:val="center"/>
            <w:hideMark/>
          </w:tcPr>
          <w:p w14:paraId="6FC5FD20"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GD</w:t>
            </w:r>
          </w:p>
        </w:tc>
      </w:tr>
      <w:tr w:rsidR="00562B4D" w:rsidRPr="00DB3BC4" w14:paraId="4B6E5F8F" w14:textId="77777777" w:rsidTr="0051323E">
        <w:trPr>
          <w:trHeight w:val="285"/>
          <w:jc w:val="center"/>
        </w:trPr>
        <w:tc>
          <w:tcPr>
            <w:tcW w:w="855" w:type="pct"/>
            <w:vMerge w:val="restart"/>
            <w:tcBorders>
              <w:top w:val="single" w:sz="4" w:space="0" w:color="auto"/>
            </w:tcBorders>
            <w:vAlign w:val="center"/>
          </w:tcPr>
          <w:p w14:paraId="46CB3D40"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NAI</w:t>
            </w:r>
          </w:p>
        </w:tc>
        <w:tc>
          <w:tcPr>
            <w:tcW w:w="830" w:type="pct"/>
            <w:tcBorders>
              <w:top w:val="single" w:sz="4" w:space="0" w:color="auto"/>
            </w:tcBorders>
            <w:noWrap/>
            <w:vAlign w:val="center"/>
          </w:tcPr>
          <w:p w14:paraId="7DF98BA0"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2.451</w:t>
            </w:r>
          </w:p>
        </w:tc>
        <w:tc>
          <w:tcPr>
            <w:tcW w:w="830" w:type="pct"/>
            <w:tcBorders>
              <w:top w:val="single" w:sz="4" w:space="0" w:color="auto"/>
            </w:tcBorders>
            <w:noWrap/>
            <w:vAlign w:val="center"/>
          </w:tcPr>
          <w:p w14:paraId="696E6EFC"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2.161</w:t>
            </w:r>
          </w:p>
        </w:tc>
        <w:tc>
          <w:tcPr>
            <w:tcW w:w="830" w:type="pct"/>
            <w:tcBorders>
              <w:top w:val="single" w:sz="4" w:space="0" w:color="auto"/>
            </w:tcBorders>
            <w:noWrap/>
            <w:vAlign w:val="center"/>
          </w:tcPr>
          <w:p w14:paraId="4CA4AF1C"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0.543</w:t>
            </w:r>
          </w:p>
        </w:tc>
        <w:tc>
          <w:tcPr>
            <w:tcW w:w="831" w:type="pct"/>
            <w:tcBorders>
              <w:top w:val="single" w:sz="4" w:space="0" w:color="auto"/>
            </w:tcBorders>
            <w:noWrap/>
            <w:vAlign w:val="center"/>
          </w:tcPr>
          <w:p w14:paraId="64DE9EC9"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1.029</w:t>
            </w:r>
          </w:p>
        </w:tc>
        <w:tc>
          <w:tcPr>
            <w:tcW w:w="824" w:type="pct"/>
            <w:tcBorders>
              <w:top w:val="single" w:sz="4" w:space="0" w:color="auto"/>
            </w:tcBorders>
            <w:noWrap/>
            <w:vAlign w:val="center"/>
          </w:tcPr>
          <w:p w14:paraId="4B7E6826"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0.389</w:t>
            </w:r>
          </w:p>
        </w:tc>
      </w:tr>
      <w:tr w:rsidR="00562B4D" w:rsidRPr="00DB3BC4" w14:paraId="740C3BA8" w14:textId="77777777" w:rsidTr="0051323E">
        <w:trPr>
          <w:trHeight w:val="285"/>
          <w:jc w:val="center"/>
        </w:trPr>
        <w:tc>
          <w:tcPr>
            <w:tcW w:w="855" w:type="pct"/>
            <w:vMerge/>
            <w:vAlign w:val="center"/>
          </w:tcPr>
          <w:p w14:paraId="6454BE0C"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p>
        </w:tc>
        <w:tc>
          <w:tcPr>
            <w:tcW w:w="830" w:type="pct"/>
            <w:noWrap/>
            <w:vAlign w:val="center"/>
          </w:tcPr>
          <w:p w14:paraId="220BCF0B"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(5.006)</w:t>
            </w:r>
          </w:p>
        </w:tc>
        <w:tc>
          <w:tcPr>
            <w:tcW w:w="830" w:type="pct"/>
            <w:noWrap/>
            <w:vAlign w:val="center"/>
          </w:tcPr>
          <w:p w14:paraId="3A129610"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(5.005)</w:t>
            </w:r>
          </w:p>
        </w:tc>
        <w:tc>
          <w:tcPr>
            <w:tcW w:w="830" w:type="pct"/>
            <w:noWrap/>
            <w:vAlign w:val="center"/>
          </w:tcPr>
          <w:p w14:paraId="7613BF12"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(0.345)</w:t>
            </w:r>
          </w:p>
        </w:tc>
        <w:tc>
          <w:tcPr>
            <w:tcW w:w="831" w:type="pct"/>
            <w:noWrap/>
            <w:vAlign w:val="center"/>
          </w:tcPr>
          <w:p w14:paraId="6E961EE1"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(0.851)</w:t>
            </w:r>
          </w:p>
        </w:tc>
        <w:tc>
          <w:tcPr>
            <w:tcW w:w="824" w:type="pct"/>
            <w:noWrap/>
            <w:vAlign w:val="center"/>
          </w:tcPr>
          <w:p w14:paraId="102B9BFF"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(0.894)</w:t>
            </w:r>
          </w:p>
        </w:tc>
      </w:tr>
      <w:tr w:rsidR="00562B4D" w:rsidRPr="00DB3BC4" w14:paraId="5025C72B" w14:textId="77777777" w:rsidTr="0051323E">
        <w:trPr>
          <w:trHeight w:val="285"/>
          <w:jc w:val="center"/>
        </w:trPr>
        <w:tc>
          <w:tcPr>
            <w:tcW w:w="855" w:type="pct"/>
            <w:vMerge w:val="restart"/>
            <w:vAlign w:val="center"/>
          </w:tcPr>
          <w:p w14:paraId="14599AD0"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GAI</w:t>
            </w:r>
          </w:p>
        </w:tc>
        <w:tc>
          <w:tcPr>
            <w:tcW w:w="830" w:type="pct"/>
            <w:noWrap/>
            <w:vAlign w:val="center"/>
          </w:tcPr>
          <w:p w14:paraId="4C94DDED"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0.338</w:t>
            </w:r>
          </w:p>
        </w:tc>
        <w:tc>
          <w:tcPr>
            <w:tcW w:w="830" w:type="pct"/>
            <w:noWrap/>
            <w:vAlign w:val="center"/>
          </w:tcPr>
          <w:p w14:paraId="0612A811"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-0.039</w:t>
            </w:r>
          </w:p>
        </w:tc>
        <w:tc>
          <w:tcPr>
            <w:tcW w:w="830" w:type="pct"/>
            <w:noWrap/>
            <w:vAlign w:val="center"/>
          </w:tcPr>
          <w:p w14:paraId="14C634EC"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0.428</w:t>
            </w:r>
          </w:p>
        </w:tc>
        <w:tc>
          <w:tcPr>
            <w:tcW w:w="831" w:type="pct"/>
            <w:noWrap/>
            <w:vAlign w:val="center"/>
          </w:tcPr>
          <w:p w14:paraId="12E903AD"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0.544</w:t>
            </w:r>
          </w:p>
        </w:tc>
        <w:tc>
          <w:tcPr>
            <w:tcW w:w="824" w:type="pct"/>
            <w:noWrap/>
            <w:vAlign w:val="center"/>
          </w:tcPr>
          <w:p w14:paraId="103EB155"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-0.106</w:t>
            </w:r>
          </w:p>
        </w:tc>
      </w:tr>
      <w:tr w:rsidR="00562B4D" w:rsidRPr="00DB3BC4" w14:paraId="3BFD47CC" w14:textId="77777777" w:rsidTr="0051323E">
        <w:trPr>
          <w:trHeight w:val="285"/>
          <w:jc w:val="center"/>
        </w:trPr>
        <w:tc>
          <w:tcPr>
            <w:tcW w:w="855" w:type="pct"/>
            <w:vMerge/>
            <w:vAlign w:val="center"/>
          </w:tcPr>
          <w:p w14:paraId="5456ACCA"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p>
        </w:tc>
        <w:tc>
          <w:tcPr>
            <w:tcW w:w="830" w:type="pct"/>
            <w:noWrap/>
            <w:vAlign w:val="center"/>
          </w:tcPr>
          <w:p w14:paraId="1C2F9801"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(0.256)</w:t>
            </w:r>
          </w:p>
        </w:tc>
        <w:tc>
          <w:tcPr>
            <w:tcW w:w="830" w:type="pct"/>
            <w:noWrap/>
            <w:vAlign w:val="center"/>
          </w:tcPr>
          <w:p w14:paraId="68E710F0"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(0.323)</w:t>
            </w:r>
          </w:p>
        </w:tc>
        <w:tc>
          <w:tcPr>
            <w:tcW w:w="830" w:type="pct"/>
            <w:noWrap/>
            <w:vAlign w:val="center"/>
          </w:tcPr>
          <w:p w14:paraId="0381B855"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(0.114)</w:t>
            </w:r>
          </w:p>
        </w:tc>
        <w:tc>
          <w:tcPr>
            <w:tcW w:w="831" w:type="pct"/>
            <w:noWrap/>
            <w:vAlign w:val="center"/>
          </w:tcPr>
          <w:p w14:paraId="228952FF"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(0.382)</w:t>
            </w:r>
          </w:p>
        </w:tc>
        <w:tc>
          <w:tcPr>
            <w:tcW w:w="824" w:type="pct"/>
            <w:noWrap/>
            <w:vAlign w:val="center"/>
          </w:tcPr>
          <w:p w14:paraId="0941CA5F"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(0.308)</w:t>
            </w:r>
          </w:p>
        </w:tc>
      </w:tr>
      <w:tr w:rsidR="00562B4D" w:rsidRPr="00DB3BC4" w14:paraId="1F1E4431" w14:textId="77777777" w:rsidTr="0051323E">
        <w:trPr>
          <w:trHeight w:val="285"/>
          <w:jc w:val="center"/>
        </w:trPr>
        <w:tc>
          <w:tcPr>
            <w:tcW w:w="855" w:type="pct"/>
            <w:vMerge w:val="restart"/>
            <w:vAlign w:val="center"/>
          </w:tcPr>
          <w:p w14:paraId="7EB83A2B"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BAI</w:t>
            </w:r>
          </w:p>
        </w:tc>
        <w:tc>
          <w:tcPr>
            <w:tcW w:w="830" w:type="pct"/>
            <w:noWrap/>
            <w:vAlign w:val="center"/>
          </w:tcPr>
          <w:p w14:paraId="7C9C7463"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0.304</w:t>
            </w:r>
          </w:p>
        </w:tc>
        <w:tc>
          <w:tcPr>
            <w:tcW w:w="830" w:type="pct"/>
            <w:noWrap/>
            <w:vAlign w:val="center"/>
          </w:tcPr>
          <w:p w14:paraId="1929E20B"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-0.138</w:t>
            </w:r>
          </w:p>
        </w:tc>
        <w:tc>
          <w:tcPr>
            <w:tcW w:w="830" w:type="pct"/>
            <w:noWrap/>
            <w:vAlign w:val="center"/>
          </w:tcPr>
          <w:p w14:paraId="76D17F02"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0.614</w:t>
            </w:r>
          </w:p>
        </w:tc>
        <w:tc>
          <w:tcPr>
            <w:tcW w:w="831" w:type="pct"/>
            <w:noWrap/>
            <w:vAlign w:val="center"/>
          </w:tcPr>
          <w:p w14:paraId="5E0266B6"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0.471</w:t>
            </w:r>
          </w:p>
        </w:tc>
        <w:tc>
          <w:tcPr>
            <w:tcW w:w="824" w:type="pct"/>
            <w:noWrap/>
            <w:vAlign w:val="center"/>
          </w:tcPr>
          <w:p w14:paraId="1D2B3F0B"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-0.184</w:t>
            </w:r>
          </w:p>
        </w:tc>
      </w:tr>
      <w:tr w:rsidR="00562B4D" w:rsidRPr="00DB3BC4" w14:paraId="102F6915" w14:textId="77777777" w:rsidTr="0051323E">
        <w:trPr>
          <w:trHeight w:val="285"/>
          <w:jc w:val="center"/>
        </w:trPr>
        <w:tc>
          <w:tcPr>
            <w:tcW w:w="855" w:type="pct"/>
            <w:vMerge/>
            <w:vAlign w:val="center"/>
          </w:tcPr>
          <w:p w14:paraId="672AD24E"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p>
        </w:tc>
        <w:tc>
          <w:tcPr>
            <w:tcW w:w="830" w:type="pct"/>
            <w:noWrap/>
            <w:vAlign w:val="center"/>
          </w:tcPr>
          <w:p w14:paraId="70D2F79D"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(0.095)</w:t>
            </w:r>
          </w:p>
        </w:tc>
        <w:tc>
          <w:tcPr>
            <w:tcW w:w="830" w:type="pct"/>
            <w:noWrap/>
            <w:vAlign w:val="center"/>
          </w:tcPr>
          <w:p w14:paraId="687236D9"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(0.138)</w:t>
            </w:r>
          </w:p>
        </w:tc>
        <w:tc>
          <w:tcPr>
            <w:tcW w:w="830" w:type="pct"/>
            <w:noWrap/>
            <w:vAlign w:val="center"/>
          </w:tcPr>
          <w:p w14:paraId="00AF0392"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(0.21)</w:t>
            </w:r>
          </w:p>
        </w:tc>
        <w:tc>
          <w:tcPr>
            <w:tcW w:w="831" w:type="pct"/>
            <w:noWrap/>
            <w:vAlign w:val="center"/>
          </w:tcPr>
          <w:p w14:paraId="55289842"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(0.217)</w:t>
            </w:r>
          </w:p>
        </w:tc>
        <w:tc>
          <w:tcPr>
            <w:tcW w:w="824" w:type="pct"/>
            <w:noWrap/>
            <w:vAlign w:val="center"/>
          </w:tcPr>
          <w:p w14:paraId="1165F9DE" w14:textId="77777777" w:rsidR="00562B4D" w:rsidRPr="00DB3BC4" w:rsidRDefault="00562B4D" w:rsidP="0051323E">
            <w:pPr>
              <w:spacing w:after="0" w:line="240" w:lineRule="auto"/>
              <w:jc w:val="center"/>
              <w:rPr>
                <w:rFonts w:ascii="Times New Roman" w:eastAsia="Times New Roman" w:hAnsi="Times New Roman" w:cs="Times New Roman"/>
                <w:kern w:val="0"/>
                <w:sz w:val="22"/>
                <w:szCs w:val="22"/>
                <w:lang w:eastAsia="es-CL"/>
                <w14:ligatures w14:val="none"/>
              </w:rPr>
            </w:pPr>
            <w:r w:rsidRPr="00DB3BC4">
              <w:rPr>
                <w:rFonts w:ascii="Times New Roman" w:hAnsi="Times New Roman" w:cs="Times New Roman"/>
                <w:sz w:val="22"/>
                <w:szCs w:val="22"/>
              </w:rPr>
              <w:t>(0.148)</w:t>
            </w:r>
          </w:p>
        </w:tc>
      </w:tr>
      <w:tr w:rsidR="00562B4D" w:rsidRPr="00DB3BC4" w14:paraId="1978F114" w14:textId="77777777" w:rsidTr="0051323E">
        <w:trPr>
          <w:trHeight w:val="285"/>
          <w:jc w:val="center"/>
        </w:trPr>
        <w:tc>
          <w:tcPr>
            <w:tcW w:w="855" w:type="pct"/>
            <w:vMerge w:val="restart"/>
            <w:vAlign w:val="center"/>
          </w:tcPr>
          <w:p w14:paraId="05DEFD49"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r w:rsidRPr="00DB3BC4">
              <w:rPr>
                <w:rFonts w:ascii="Times New Roman" w:eastAsia="Times New Roman" w:hAnsi="Times New Roman" w:cs="Times New Roman"/>
                <w:kern w:val="0"/>
                <w:sz w:val="22"/>
                <w:szCs w:val="22"/>
                <w:lang w:eastAsia="es-CL"/>
                <w14:ligatures w14:val="none"/>
              </w:rPr>
              <w:t>AI</w:t>
            </w:r>
          </w:p>
        </w:tc>
        <w:tc>
          <w:tcPr>
            <w:tcW w:w="830" w:type="pct"/>
            <w:noWrap/>
            <w:vAlign w:val="center"/>
          </w:tcPr>
          <w:p w14:paraId="56A784E7"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0.321</w:t>
            </w:r>
          </w:p>
        </w:tc>
        <w:tc>
          <w:tcPr>
            <w:tcW w:w="830" w:type="pct"/>
            <w:noWrap/>
            <w:vAlign w:val="center"/>
          </w:tcPr>
          <w:p w14:paraId="73A27246"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-0.089</w:t>
            </w:r>
          </w:p>
        </w:tc>
        <w:tc>
          <w:tcPr>
            <w:tcW w:w="830" w:type="pct"/>
            <w:noWrap/>
            <w:vAlign w:val="center"/>
          </w:tcPr>
          <w:p w14:paraId="3A06D7E6"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0.521</w:t>
            </w:r>
          </w:p>
        </w:tc>
        <w:tc>
          <w:tcPr>
            <w:tcW w:w="831" w:type="pct"/>
            <w:noWrap/>
            <w:vAlign w:val="center"/>
          </w:tcPr>
          <w:p w14:paraId="33955EC2"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0.507</w:t>
            </w:r>
          </w:p>
        </w:tc>
        <w:tc>
          <w:tcPr>
            <w:tcW w:w="824" w:type="pct"/>
            <w:noWrap/>
            <w:vAlign w:val="center"/>
          </w:tcPr>
          <w:p w14:paraId="046107E8"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-0.145</w:t>
            </w:r>
          </w:p>
        </w:tc>
      </w:tr>
      <w:tr w:rsidR="00562B4D" w:rsidRPr="00DB3BC4" w14:paraId="0943DB79" w14:textId="77777777" w:rsidTr="0051323E">
        <w:trPr>
          <w:trHeight w:val="285"/>
          <w:jc w:val="center"/>
        </w:trPr>
        <w:tc>
          <w:tcPr>
            <w:tcW w:w="855" w:type="pct"/>
            <w:vMerge/>
            <w:tcBorders>
              <w:bottom w:val="single" w:sz="12" w:space="0" w:color="auto"/>
            </w:tcBorders>
            <w:vAlign w:val="center"/>
          </w:tcPr>
          <w:p w14:paraId="4FC53CAB" w14:textId="77777777" w:rsidR="00562B4D" w:rsidRPr="00DB3BC4" w:rsidRDefault="00562B4D" w:rsidP="0051323E">
            <w:pPr>
              <w:spacing w:after="0" w:line="240" w:lineRule="auto"/>
              <w:jc w:val="both"/>
              <w:rPr>
                <w:rFonts w:ascii="Times New Roman" w:eastAsia="Times New Roman" w:hAnsi="Times New Roman" w:cs="Times New Roman"/>
                <w:kern w:val="0"/>
                <w:sz w:val="22"/>
                <w:szCs w:val="22"/>
                <w:lang w:eastAsia="es-CL"/>
                <w14:ligatures w14:val="none"/>
              </w:rPr>
            </w:pPr>
          </w:p>
        </w:tc>
        <w:tc>
          <w:tcPr>
            <w:tcW w:w="830" w:type="pct"/>
            <w:tcBorders>
              <w:bottom w:val="single" w:sz="12" w:space="0" w:color="auto"/>
            </w:tcBorders>
            <w:noWrap/>
            <w:vAlign w:val="center"/>
          </w:tcPr>
          <w:p w14:paraId="5CB552FF"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(0.189)</w:t>
            </w:r>
          </w:p>
        </w:tc>
        <w:tc>
          <w:tcPr>
            <w:tcW w:w="830" w:type="pct"/>
            <w:tcBorders>
              <w:bottom w:val="single" w:sz="12" w:space="0" w:color="auto"/>
            </w:tcBorders>
            <w:noWrap/>
            <w:vAlign w:val="center"/>
          </w:tcPr>
          <w:p w14:paraId="333DE98A"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(0.247)</w:t>
            </w:r>
          </w:p>
        </w:tc>
        <w:tc>
          <w:tcPr>
            <w:tcW w:w="830" w:type="pct"/>
            <w:tcBorders>
              <w:bottom w:val="single" w:sz="12" w:space="0" w:color="auto"/>
            </w:tcBorders>
            <w:noWrap/>
            <w:vAlign w:val="center"/>
          </w:tcPr>
          <w:p w14:paraId="693511FF"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(0.190)</w:t>
            </w:r>
          </w:p>
        </w:tc>
        <w:tc>
          <w:tcPr>
            <w:tcW w:w="831" w:type="pct"/>
            <w:tcBorders>
              <w:bottom w:val="single" w:sz="12" w:space="0" w:color="auto"/>
            </w:tcBorders>
            <w:noWrap/>
            <w:vAlign w:val="center"/>
          </w:tcPr>
          <w:p w14:paraId="34004CB0"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(0.305)</w:t>
            </w:r>
          </w:p>
        </w:tc>
        <w:tc>
          <w:tcPr>
            <w:tcW w:w="824" w:type="pct"/>
            <w:tcBorders>
              <w:bottom w:val="single" w:sz="12" w:space="0" w:color="auto"/>
            </w:tcBorders>
            <w:noWrap/>
            <w:vAlign w:val="center"/>
          </w:tcPr>
          <w:p w14:paraId="0A8AC8BE" w14:textId="77777777" w:rsidR="00562B4D" w:rsidRPr="00DB3BC4" w:rsidRDefault="00562B4D" w:rsidP="0051323E">
            <w:pPr>
              <w:spacing w:after="0" w:line="240" w:lineRule="auto"/>
              <w:jc w:val="center"/>
              <w:rPr>
                <w:rFonts w:ascii="Times New Roman" w:hAnsi="Times New Roman" w:cs="Times New Roman"/>
                <w:sz w:val="22"/>
                <w:szCs w:val="22"/>
              </w:rPr>
            </w:pPr>
            <w:r w:rsidRPr="00DB3BC4">
              <w:rPr>
                <w:rFonts w:ascii="Times New Roman" w:hAnsi="Times New Roman" w:cs="Times New Roman"/>
                <w:color w:val="000000"/>
                <w:sz w:val="22"/>
                <w:szCs w:val="22"/>
              </w:rPr>
              <w:t>(0.239)</w:t>
            </w:r>
          </w:p>
        </w:tc>
      </w:tr>
      <w:tr w:rsidR="00562B4D" w:rsidRPr="00DB3BC4" w14:paraId="4B0D5D35" w14:textId="77777777" w:rsidTr="0051323E">
        <w:trPr>
          <w:trHeight w:val="285"/>
          <w:jc w:val="center"/>
        </w:trPr>
        <w:tc>
          <w:tcPr>
            <w:tcW w:w="5000" w:type="pct"/>
            <w:gridSpan w:val="6"/>
            <w:tcBorders>
              <w:top w:val="single" w:sz="12" w:space="0" w:color="auto"/>
            </w:tcBorders>
            <w:vAlign w:val="center"/>
          </w:tcPr>
          <w:p w14:paraId="0B475826" w14:textId="77777777" w:rsidR="00562B4D" w:rsidRPr="00DB3BC4" w:rsidRDefault="00562B4D" w:rsidP="003C2C55">
            <w:pPr>
              <w:spacing w:line="240" w:lineRule="auto"/>
              <w:jc w:val="both"/>
              <w:rPr>
                <w:rFonts w:ascii="Times New Roman" w:hAnsi="Times New Roman" w:cs="Times New Roman"/>
                <w:color w:val="000000"/>
                <w:sz w:val="22"/>
                <w:szCs w:val="22"/>
              </w:rPr>
            </w:pPr>
            <w:r w:rsidRPr="003563D6">
              <w:rPr>
                <w:rFonts w:ascii="Times New Roman" w:hAnsi="Times New Roman" w:cs="Times New Roman"/>
                <w:sz w:val="20"/>
                <w:szCs w:val="20"/>
              </w:rPr>
              <w:t>Note: The standard deviations are indicated in parentheses.</w:t>
            </w:r>
          </w:p>
        </w:tc>
      </w:tr>
    </w:tbl>
    <w:p w14:paraId="5ABD84F5" w14:textId="5AE4ACC7" w:rsidR="00562B4D" w:rsidRDefault="00562B4D" w:rsidP="007E479D">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We next conduct Mann-Whitney U tests to formally examine the impact of AI advice on asset market prices. </w:t>
      </w:r>
      <w:proofErr w:type="gramStart"/>
      <w:r>
        <w:rPr>
          <w:rFonts w:ascii="Times New Roman" w:hAnsi="Times New Roman" w:cs="Times New Roman"/>
          <w:color w:val="000000" w:themeColor="text1"/>
        </w:rPr>
        <w:t>In particular, we</w:t>
      </w:r>
      <w:proofErr w:type="gramEnd"/>
      <w:r w:rsidRPr="00274B29">
        <w:rPr>
          <w:rFonts w:ascii="Times New Roman" w:hAnsi="Times New Roman" w:cs="Times New Roman"/>
          <w:color w:val="000000" w:themeColor="text1"/>
        </w:rPr>
        <w:t xml:space="preserve"> compare the NAI baseline with </w:t>
      </w:r>
      <w:r>
        <w:rPr>
          <w:rFonts w:ascii="Times New Roman" w:hAnsi="Times New Roman" w:cs="Times New Roman"/>
          <w:color w:val="000000" w:themeColor="text1"/>
        </w:rPr>
        <w:t xml:space="preserve">each AI treatment, and </w:t>
      </w:r>
      <w:r>
        <w:rPr>
          <w:rFonts w:ascii="Times New Roman" w:hAnsi="Times New Roman" w:cs="Times New Roman" w:hint="eastAsia"/>
          <w:color w:val="000000" w:themeColor="text1"/>
          <w:lang w:eastAsia="zh-CN"/>
        </w:rPr>
        <w:t xml:space="preserve">we also compare </w:t>
      </w:r>
      <w:r>
        <w:rPr>
          <w:rFonts w:ascii="Times New Roman" w:hAnsi="Times New Roman" w:cs="Times New Roman"/>
          <w:color w:val="000000" w:themeColor="text1"/>
        </w:rPr>
        <w:t xml:space="preserve">the price differences between the two AI treatments. </w:t>
      </w:r>
      <w:r w:rsidRPr="00F9687B">
        <w:rPr>
          <w:rFonts w:ascii="Times New Roman" w:hAnsi="Times New Roman" w:cs="Times New Roman"/>
          <w:color w:val="000000" w:themeColor="text1"/>
        </w:rPr>
        <w:t>Table 3</w:t>
      </w:r>
      <w:r>
        <w:rPr>
          <w:rFonts w:ascii="Times New Roman" w:hAnsi="Times New Roman" w:cs="Times New Roman"/>
          <w:color w:val="000000" w:themeColor="text1"/>
        </w:rPr>
        <w:t xml:space="preserve"> summarizes the test results. For RAD, we see, not surprisingly, that the degree of mispricing is significantly higher in NAI than in GAI and BAI. Yet, there is no difference between GAI and BAI, regardless of the quality of AI output. When focusing on the proportion of mispricing relative to the fundamentals, GAD results point in the same direction, but the differences in GAD are not significant, even if we pool the AI treatments. T</w:t>
      </w:r>
      <w:r w:rsidRPr="00FC3133">
        <w:rPr>
          <w:rFonts w:ascii="Times New Roman" w:hAnsi="Times New Roman" w:cs="Times New Roman"/>
          <w:color w:val="000000" w:themeColor="text1"/>
        </w:rPr>
        <w:t>he significant difference in RAD</w:t>
      </w:r>
      <w:r>
        <w:rPr>
          <w:rFonts w:ascii="Times New Roman" w:hAnsi="Times New Roman" w:cs="Times New Roman"/>
          <w:color w:val="000000" w:themeColor="text1"/>
        </w:rPr>
        <w:t>, but not in GAD, suggests the presence of more extreme price-deviation</w:t>
      </w:r>
      <w:r w:rsidRPr="00FC3133">
        <w:rPr>
          <w:rFonts w:ascii="Times New Roman" w:hAnsi="Times New Roman" w:cs="Times New Roman"/>
          <w:color w:val="000000" w:themeColor="text1"/>
        </w:rPr>
        <w:t xml:space="preserve"> events in </w:t>
      </w:r>
      <w:r>
        <w:rPr>
          <w:rFonts w:ascii="Times New Roman" w:hAnsi="Times New Roman" w:cs="Times New Roman"/>
          <w:color w:val="000000" w:themeColor="text1"/>
        </w:rPr>
        <w:t xml:space="preserve">NAI than in AI treatments. </w:t>
      </w:r>
    </w:p>
    <w:p w14:paraId="33A28884" w14:textId="77777777" w:rsidR="00562B4D" w:rsidRDefault="00562B4D" w:rsidP="007E479D">
      <w:pPr>
        <w:spacing w:line="360" w:lineRule="auto"/>
        <w:ind w:firstLine="720"/>
        <w:jc w:val="both"/>
        <w:rPr>
          <w:rFonts w:ascii="Times New Roman" w:hAnsi="Times New Roman" w:cs="Times New Roman"/>
          <w:color w:val="000000" w:themeColor="text1"/>
        </w:rPr>
      </w:pPr>
      <w:r w:rsidRPr="007517D0">
        <w:rPr>
          <w:rFonts w:ascii="Times New Roman" w:hAnsi="Times New Roman" w:cs="Times New Roman"/>
        </w:rPr>
        <w:t xml:space="preserve">Similarly, the RD difference between NAI and GAI </w:t>
      </w:r>
      <w:r>
        <w:rPr>
          <w:rFonts w:ascii="Times New Roman" w:hAnsi="Times New Roman" w:cs="Times New Roman"/>
        </w:rPr>
        <w:t>is statistically significant at the 5% level, whereas the difference between NAI and BAI is statistically significant at the 1% level</w:t>
      </w:r>
      <w:r w:rsidRPr="007517D0">
        <w:rPr>
          <w:rFonts w:ascii="Times New Roman" w:hAnsi="Times New Roman" w:cs="Times New Roman"/>
        </w:rPr>
        <w:t xml:space="preserve">. </w:t>
      </w:r>
      <w:r>
        <w:rPr>
          <w:rFonts w:ascii="Times New Roman" w:hAnsi="Times New Roman" w:cs="Times New Roman"/>
          <w:color w:val="000000" w:themeColor="text1"/>
        </w:rPr>
        <w:t xml:space="preserve">GD points in the same direction, and the differences between No AI and Bad AI treatments are </w:t>
      </w:r>
      <w:r>
        <w:rPr>
          <w:rFonts w:ascii="Times New Roman" w:hAnsi="Times New Roman" w:cs="Times New Roman"/>
          <w:color w:val="000000" w:themeColor="text1"/>
        </w:rPr>
        <w:lastRenderedPageBreak/>
        <w:t xml:space="preserve">significant, as is the case when AI sessions are pooled. Overall, the results so far demonstrate that prices are significantly higher in markets where AI advice is absent than in markets where traders are advised by AI, regardless of quality.  </w:t>
      </w:r>
    </w:p>
    <w:p w14:paraId="7D5BFDCD" w14:textId="52DDFAD1" w:rsidR="00562B4D" w:rsidRPr="00A656DB" w:rsidRDefault="00562B4D" w:rsidP="00562B4D">
      <w:pPr>
        <w:spacing w:before="240" w:line="360" w:lineRule="auto"/>
        <w:jc w:val="center"/>
        <w:rPr>
          <w:rFonts w:ascii="Times New Roman" w:hAnsi="Times New Roman" w:cs="Times New Roman"/>
          <w:i/>
          <w:iCs/>
          <w:sz w:val="22"/>
          <w:szCs w:val="22"/>
        </w:rPr>
      </w:pPr>
      <w:r w:rsidRPr="00A656DB">
        <w:rPr>
          <w:rFonts w:ascii="Times New Roman" w:hAnsi="Times New Roman" w:cs="Times New Roman"/>
          <w:sz w:val="22"/>
          <w:szCs w:val="22"/>
        </w:rPr>
        <w:t xml:space="preserve">Table 3. </w:t>
      </w:r>
      <w:r w:rsidRPr="00A656DB">
        <w:rPr>
          <w:rFonts w:ascii="Times New Roman" w:hAnsi="Times New Roman" w:cs="Times New Roman"/>
          <w:i/>
          <w:iCs/>
          <w:sz w:val="22"/>
          <w:szCs w:val="22"/>
        </w:rPr>
        <w:t>Mann-Whitney</w:t>
      </w:r>
      <w:r w:rsidRPr="00A656DB">
        <w:rPr>
          <w:rFonts w:ascii="Times New Roman" w:hAnsi="Times New Roman" w:cs="Times New Roman"/>
          <w:sz w:val="22"/>
          <w:szCs w:val="22"/>
        </w:rPr>
        <w:t xml:space="preserve"> U Test</w:t>
      </w:r>
      <w:r w:rsidRPr="00A656DB">
        <w:rPr>
          <w:rFonts w:ascii="Times New Roman" w:hAnsi="Times New Roman" w:cs="Times New Roman"/>
          <w:i/>
          <w:iCs/>
          <w:sz w:val="22"/>
          <w:szCs w:val="22"/>
        </w:rPr>
        <w:t xml:space="preserve"> p values</w:t>
      </w:r>
    </w:p>
    <w:tbl>
      <w:tblPr>
        <w:tblW w:w="3308" w:type="pct"/>
        <w:jc w:val="center"/>
        <w:tblLayout w:type="fixed"/>
        <w:tblCellMar>
          <w:left w:w="70" w:type="dxa"/>
          <w:right w:w="70" w:type="dxa"/>
        </w:tblCellMar>
        <w:tblLook w:val="04A0" w:firstRow="1" w:lastRow="0" w:firstColumn="1" w:lastColumn="0" w:noHBand="0" w:noVBand="1"/>
      </w:tblPr>
      <w:tblGrid>
        <w:gridCol w:w="1350"/>
        <w:gridCol w:w="3179"/>
        <w:gridCol w:w="196"/>
        <w:gridCol w:w="1247"/>
      </w:tblGrid>
      <w:tr w:rsidR="00562B4D" w:rsidRPr="0037466C" w14:paraId="7C6AE94F" w14:textId="77777777" w:rsidTr="0051323E">
        <w:trPr>
          <w:trHeight w:val="293"/>
          <w:jc w:val="center"/>
        </w:trPr>
        <w:tc>
          <w:tcPr>
            <w:tcW w:w="1130" w:type="pct"/>
            <w:tcBorders>
              <w:top w:val="single" w:sz="12" w:space="0" w:color="auto"/>
              <w:bottom w:val="single" w:sz="8" w:space="0" w:color="auto"/>
            </w:tcBorders>
            <w:noWrap/>
            <w:vAlign w:val="center"/>
          </w:tcPr>
          <w:p w14:paraId="4D24971C"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Measure</w:t>
            </w:r>
          </w:p>
        </w:tc>
        <w:tc>
          <w:tcPr>
            <w:tcW w:w="2662" w:type="pct"/>
            <w:tcBorders>
              <w:top w:val="single" w:sz="12" w:space="0" w:color="auto"/>
              <w:bottom w:val="single" w:sz="8" w:space="0" w:color="auto"/>
            </w:tcBorders>
            <w:noWrap/>
            <w:vAlign w:val="center"/>
          </w:tcPr>
          <w:p w14:paraId="0FC5EDE8" w14:textId="77777777" w:rsidR="00562B4D" w:rsidRPr="0037466C" w:rsidRDefault="00562B4D" w:rsidP="0051323E">
            <w:pPr>
              <w:spacing w:after="0" w:line="240" w:lineRule="auto"/>
              <w:jc w:val="center"/>
              <w:rPr>
                <w:rFonts w:ascii="Times New Roman" w:hAnsi="Times New Roman" w:cs="Times New Roman"/>
              </w:rPr>
            </w:pPr>
            <w:r w:rsidRPr="0037466C">
              <w:rPr>
                <w:rFonts w:ascii="Times New Roman" w:eastAsia="Times New Roman" w:hAnsi="Times New Roman" w:cs="Times New Roman"/>
                <w:kern w:val="0"/>
                <w:lang w:eastAsia="es-CL"/>
                <w14:ligatures w14:val="none"/>
              </w:rPr>
              <w:t>Comparison</w:t>
            </w:r>
          </w:p>
        </w:tc>
        <w:tc>
          <w:tcPr>
            <w:tcW w:w="164" w:type="pct"/>
            <w:tcBorders>
              <w:top w:val="single" w:sz="12" w:space="0" w:color="auto"/>
              <w:bottom w:val="single" w:sz="8" w:space="0" w:color="auto"/>
            </w:tcBorders>
          </w:tcPr>
          <w:p w14:paraId="3744A3DD"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tcBorders>
              <w:top w:val="single" w:sz="12" w:space="0" w:color="auto"/>
              <w:bottom w:val="single" w:sz="8" w:space="0" w:color="auto"/>
            </w:tcBorders>
            <w:noWrap/>
            <w:vAlign w:val="center"/>
          </w:tcPr>
          <w:p w14:paraId="5F4F332B"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P value</w:t>
            </w:r>
          </w:p>
        </w:tc>
      </w:tr>
      <w:tr w:rsidR="00562B4D" w:rsidRPr="0037466C" w14:paraId="46257AEA" w14:textId="77777777" w:rsidTr="0051323E">
        <w:trPr>
          <w:trHeight w:val="293"/>
          <w:jc w:val="center"/>
        </w:trPr>
        <w:tc>
          <w:tcPr>
            <w:tcW w:w="1130" w:type="pct"/>
            <w:tcBorders>
              <w:top w:val="single" w:sz="8" w:space="0" w:color="auto"/>
            </w:tcBorders>
            <w:noWrap/>
            <w:vAlign w:val="center"/>
            <w:hideMark/>
          </w:tcPr>
          <w:p w14:paraId="2C858319"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RAD</w:t>
            </w:r>
          </w:p>
        </w:tc>
        <w:tc>
          <w:tcPr>
            <w:tcW w:w="2662" w:type="pct"/>
            <w:tcBorders>
              <w:top w:val="single" w:sz="8" w:space="0" w:color="auto"/>
            </w:tcBorders>
            <w:noWrap/>
            <w:vAlign w:val="center"/>
            <w:hideMark/>
          </w:tcPr>
          <w:p w14:paraId="19031241"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GAI</w:t>
            </w:r>
          </w:p>
        </w:tc>
        <w:tc>
          <w:tcPr>
            <w:tcW w:w="164" w:type="pct"/>
            <w:tcBorders>
              <w:top w:val="single" w:sz="8" w:space="0" w:color="auto"/>
            </w:tcBorders>
          </w:tcPr>
          <w:p w14:paraId="25DFF59F"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tcBorders>
              <w:top w:val="single" w:sz="8" w:space="0" w:color="auto"/>
            </w:tcBorders>
            <w:noWrap/>
            <w:vAlign w:val="center"/>
            <w:hideMark/>
          </w:tcPr>
          <w:p w14:paraId="1BDE9C78"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0.043**</w:t>
            </w:r>
          </w:p>
        </w:tc>
      </w:tr>
      <w:tr w:rsidR="00562B4D" w:rsidRPr="0037466C" w14:paraId="66D38FE7" w14:textId="77777777" w:rsidTr="0051323E">
        <w:trPr>
          <w:trHeight w:val="293"/>
          <w:jc w:val="center"/>
        </w:trPr>
        <w:tc>
          <w:tcPr>
            <w:tcW w:w="1130" w:type="pct"/>
            <w:noWrap/>
            <w:vAlign w:val="center"/>
            <w:hideMark/>
          </w:tcPr>
          <w:p w14:paraId="26E93C40"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RAD</w:t>
            </w:r>
          </w:p>
        </w:tc>
        <w:tc>
          <w:tcPr>
            <w:tcW w:w="2662" w:type="pct"/>
            <w:noWrap/>
            <w:vAlign w:val="center"/>
            <w:hideMark/>
          </w:tcPr>
          <w:p w14:paraId="5CB92389"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BAI</w:t>
            </w:r>
          </w:p>
        </w:tc>
        <w:tc>
          <w:tcPr>
            <w:tcW w:w="164" w:type="pct"/>
          </w:tcPr>
          <w:p w14:paraId="45953921"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08BD7238"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roofErr w:type="gramStart"/>
            <w:r w:rsidRPr="0037466C">
              <w:rPr>
                <w:rFonts w:ascii="Times New Roman" w:eastAsia="Times New Roman" w:hAnsi="Times New Roman" w:cs="Times New Roman"/>
                <w:kern w:val="0"/>
                <w:lang w:eastAsia="es-CL"/>
                <w14:ligatures w14:val="none"/>
              </w:rPr>
              <w:t>0.005**</w:t>
            </w:r>
            <w:proofErr w:type="gramEnd"/>
            <w:r w:rsidRPr="0037466C">
              <w:rPr>
                <w:rFonts w:ascii="Times New Roman" w:eastAsia="Times New Roman" w:hAnsi="Times New Roman" w:cs="Times New Roman"/>
                <w:kern w:val="0"/>
                <w:lang w:eastAsia="es-CL"/>
                <w14:ligatures w14:val="none"/>
              </w:rPr>
              <w:t>*</w:t>
            </w:r>
          </w:p>
        </w:tc>
      </w:tr>
      <w:tr w:rsidR="00562B4D" w:rsidRPr="0037466C" w14:paraId="1C567ED5" w14:textId="77777777" w:rsidTr="0051323E">
        <w:trPr>
          <w:trHeight w:val="293"/>
          <w:jc w:val="center"/>
        </w:trPr>
        <w:tc>
          <w:tcPr>
            <w:tcW w:w="1130" w:type="pct"/>
            <w:noWrap/>
            <w:vAlign w:val="center"/>
            <w:hideMark/>
          </w:tcPr>
          <w:p w14:paraId="5D448EA5"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RAD</w:t>
            </w:r>
          </w:p>
        </w:tc>
        <w:tc>
          <w:tcPr>
            <w:tcW w:w="2662" w:type="pct"/>
            <w:noWrap/>
            <w:vAlign w:val="center"/>
            <w:hideMark/>
          </w:tcPr>
          <w:p w14:paraId="2A214834"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GAI vs BAI</w:t>
            </w:r>
          </w:p>
        </w:tc>
        <w:tc>
          <w:tcPr>
            <w:tcW w:w="164" w:type="pct"/>
          </w:tcPr>
          <w:p w14:paraId="59DBBAD2"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5D9AF283"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1.000</w:t>
            </w:r>
          </w:p>
        </w:tc>
      </w:tr>
      <w:tr w:rsidR="00562B4D" w:rsidRPr="0037466C" w14:paraId="4A033D20" w14:textId="77777777" w:rsidTr="0051323E">
        <w:trPr>
          <w:trHeight w:val="293"/>
          <w:jc w:val="center"/>
        </w:trPr>
        <w:tc>
          <w:tcPr>
            <w:tcW w:w="1130" w:type="pct"/>
            <w:noWrap/>
            <w:vAlign w:val="center"/>
            <w:hideMark/>
          </w:tcPr>
          <w:p w14:paraId="3D4C72CB"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RD</w:t>
            </w:r>
          </w:p>
        </w:tc>
        <w:tc>
          <w:tcPr>
            <w:tcW w:w="2662" w:type="pct"/>
            <w:noWrap/>
            <w:vAlign w:val="center"/>
            <w:hideMark/>
          </w:tcPr>
          <w:p w14:paraId="38DC9F2D"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GAI</w:t>
            </w:r>
          </w:p>
        </w:tc>
        <w:tc>
          <w:tcPr>
            <w:tcW w:w="164" w:type="pct"/>
          </w:tcPr>
          <w:p w14:paraId="02D35B7E"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01699199"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0.023**</w:t>
            </w:r>
          </w:p>
        </w:tc>
      </w:tr>
      <w:tr w:rsidR="00562B4D" w:rsidRPr="0037466C" w14:paraId="422D90B0" w14:textId="77777777" w:rsidTr="0051323E">
        <w:trPr>
          <w:trHeight w:val="293"/>
          <w:jc w:val="center"/>
        </w:trPr>
        <w:tc>
          <w:tcPr>
            <w:tcW w:w="1130" w:type="pct"/>
            <w:noWrap/>
            <w:vAlign w:val="center"/>
            <w:hideMark/>
          </w:tcPr>
          <w:p w14:paraId="794CDB58"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RD</w:t>
            </w:r>
          </w:p>
        </w:tc>
        <w:tc>
          <w:tcPr>
            <w:tcW w:w="2662" w:type="pct"/>
            <w:noWrap/>
            <w:vAlign w:val="center"/>
            <w:hideMark/>
          </w:tcPr>
          <w:p w14:paraId="1487AD31"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BAI</w:t>
            </w:r>
          </w:p>
        </w:tc>
        <w:tc>
          <w:tcPr>
            <w:tcW w:w="164" w:type="pct"/>
          </w:tcPr>
          <w:p w14:paraId="340BEBC5"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4860BC88"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0.000***</w:t>
            </w:r>
          </w:p>
        </w:tc>
      </w:tr>
      <w:tr w:rsidR="00562B4D" w:rsidRPr="0037466C" w14:paraId="1EFB5C8B" w14:textId="77777777" w:rsidTr="0051323E">
        <w:trPr>
          <w:trHeight w:val="293"/>
          <w:jc w:val="center"/>
        </w:trPr>
        <w:tc>
          <w:tcPr>
            <w:tcW w:w="1130" w:type="pct"/>
            <w:noWrap/>
            <w:vAlign w:val="center"/>
            <w:hideMark/>
          </w:tcPr>
          <w:p w14:paraId="69147D43"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RD</w:t>
            </w:r>
          </w:p>
        </w:tc>
        <w:tc>
          <w:tcPr>
            <w:tcW w:w="2662" w:type="pct"/>
            <w:noWrap/>
            <w:vAlign w:val="center"/>
            <w:hideMark/>
          </w:tcPr>
          <w:p w14:paraId="52165E90"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GAI vs BAI</w:t>
            </w:r>
          </w:p>
        </w:tc>
        <w:tc>
          <w:tcPr>
            <w:tcW w:w="164" w:type="pct"/>
          </w:tcPr>
          <w:p w14:paraId="3F369161"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2B7412A0"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0.796</w:t>
            </w:r>
          </w:p>
        </w:tc>
      </w:tr>
      <w:tr w:rsidR="00562B4D" w:rsidRPr="0037466C" w14:paraId="5A613F52" w14:textId="77777777" w:rsidTr="0051323E">
        <w:trPr>
          <w:trHeight w:val="293"/>
          <w:jc w:val="center"/>
        </w:trPr>
        <w:tc>
          <w:tcPr>
            <w:tcW w:w="1130" w:type="pct"/>
            <w:noWrap/>
            <w:vAlign w:val="center"/>
            <w:hideMark/>
          </w:tcPr>
          <w:p w14:paraId="2C1A00DC"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Turnover</w:t>
            </w:r>
          </w:p>
        </w:tc>
        <w:tc>
          <w:tcPr>
            <w:tcW w:w="2662" w:type="pct"/>
            <w:noWrap/>
            <w:vAlign w:val="center"/>
            <w:hideMark/>
          </w:tcPr>
          <w:p w14:paraId="7C9FD2E2"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GAI</w:t>
            </w:r>
          </w:p>
        </w:tc>
        <w:tc>
          <w:tcPr>
            <w:tcW w:w="164" w:type="pct"/>
          </w:tcPr>
          <w:p w14:paraId="1A6A1593"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72CA6A69"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0.650</w:t>
            </w:r>
          </w:p>
        </w:tc>
      </w:tr>
      <w:tr w:rsidR="00562B4D" w:rsidRPr="0037466C" w14:paraId="19DE4F0E" w14:textId="77777777" w:rsidTr="0051323E">
        <w:trPr>
          <w:trHeight w:val="293"/>
          <w:jc w:val="center"/>
        </w:trPr>
        <w:tc>
          <w:tcPr>
            <w:tcW w:w="1130" w:type="pct"/>
            <w:noWrap/>
            <w:vAlign w:val="center"/>
            <w:hideMark/>
          </w:tcPr>
          <w:p w14:paraId="5FC70C52"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Turnover</w:t>
            </w:r>
          </w:p>
        </w:tc>
        <w:tc>
          <w:tcPr>
            <w:tcW w:w="2662" w:type="pct"/>
            <w:noWrap/>
            <w:vAlign w:val="center"/>
            <w:hideMark/>
          </w:tcPr>
          <w:p w14:paraId="72309654"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BAI</w:t>
            </w:r>
          </w:p>
        </w:tc>
        <w:tc>
          <w:tcPr>
            <w:tcW w:w="164" w:type="pct"/>
          </w:tcPr>
          <w:p w14:paraId="4D040DF9"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2F98F43B"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0.241</w:t>
            </w:r>
          </w:p>
        </w:tc>
      </w:tr>
      <w:tr w:rsidR="00562B4D" w:rsidRPr="0037466C" w14:paraId="5AF5D9B9" w14:textId="77777777" w:rsidTr="0051323E">
        <w:trPr>
          <w:trHeight w:val="293"/>
          <w:jc w:val="center"/>
        </w:trPr>
        <w:tc>
          <w:tcPr>
            <w:tcW w:w="1130" w:type="pct"/>
            <w:noWrap/>
            <w:vAlign w:val="center"/>
            <w:hideMark/>
          </w:tcPr>
          <w:p w14:paraId="008B9AD7"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Turnover</w:t>
            </w:r>
          </w:p>
        </w:tc>
        <w:tc>
          <w:tcPr>
            <w:tcW w:w="2662" w:type="pct"/>
            <w:noWrap/>
            <w:vAlign w:val="center"/>
            <w:hideMark/>
          </w:tcPr>
          <w:p w14:paraId="06BFD9EA"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GAI vs BAI</w:t>
            </w:r>
          </w:p>
        </w:tc>
        <w:tc>
          <w:tcPr>
            <w:tcW w:w="164" w:type="pct"/>
          </w:tcPr>
          <w:p w14:paraId="09179524"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68C14EB8"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0.031**</w:t>
            </w:r>
          </w:p>
        </w:tc>
      </w:tr>
      <w:tr w:rsidR="00562B4D" w:rsidRPr="0037466C" w14:paraId="49F17E6E" w14:textId="77777777" w:rsidTr="0051323E">
        <w:trPr>
          <w:trHeight w:val="293"/>
          <w:jc w:val="center"/>
        </w:trPr>
        <w:tc>
          <w:tcPr>
            <w:tcW w:w="1130" w:type="pct"/>
            <w:noWrap/>
            <w:vAlign w:val="center"/>
            <w:hideMark/>
          </w:tcPr>
          <w:p w14:paraId="24AE6D85"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GAD</w:t>
            </w:r>
          </w:p>
        </w:tc>
        <w:tc>
          <w:tcPr>
            <w:tcW w:w="2662" w:type="pct"/>
            <w:noWrap/>
            <w:vAlign w:val="center"/>
            <w:hideMark/>
          </w:tcPr>
          <w:p w14:paraId="52AC3C97"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GAI</w:t>
            </w:r>
          </w:p>
        </w:tc>
        <w:tc>
          <w:tcPr>
            <w:tcW w:w="164" w:type="pct"/>
          </w:tcPr>
          <w:p w14:paraId="349D4C51"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118582A4"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0.166</w:t>
            </w:r>
          </w:p>
        </w:tc>
      </w:tr>
      <w:tr w:rsidR="00562B4D" w:rsidRPr="0037466C" w14:paraId="0C3F913E" w14:textId="77777777" w:rsidTr="0051323E">
        <w:trPr>
          <w:trHeight w:val="293"/>
          <w:jc w:val="center"/>
        </w:trPr>
        <w:tc>
          <w:tcPr>
            <w:tcW w:w="1130" w:type="pct"/>
            <w:noWrap/>
            <w:vAlign w:val="center"/>
            <w:hideMark/>
          </w:tcPr>
          <w:p w14:paraId="508C2C49"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GAD</w:t>
            </w:r>
          </w:p>
        </w:tc>
        <w:tc>
          <w:tcPr>
            <w:tcW w:w="2662" w:type="pct"/>
            <w:noWrap/>
            <w:vAlign w:val="center"/>
            <w:hideMark/>
          </w:tcPr>
          <w:p w14:paraId="2C8BBCB2"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BAI</w:t>
            </w:r>
          </w:p>
        </w:tc>
        <w:tc>
          <w:tcPr>
            <w:tcW w:w="164" w:type="pct"/>
          </w:tcPr>
          <w:p w14:paraId="07D2B9C8"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3A2DDB37"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0.052*</w:t>
            </w:r>
          </w:p>
        </w:tc>
      </w:tr>
      <w:tr w:rsidR="00562B4D" w:rsidRPr="0037466C" w14:paraId="22C5A234" w14:textId="77777777" w:rsidTr="0051323E">
        <w:trPr>
          <w:trHeight w:val="293"/>
          <w:jc w:val="center"/>
        </w:trPr>
        <w:tc>
          <w:tcPr>
            <w:tcW w:w="1130" w:type="pct"/>
            <w:noWrap/>
            <w:vAlign w:val="center"/>
            <w:hideMark/>
          </w:tcPr>
          <w:p w14:paraId="7DB3BD34"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GAD</w:t>
            </w:r>
          </w:p>
        </w:tc>
        <w:tc>
          <w:tcPr>
            <w:tcW w:w="2662" w:type="pct"/>
            <w:noWrap/>
            <w:vAlign w:val="center"/>
            <w:hideMark/>
          </w:tcPr>
          <w:p w14:paraId="736E713E"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GAI vs BAI</w:t>
            </w:r>
          </w:p>
        </w:tc>
        <w:tc>
          <w:tcPr>
            <w:tcW w:w="164" w:type="pct"/>
          </w:tcPr>
          <w:p w14:paraId="6EFB5361"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3ABA93D2"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0.853</w:t>
            </w:r>
          </w:p>
        </w:tc>
      </w:tr>
      <w:tr w:rsidR="00562B4D" w:rsidRPr="0037466C" w14:paraId="6D8E9B2F" w14:textId="77777777" w:rsidTr="0051323E">
        <w:trPr>
          <w:trHeight w:val="293"/>
          <w:jc w:val="center"/>
        </w:trPr>
        <w:tc>
          <w:tcPr>
            <w:tcW w:w="1130" w:type="pct"/>
            <w:noWrap/>
            <w:vAlign w:val="center"/>
            <w:hideMark/>
          </w:tcPr>
          <w:p w14:paraId="12EC603D"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GD</w:t>
            </w:r>
          </w:p>
        </w:tc>
        <w:tc>
          <w:tcPr>
            <w:tcW w:w="2662" w:type="pct"/>
            <w:noWrap/>
            <w:vAlign w:val="center"/>
            <w:hideMark/>
          </w:tcPr>
          <w:p w14:paraId="1134B23F"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GAI</w:t>
            </w:r>
          </w:p>
        </w:tc>
        <w:tc>
          <w:tcPr>
            <w:tcW w:w="164" w:type="pct"/>
          </w:tcPr>
          <w:p w14:paraId="2DA6C333"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719B4AB9"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0.075*</w:t>
            </w:r>
          </w:p>
        </w:tc>
      </w:tr>
      <w:tr w:rsidR="00562B4D" w:rsidRPr="0037466C" w14:paraId="78FA78B1" w14:textId="77777777" w:rsidTr="0051323E">
        <w:trPr>
          <w:trHeight w:val="293"/>
          <w:jc w:val="center"/>
        </w:trPr>
        <w:tc>
          <w:tcPr>
            <w:tcW w:w="1130" w:type="pct"/>
            <w:noWrap/>
            <w:vAlign w:val="center"/>
            <w:hideMark/>
          </w:tcPr>
          <w:p w14:paraId="12E43D35"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GD</w:t>
            </w:r>
          </w:p>
        </w:tc>
        <w:tc>
          <w:tcPr>
            <w:tcW w:w="2662" w:type="pct"/>
            <w:noWrap/>
            <w:vAlign w:val="center"/>
            <w:hideMark/>
          </w:tcPr>
          <w:p w14:paraId="590CD9B8"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NAI vs BAI</w:t>
            </w:r>
          </w:p>
        </w:tc>
        <w:tc>
          <w:tcPr>
            <w:tcW w:w="164" w:type="pct"/>
          </w:tcPr>
          <w:p w14:paraId="5D093BE9"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noWrap/>
            <w:vAlign w:val="center"/>
            <w:hideMark/>
          </w:tcPr>
          <w:p w14:paraId="464C5234"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0.012**</w:t>
            </w:r>
          </w:p>
        </w:tc>
      </w:tr>
      <w:tr w:rsidR="00562B4D" w:rsidRPr="0037466C" w14:paraId="250CDEE3" w14:textId="77777777" w:rsidTr="0051323E">
        <w:trPr>
          <w:trHeight w:val="293"/>
          <w:jc w:val="center"/>
        </w:trPr>
        <w:tc>
          <w:tcPr>
            <w:tcW w:w="1130" w:type="pct"/>
            <w:tcBorders>
              <w:bottom w:val="single" w:sz="12" w:space="0" w:color="auto"/>
            </w:tcBorders>
            <w:noWrap/>
            <w:vAlign w:val="center"/>
            <w:hideMark/>
          </w:tcPr>
          <w:p w14:paraId="3BF51C68"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GD</w:t>
            </w:r>
          </w:p>
        </w:tc>
        <w:tc>
          <w:tcPr>
            <w:tcW w:w="2662" w:type="pct"/>
            <w:tcBorders>
              <w:bottom w:val="single" w:sz="12" w:space="0" w:color="auto"/>
            </w:tcBorders>
            <w:noWrap/>
            <w:vAlign w:val="center"/>
            <w:hideMark/>
          </w:tcPr>
          <w:p w14:paraId="454F903B" w14:textId="77777777" w:rsidR="00562B4D" w:rsidRPr="0037466C" w:rsidRDefault="00562B4D" w:rsidP="0051323E">
            <w:pPr>
              <w:spacing w:after="0" w:line="240" w:lineRule="auto"/>
              <w:jc w:val="center"/>
              <w:rPr>
                <w:rFonts w:ascii="Times New Roman" w:eastAsia="Times New Roman" w:hAnsi="Times New Roman" w:cs="Times New Roman"/>
                <w:kern w:val="0"/>
                <w:lang w:eastAsia="es-CL"/>
                <w14:ligatures w14:val="none"/>
              </w:rPr>
            </w:pPr>
            <w:r w:rsidRPr="0037466C">
              <w:rPr>
                <w:rFonts w:ascii="Times New Roman" w:hAnsi="Times New Roman" w:cs="Times New Roman"/>
              </w:rPr>
              <w:t>GAI vs BAI</w:t>
            </w:r>
          </w:p>
        </w:tc>
        <w:tc>
          <w:tcPr>
            <w:tcW w:w="164" w:type="pct"/>
            <w:tcBorders>
              <w:bottom w:val="single" w:sz="12" w:space="0" w:color="auto"/>
            </w:tcBorders>
          </w:tcPr>
          <w:p w14:paraId="185D0818"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p>
        </w:tc>
        <w:tc>
          <w:tcPr>
            <w:tcW w:w="1044" w:type="pct"/>
            <w:tcBorders>
              <w:bottom w:val="single" w:sz="12" w:space="0" w:color="auto"/>
            </w:tcBorders>
            <w:noWrap/>
            <w:vAlign w:val="center"/>
            <w:hideMark/>
          </w:tcPr>
          <w:p w14:paraId="440C4055" w14:textId="77777777" w:rsidR="00562B4D" w:rsidRPr="0037466C" w:rsidRDefault="00562B4D" w:rsidP="0051323E">
            <w:pPr>
              <w:spacing w:after="0" w:line="240" w:lineRule="auto"/>
              <w:rPr>
                <w:rFonts w:ascii="Times New Roman" w:eastAsia="Times New Roman" w:hAnsi="Times New Roman" w:cs="Times New Roman"/>
                <w:kern w:val="0"/>
                <w:lang w:eastAsia="es-CL"/>
                <w14:ligatures w14:val="none"/>
              </w:rPr>
            </w:pPr>
            <w:r w:rsidRPr="0037466C">
              <w:rPr>
                <w:rFonts w:ascii="Times New Roman" w:eastAsia="Times New Roman" w:hAnsi="Times New Roman" w:cs="Times New Roman"/>
                <w:kern w:val="0"/>
                <w:lang w:eastAsia="es-CL"/>
                <w14:ligatures w14:val="none"/>
              </w:rPr>
              <w:t>0.739</w:t>
            </w:r>
          </w:p>
        </w:tc>
      </w:tr>
      <w:tr w:rsidR="00562B4D" w:rsidRPr="0037466C" w14:paraId="18535373" w14:textId="77777777" w:rsidTr="0051323E">
        <w:trPr>
          <w:trHeight w:val="293"/>
          <w:jc w:val="center"/>
        </w:trPr>
        <w:tc>
          <w:tcPr>
            <w:tcW w:w="5000" w:type="pct"/>
            <w:gridSpan w:val="4"/>
            <w:tcBorders>
              <w:top w:val="single" w:sz="12" w:space="0" w:color="auto"/>
            </w:tcBorders>
          </w:tcPr>
          <w:p w14:paraId="26B2116D" w14:textId="0969C9C1" w:rsidR="00562B4D" w:rsidRPr="00F9687B" w:rsidRDefault="00562B4D" w:rsidP="003C2C55">
            <w:pPr>
              <w:spacing w:line="240" w:lineRule="auto"/>
              <w:rPr>
                <w:rFonts w:ascii="Times New Roman" w:eastAsia="Times New Roman" w:hAnsi="Times New Roman" w:cs="Times New Roman"/>
                <w:kern w:val="0"/>
                <w:sz w:val="20"/>
                <w:szCs w:val="20"/>
                <w:lang w:eastAsia="es-CL"/>
                <w14:ligatures w14:val="none"/>
              </w:rPr>
            </w:pPr>
            <w:r w:rsidRPr="008E2C8B">
              <w:rPr>
                <w:rFonts w:ascii="Times New Roman" w:eastAsia="Times New Roman" w:hAnsi="Times New Roman" w:cs="Times New Roman"/>
                <w:kern w:val="0"/>
                <w:sz w:val="20"/>
                <w:szCs w:val="20"/>
                <w:lang w:eastAsia="es-CL"/>
                <w14:ligatures w14:val="none"/>
              </w:rPr>
              <w:t>Note: **</w:t>
            </w:r>
            <w:proofErr w:type="gramStart"/>
            <w:r w:rsidRPr="008E2C8B">
              <w:rPr>
                <w:rFonts w:ascii="Times New Roman" w:eastAsia="Times New Roman" w:hAnsi="Times New Roman" w:cs="Times New Roman"/>
                <w:kern w:val="0"/>
                <w:sz w:val="20"/>
                <w:szCs w:val="20"/>
                <w:lang w:eastAsia="es-CL"/>
                <w14:ligatures w14:val="none"/>
              </w:rPr>
              <w:t>*,**,*</w:t>
            </w:r>
            <w:proofErr w:type="gramEnd"/>
            <w:r w:rsidRPr="008E2C8B">
              <w:rPr>
                <w:rFonts w:ascii="Times New Roman" w:eastAsia="Times New Roman" w:hAnsi="Times New Roman" w:cs="Times New Roman"/>
                <w:kern w:val="0"/>
                <w:sz w:val="20"/>
                <w:szCs w:val="20"/>
                <w:lang w:eastAsia="es-CL"/>
                <w14:ligatures w14:val="none"/>
              </w:rPr>
              <w:t xml:space="preserve"> indicate significant difference at 1%, 5%, and 10% level, Mann-Whitney U test.</w:t>
            </w:r>
          </w:p>
        </w:tc>
      </w:tr>
    </w:tbl>
    <w:p w14:paraId="4FB515E1" w14:textId="77777777" w:rsidR="00562B4D" w:rsidRDefault="00562B4D" w:rsidP="007E479D">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We summarize our results so far below.</w:t>
      </w:r>
    </w:p>
    <w:p w14:paraId="71152DEE" w14:textId="77777777" w:rsidR="00562B4D" w:rsidRPr="00310E96" w:rsidRDefault="00562B4D" w:rsidP="00DB3BC4">
      <w:pPr>
        <w:spacing w:line="360" w:lineRule="auto"/>
        <w:jc w:val="both"/>
        <w:rPr>
          <w:rFonts w:ascii="Times New Roman" w:hAnsi="Times New Roman" w:cs="Times New Roman"/>
          <w:b/>
          <w:bCs/>
          <w:i/>
          <w:iCs/>
          <w:lang w:eastAsia="zh-CN"/>
        </w:rPr>
      </w:pPr>
      <w:r w:rsidRPr="007517D0">
        <w:rPr>
          <w:rFonts w:ascii="Times New Roman" w:hAnsi="Times New Roman" w:cs="Times New Roman"/>
          <w:b/>
          <w:bCs/>
          <w:i/>
          <w:iCs/>
          <w:lang w:eastAsia="zh-CN"/>
        </w:rPr>
        <w:t>Result</w:t>
      </w:r>
      <w:r>
        <w:rPr>
          <w:rFonts w:ascii="Times New Roman" w:hAnsi="Times New Roman" w:cs="Times New Roman"/>
          <w:b/>
          <w:bCs/>
          <w:i/>
          <w:iCs/>
          <w:lang w:eastAsia="zh-CN"/>
        </w:rPr>
        <w:t xml:space="preserve"> 1</w:t>
      </w:r>
      <w:r w:rsidRPr="007517D0">
        <w:rPr>
          <w:rFonts w:ascii="Times New Roman" w:hAnsi="Times New Roman" w:cs="Times New Roman"/>
          <w:b/>
          <w:bCs/>
          <w:i/>
          <w:iCs/>
          <w:lang w:eastAsia="zh-CN"/>
        </w:rPr>
        <w:t xml:space="preserve">: </w:t>
      </w:r>
      <w:r w:rsidRPr="00310E96">
        <w:rPr>
          <w:rFonts w:ascii="Times New Roman" w:hAnsi="Times New Roman" w:cs="Times New Roman"/>
          <w:b/>
          <w:bCs/>
          <w:i/>
          <w:iCs/>
          <w:lang w:eastAsia="zh-CN"/>
        </w:rPr>
        <w:t xml:space="preserve">Prices in AI-assisted markets, regardless of AI quality, are lower than in the baseline without AI. </w:t>
      </w:r>
    </w:p>
    <w:p w14:paraId="548FF174" w14:textId="77777777" w:rsidR="00562B4D" w:rsidRPr="00310E96" w:rsidRDefault="00562B4D" w:rsidP="00DB3BC4">
      <w:pPr>
        <w:spacing w:line="360" w:lineRule="auto"/>
        <w:jc w:val="both"/>
        <w:rPr>
          <w:rFonts w:ascii="Times New Roman" w:hAnsi="Times New Roman" w:cs="Times New Roman"/>
          <w:b/>
          <w:bCs/>
          <w:i/>
          <w:iCs/>
          <w:lang w:eastAsia="zh-CN"/>
        </w:rPr>
      </w:pPr>
      <w:r w:rsidRPr="004E641A">
        <w:rPr>
          <w:rFonts w:ascii="Times New Roman" w:hAnsi="Times New Roman" w:cs="Times New Roman"/>
          <w:b/>
          <w:bCs/>
          <w:i/>
          <w:iCs/>
          <w:lang w:eastAsia="zh-CN"/>
        </w:rPr>
        <w:t>Result 2:</w:t>
      </w:r>
      <w:r w:rsidRPr="00310E96">
        <w:rPr>
          <w:rFonts w:ascii="Times New Roman" w:hAnsi="Times New Roman" w:cs="Times New Roman"/>
          <w:b/>
          <w:bCs/>
          <w:i/>
          <w:iCs/>
          <w:lang w:eastAsia="zh-CN"/>
        </w:rPr>
        <w:t xml:space="preserve"> There is no difference between the good and bad AI markets in terms of </w:t>
      </w:r>
      <w:proofErr w:type="gramStart"/>
      <w:r w:rsidRPr="00310E96">
        <w:rPr>
          <w:rFonts w:ascii="Times New Roman" w:hAnsi="Times New Roman" w:cs="Times New Roman"/>
          <w:b/>
          <w:bCs/>
          <w:i/>
          <w:iCs/>
          <w:lang w:eastAsia="zh-CN"/>
        </w:rPr>
        <w:t>mispricing</w:t>
      </w:r>
      <w:proofErr w:type="gramEnd"/>
      <w:r w:rsidRPr="00310E96">
        <w:rPr>
          <w:rFonts w:ascii="Times New Roman" w:hAnsi="Times New Roman" w:cs="Times New Roman"/>
          <w:b/>
          <w:bCs/>
          <w:i/>
          <w:iCs/>
          <w:lang w:eastAsia="zh-CN"/>
        </w:rPr>
        <w:t>.</w:t>
      </w:r>
    </w:p>
    <w:p w14:paraId="312EE1DB" w14:textId="624DD91A" w:rsidR="00562B4D" w:rsidRPr="007517D0" w:rsidRDefault="00562B4D" w:rsidP="007E479D">
      <w:pPr>
        <w:spacing w:line="360" w:lineRule="auto"/>
        <w:ind w:firstLine="720"/>
        <w:jc w:val="both"/>
        <w:rPr>
          <w:rFonts w:ascii="Times New Roman" w:hAnsi="Times New Roman" w:cs="Times New Roman"/>
          <w:color w:val="1F1F1F"/>
        </w:rPr>
      </w:pPr>
      <w:r w:rsidRPr="007517D0">
        <w:rPr>
          <w:rFonts w:ascii="Times New Roman" w:hAnsi="Times New Roman" w:cs="Times New Roman"/>
        </w:rPr>
        <w:t xml:space="preserve">Interestingly, </w:t>
      </w:r>
      <w:r>
        <w:rPr>
          <w:rFonts w:ascii="Times New Roman" w:hAnsi="Times New Roman" w:cs="Times New Roman"/>
        </w:rPr>
        <w:t>T</w:t>
      </w:r>
      <w:r w:rsidRPr="007517D0">
        <w:rPr>
          <w:rFonts w:ascii="Times New Roman" w:hAnsi="Times New Roman" w:cs="Times New Roman"/>
        </w:rPr>
        <w:t xml:space="preserve">urnover is higher under the BAI condition than under </w:t>
      </w:r>
      <w:r w:rsidR="001974A4">
        <w:rPr>
          <w:rFonts w:ascii="Times New Roman" w:hAnsi="Times New Roman" w:cs="Times New Roman"/>
        </w:rPr>
        <w:t>the GAI condition</w:t>
      </w:r>
      <w:r w:rsidRPr="007517D0">
        <w:rPr>
          <w:rFonts w:ascii="Times New Roman" w:hAnsi="Times New Roman" w:cs="Times New Roman"/>
        </w:rPr>
        <w:t xml:space="preserve">, suggesting that participants are more active in making transactions when guided by BAI's </w:t>
      </w:r>
      <w:r>
        <w:rPr>
          <w:rFonts w:ascii="Times New Roman" w:hAnsi="Times New Roman" w:cs="Times New Roman"/>
        </w:rPr>
        <w:t xml:space="preserve">bad </w:t>
      </w:r>
      <w:r w:rsidRPr="007517D0">
        <w:rPr>
          <w:rFonts w:ascii="Times New Roman" w:hAnsi="Times New Roman" w:cs="Times New Roman"/>
        </w:rPr>
        <w:t>recommendations</w:t>
      </w:r>
      <w:r>
        <w:rPr>
          <w:rFonts w:ascii="Times New Roman" w:hAnsi="Times New Roman" w:cs="Times New Roman"/>
        </w:rPr>
        <w:t>. This</w:t>
      </w:r>
      <w:r w:rsidRPr="007517D0">
        <w:rPr>
          <w:rFonts w:ascii="Times New Roman" w:hAnsi="Times New Roman" w:cs="Times New Roman"/>
        </w:rPr>
        <w:t xml:space="preserve"> difference is statistically significant at the 5% level.</w:t>
      </w:r>
      <w:r>
        <w:rPr>
          <w:rFonts w:ascii="Times New Roman" w:hAnsi="Times New Roman" w:cs="Times New Roman"/>
        </w:rPr>
        <w:t xml:space="preserve">  As will be discussed in the following section, the advice provided in the BAI treatment was considerably mixed in both quality (recommendations to follow FV or BV) and usefulness.  Thus, one possible explanation for the significantly higher turnover in BAI is that when individuals received the “bad” advice, the heterogeneity in the quality and usefulness of advice created heterogeneity in beliefs. The literature has established that trading volume is positively associated with the degree of disagreements among investors </w:t>
      </w:r>
      <w:r w:rsidR="001E5147" w:rsidRPr="001E5147">
        <w:rPr>
          <w:rFonts w:ascii="Times New Roman" w:hAnsi="Times New Roman" w:cs="Times New Roman"/>
        </w:rPr>
        <w:t xml:space="preserve">(Harris </w:t>
      </w:r>
      <w:r w:rsidR="006E3194">
        <w:rPr>
          <w:rFonts w:asciiTheme="majorBidi" w:hAnsiTheme="majorBidi" w:cstheme="majorBidi"/>
          <w:lang w:val="en-NZ" w:eastAsia="zh-CN"/>
        </w:rPr>
        <w:t>and</w:t>
      </w:r>
      <w:r w:rsidR="001E5147" w:rsidRPr="001E5147">
        <w:rPr>
          <w:rFonts w:ascii="Times New Roman" w:hAnsi="Times New Roman" w:cs="Times New Roman"/>
        </w:rPr>
        <w:t xml:space="preserve"> Raviv, 1993; Kandel </w:t>
      </w:r>
      <w:r w:rsidR="006E3194">
        <w:rPr>
          <w:rFonts w:asciiTheme="majorBidi" w:hAnsiTheme="majorBidi" w:cstheme="majorBidi"/>
          <w:lang w:val="en-NZ" w:eastAsia="zh-CN"/>
        </w:rPr>
        <w:t>and</w:t>
      </w:r>
      <w:r w:rsidR="001E5147" w:rsidRPr="001E5147">
        <w:rPr>
          <w:rFonts w:ascii="Times New Roman" w:hAnsi="Times New Roman" w:cs="Times New Roman"/>
        </w:rPr>
        <w:t xml:space="preserve"> Pearson, 1995)</w:t>
      </w:r>
      <w:r>
        <w:rPr>
          <w:rFonts w:ascii="Times New Roman" w:hAnsi="Times New Roman" w:cs="Times New Roman"/>
        </w:rPr>
        <w:t xml:space="preserve">. </w:t>
      </w:r>
      <w:r w:rsidRPr="00F9687B">
        <w:rPr>
          <w:rFonts w:ascii="Times New Roman" w:hAnsi="Times New Roman" w:cs="Times New Roman"/>
        </w:rPr>
        <w:t>Figure 2</w:t>
      </w:r>
      <w:r>
        <w:rPr>
          <w:rFonts w:ascii="Times New Roman" w:hAnsi="Times New Roman" w:cs="Times New Roman"/>
          <w:b/>
          <w:bCs/>
        </w:rPr>
        <w:t xml:space="preserve"> </w:t>
      </w:r>
      <w:r w:rsidRPr="00025135">
        <w:rPr>
          <w:rFonts w:ascii="Times New Roman" w:hAnsi="Times New Roman" w:cs="Times New Roman"/>
        </w:rPr>
        <w:t>d</w:t>
      </w:r>
      <w:r w:rsidRPr="007517D0">
        <w:rPr>
          <w:rFonts w:ascii="Times New Roman" w:hAnsi="Times New Roman" w:cs="Times New Roman"/>
        </w:rPr>
        <w:t>isplays the number of transactions per period for each treatment.</w:t>
      </w:r>
    </w:p>
    <w:p w14:paraId="6E9B6BEB" w14:textId="77777777" w:rsidR="00562B4D" w:rsidRPr="00310E96" w:rsidRDefault="00562B4D" w:rsidP="007E479D">
      <w:pPr>
        <w:keepNext/>
        <w:spacing w:line="360" w:lineRule="auto"/>
        <w:jc w:val="both"/>
        <w:rPr>
          <w:rFonts w:ascii="Times New Roman" w:hAnsi="Times New Roman" w:cs="Times New Roman"/>
          <w:b/>
          <w:bCs/>
          <w:i/>
          <w:iCs/>
        </w:rPr>
      </w:pPr>
      <w:r w:rsidRPr="00310E96">
        <w:rPr>
          <w:rFonts w:ascii="Times New Roman" w:hAnsi="Times New Roman" w:cs="Times New Roman"/>
          <w:b/>
          <w:bCs/>
          <w:i/>
          <w:iCs/>
        </w:rPr>
        <w:lastRenderedPageBreak/>
        <w:t>Result 3: The significant difference in Turnover between the GAI and BAI treatments indicates that market liquidity is lower in the GAI treatment. Hypothesis 3 is partially supported.</w:t>
      </w:r>
    </w:p>
    <w:p w14:paraId="57DD8EFE" w14:textId="56536FFE" w:rsidR="00562B4D" w:rsidRPr="00A656DB" w:rsidRDefault="00562B4D" w:rsidP="005D6475">
      <w:pPr>
        <w:pStyle w:val="Caption"/>
        <w:keepNext/>
        <w:spacing w:after="0"/>
        <w:jc w:val="center"/>
        <w:rPr>
          <w:rFonts w:ascii="Times New Roman" w:hAnsi="Times New Roman" w:cs="Times New Roman"/>
          <w:i w:val="0"/>
          <w:iCs w:val="0"/>
          <w:color w:val="auto"/>
          <w:sz w:val="22"/>
          <w:szCs w:val="22"/>
        </w:rPr>
      </w:pPr>
      <w:bookmarkStart w:id="3" w:name="_Hlk214358017"/>
      <w:r w:rsidRPr="00A656DB">
        <w:rPr>
          <w:rFonts w:ascii="Times New Roman" w:hAnsi="Times New Roman" w:cs="Times New Roman"/>
          <w:i w:val="0"/>
          <w:iCs w:val="0"/>
          <w:color w:val="auto"/>
          <w:sz w:val="22"/>
          <w:szCs w:val="22"/>
        </w:rPr>
        <w:t>Figure 2. Number of transactions per period and treatment</w:t>
      </w:r>
    </w:p>
    <w:p w14:paraId="69C38834" w14:textId="77777777" w:rsidR="00562B4D" w:rsidRPr="007517D0" w:rsidRDefault="00562B4D" w:rsidP="00562B4D">
      <w:pPr>
        <w:spacing w:before="240" w:line="360" w:lineRule="auto"/>
        <w:jc w:val="center"/>
        <w:rPr>
          <w:rFonts w:ascii="Times New Roman" w:hAnsi="Times New Roman" w:cs="Times New Roman"/>
        </w:rPr>
      </w:pPr>
      <w:r>
        <w:rPr>
          <w:rFonts w:ascii="Times New Roman" w:hAnsi="Times New Roman" w:cs="Times New Roman"/>
          <w:noProof/>
        </w:rPr>
        <w:drawing>
          <wp:inline distT="0" distB="0" distL="0" distR="0" wp14:anchorId="29A40E58" wp14:editId="650BD8AD">
            <wp:extent cx="4389120" cy="3383280"/>
            <wp:effectExtent l="0" t="0" r="0" b="0"/>
            <wp:docPr id="913637634"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637634" name="Imagen 913637634"/>
                    <pic:cNvPicPr/>
                  </pic:nvPicPr>
                  <pic:blipFill rotWithShape="1">
                    <a:blip r:embed="rId9" cstate="print">
                      <a:extLst>
                        <a:ext uri="{28A0092B-C50C-407E-A947-70E740481C1C}">
                          <a14:useLocalDpi xmlns:a14="http://schemas.microsoft.com/office/drawing/2010/main" val="0"/>
                        </a:ext>
                      </a:extLst>
                    </a:blip>
                    <a:srcRect t="5326"/>
                    <a:stretch>
                      <a:fillRect/>
                    </a:stretch>
                  </pic:blipFill>
                  <pic:spPr bwMode="auto">
                    <a:xfrm>
                      <a:off x="0" y="0"/>
                      <a:ext cx="4389120" cy="3383280"/>
                    </a:xfrm>
                    <a:prstGeom prst="rect">
                      <a:avLst/>
                    </a:prstGeom>
                    <a:ln>
                      <a:noFill/>
                    </a:ln>
                    <a:extLst>
                      <a:ext uri="{53640926-AAD7-44D8-BBD7-CCE9431645EC}">
                        <a14:shadowObscured xmlns:a14="http://schemas.microsoft.com/office/drawing/2010/main"/>
                      </a:ext>
                    </a:extLst>
                  </pic:spPr>
                </pic:pic>
              </a:graphicData>
            </a:graphic>
          </wp:inline>
        </w:drawing>
      </w:r>
    </w:p>
    <w:bookmarkEnd w:id="3"/>
    <w:p w14:paraId="0D4D1C3E" w14:textId="2084371D" w:rsidR="00562B4D" w:rsidRPr="007E479D" w:rsidRDefault="00B90799" w:rsidP="007E479D">
      <w:pPr>
        <w:pStyle w:val="ListParagraph"/>
        <w:numPr>
          <w:ilvl w:val="1"/>
          <w:numId w:val="1"/>
        </w:numPr>
        <w:spacing w:line="360" w:lineRule="auto"/>
        <w:ind w:left="450"/>
        <w:jc w:val="both"/>
        <w:rPr>
          <w:rFonts w:ascii="Times New Roman" w:hAnsi="Times New Roman" w:cs="Times New Roman"/>
          <w:b/>
        </w:rPr>
      </w:pPr>
      <w:r w:rsidRPr="007E479D">
        <w:rPr>
          <w:rFonts w:ascii="Times New Roman" w:hAnsi="Times New Roman" w:cs="Times New Roman"/>
          <w:b/>
        </w:rPr>
        <w:t>Traders’ r</w:t>
      </w:r>
      <w:r w:rsidR="00562B4D" w:rsidRPr="007E479D">
        <w:rPr>
          <w:rFonts w:ascii="Times New Roman" w:hAnsi="Times New Roman" w:cs="Times New Roman"/>
          <w:b/>
        </w:rPr>
        <w:t>esponses to</w:t>
      </w:r>
      <w:r w:rsidR="006A20EE" w:rsidRPr="007E479D">
        <w:rPr>
          <w:rFonts w:ascii="Times New Roman" w:hAnsi="Times New Roman" w:cs="Times New Roman"/>
          <w:b/>
        </w:rPr>
        <w:t xml:space="preserve"> AI</w:t>
      </w:r>
      <w:r w:rsidR="00562B4D" w:rsidRPr="007E479D">
        <w:rPr>
          <w:rFonts w:ascii="Times New Roman" w:hAnsi="Times New Roman" w:cs="Times New Roman"/>
          <w:b/>
        </w:rPr>
        <w:t xml:space="preserve"> </w:t>
      </w:r>
      <w:r w:rsidR="005D6475" w:rsidRPr="007E479D">
        <w:rPr>
          <w:rFonts w:ascii="Times New Roman" w:hAnsi="Times New Roman" w:cs="Times New Roman"/>
          <w:b/>
        </w:rPr>
        <w:t>A</w:t>
      </w:r>
      <w:r w:rsidR="00562B4D" w:rsidRPr="007E479D">
        <w:rPr>
          <w:rFonts w:ascii="Times New Roman" w:hAnsi="Times New Roman" w:cs="Times New Roman"/>
          <w:b/>
        </w:rPr>
        <w:t>dvice</w:t>
      </w:r>
    </w:p>
    <w:p w14:paraId="624138D5" w14:textId="77777777" w:rsidR="00562B4D" w:rsidRPr="007E479D" w:rsidRDefault="00562B4D" w:rsidP="00C87A3B">
      <w:pPr>
        <w:spacing w:line="360" w:lineRule="auto"/>
        <w:jc w:val="both"/>
        <w:rPr>
          <w:rFonts w:ascii="Times New Roman" w:hAnsi="Times New Roman" w:cs="Times New Roman"/>
        </w:rPr>
      </w:pPr>
      <w:r w:rsidRPr="007E479D">
        <w:rPr>
          <w:rFonts w:ascii="Times New Roman" w:hAnsi="Times New Roman" w:cs="Times New Roman"/>
        </w:rPr>
        <w:t>In the GAI and BAI treatments, participants could interact with the AI ​​during each trading period. We analyze these interactions to assess participants' responses to advice, as well as their potential role in market outcomes.</w:t>
      </w:r>
    </w:p>
    <w:p w14:paraId="7B2E3A10" w14:textId="5E1DCAF3" w:rsidR="00562B4D" w:rsidRPr="007E479D" w:rsidRDefault="00A65093" w:rsidP="007E479D">
      <w:pPr>
        <w:spacing w:line="360" w:lineRule="auto"/>
        <w:ind w:firstLine="720"/>
        <w:jc w:val="both"/>
        <w:rPr>
          <w:rFonts w:ascii="Times New Roman" w:hAnsi="Times New Roman" w:cs="Times New Roman"/>
          <w:bCs/>
        </w:rPr>
      </w:pPr>
      <w:r>
        <w:rPr>
          <w:rFonts w:ascii="Times New Roman" w:hAnsi="Times New Roman" w:cs="Times New Roman"/>
          <w:bCs/>
        </w:rPr>
        <w:t>Table 4</w:t>
      </w:r>
      <w:r w:rsidR="00562B4D" w:rsidRPr="007E479D">
        <w:rPr>
          <w:rFonts w:ascii="Times New Roman" w:hAnsi="Times New Roman" w:cs="Times New Roman"/>
          <w:bCs/>
        </w:rPr>
        <w:t xml:space="preserve"> reports several interesting observations regarding conversations by treatment. A conversation is defined as a period during which a participant engages with AI.  A participant may ask one or more questions within a given conversation.  We see that participants in the GAI treatment engaged more actively in conversations than those in the BAI treatment. The average number of conversations per participant is 6.56 in GAI, but 5.24 in BAI </w:t>
      </w:r>
      <w:r w:rsidR="00562B4D" w:rsidRPr="007E479D">
        <w:rPr>
          <w:rFonts w:ascii="Times New Roman" w:hAnsi="Times New Roman" w:cs="Times New Roman"/>
        </w:rPr>
        <w:t>(Mann-Whitney U test, p-value &lt; 0.1)</w:t>
      </w:r>
      <w:r w:rsidR="00562B4D" w:rsidRPr="007E479D">
        <w:rPr>
          <w:rFonts w:ascii="Times New Roman" w:hAnsi="Times New Roman" w:cs="Times New Roman"/>
          <w:bCs/>
        </w:rPr>
        <w:t xml:space="preserve">. Note that in both treatments, they could have engaged in more conversations with </w:t>
      </w:r>
      <w:proofErr w:type="gramStart"/>
      <w:r w:rsidR="00562B4D" w:rsidRPr="007E479D">
        <w:rPr>
          <w:rFonts w:ascii="Times New Roman" w:hAnsi="Times New Roman" w:cs="Times New Roman"/>
          <w:bCs/>
        </w:rPr>
        <w:t>AI, but</w:t>
      </w:r>
      <w:proofErr w:type="gramEnd"/>
      <w:r w:rsidR="00562B4D" w:rsidRPr="007E479D">
        <w:rPr>
          <w:rFonts w:ascii="Times New Roman" w:hAnsi="Times New Roman" w:cs="Times New Roman"/>
          <w:bCs/>
        </w:rPr>
        <w:t xml:space="preserve"> chose to use only about 40% of the opportunities.</w:t>
      </w:r>
      <w:r w:rsidR="00562B4D" w:rsidRPr="007E479D">
        <w:rPr>
          <w:rStyle w:val="FootnoteReference"/>
          <w:rFonts w:ascii="Times New Roman" w:hAnsi="Times New Roman" w:cs="Times New Roman"/>
          <w:bCs/>
        </w:rPr>
        <w:footnoteReference w:id="11"/>
      </w:r>
      <w:r w:rsidR="00562B4D" w:rsidRPr="007E479D">
        <w:rPr>
          <w:rFonts w:ascii="Times New Roman" w:hAnsi="Times New Roman" w:cs="Times New Roman"/>
          <w:bCs/>
        </w:rPr>
        <w:t xml:space="preserve"> Another interesting observation is that about 30% of traders did not engage with the AI during the first </w:t>
      </w:r>
      <w:r w:rsidR="00562B4D" w:rsidRPr="007E479D">
        <w:rPr>
          <w:rFonts w:ascii="Times New Roman" w:hAnsi="Times New Roman" w:cs="Times New Roman"/>
          <w:bCs/>
        </w:rPr>
        <w:lastRenderedPageBreak/>
        <w:t xml:space="preserve">trading period. Furthermore, conversations decrease over time (Spearman’s rho = </w:t>
      </w:r>
      <m:oMath>
        <m:r>
          <w:rPr>
            <w:rFonts w:ascii="Cambria Math" w:hAnsi="Cambria Math" w:cs="Times New Roman"/>
          </w:rPr>
          <m:t>-0.92</m:t>
        </m:r>
      </m:oMath>
      <w:r w:rsidR="00562B4D" w:rsidRPr="007E479D">
        <w:rPr>
          <w:rFonts w:ascii="Times New Roman" w:hAnsi="Times New Roman" w:cs="Times New Roman"/>
          <w:bCs/>
        </w:rPr>
        <w:t xml:space="preserve">, p-value &lt; 0.01). </w:t>
      </w:r>
    </w:p>
    <w:p w14:paraId="37766D3A" w14:textId="77777777" w:rsidR="00562B4D" w:rsidRPr="00A656DB" w:rsidRDefault="00562B4D" w:rsidP="00562B4D">
      <w:pPr>
        <w:pStyle w:val="Caption"/>
        <w:keepNext/>
        <w:jc w:val="center"/>
        <w:rPr>
          <w:rFonts w:ascii="Times New Roman" w:hAnsi="Times New Roman" w:cs="Times New Roman"/>
          <w:i w:val="0"/>
          <w:iCs w:val="0"/>
          <w:color w:val="000000" w:themeColor="text1"/>
          <w:sz w:val="22"/>
          <w:szCs w:val="22"/>
        </w:rPr>
      </w:pPr>
      <w:bookmarkStart w:id="4" w:name="_Ref221524226"/>
      <w:r w:rsidRPr="00A656DB">
        <w:rPr>
          <w:rFonts w:ascii="Times New Roman" w:hAnsi="Times New Roman" w:cs="Times New Roman"/>
          <w:i w:val="0"/>
          <w:iCs w:val="0"/>
          <w:color w:val="000000" w:themeColor="text1"/>
          <w:sz w:val="22"/>
          <w:szCs w:val="22"/>
        </w:rPr>
        <w:t xml:space="preserve">Table </w:t>
      </w:r>
      <w:bookmarkEnd w:id="4"/>
      <w:r w:rsidRPr="00A656DB">
        <w:rPr>
          <w:rFonts w:ascii="Times New Roman" w:hAnsi="Times New Roman" w:cs="Times New Roman"/>
          <w:i w:val="0"/>
          <w:iCs w:val="0"/>
          <w:color w:val="000000" w:themeColor="text1"/>
          <w:sz w:val="22"/>
          <w:szCs w:val="22"/>
        </w:rPr>
        <w:t>4. Summary statistics of conversations across treatments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2"/>
        <w:gridCol w:w="957"/>
        <w:gridCol w:w="957"/>
      </w:tblGrid>
      <w:tr w:rsidR="00562B4D" w:rsidRPr="007517D0" w14:paraId="3DA9111B" w14:textId="77777777" w:rsidTr="0051323E">
        <w:tc>
          <w:tcPr>
            <w:tcW w:w="3940" w:type="pct"/>
            <w:tcBorders>
              <w:top w:val="single" w:sz="12" w:space="0" w:color="auto"/>
              <w:bottom w:val="single" w:sz="4" w:space="0" w:color="auto"/>
            </w:tcBorders>
          </w:tcPr>
          <w:p w14:paraId="554915D2" w14:textId="77777777" w:rsidR="00562B4D" w:rsidRPr="007517D0" w:rsidRDefault="00562B4D" w:rsidP="0051323E">
            <w:pPr>
              <w:spacing w:line="276" w:lineRule="auto"/>
              <w:jc w:val="center"/>
              <w:rPr>
                <w:rFonts w:ascii="Times New Roman" w:hAnsi="Times New Roman" w:cs="Times New Roman"/>
                <w:bCs/>
              </w:rPr>
            </w:pPr>
            <w:r>
              <w:rPr>
                <w:rFonts w:ascii="Times New Roman" w:hAnsi="Times New Roman" w:cs="Times New Roman"/>
                <w:bCs/>
              </w:rPr>
              <w:t>Category</w:t>
            </w:r>
          </w:p>
        </w:tc>
        <w:tc>
          <w:tcPr>
            <w:tcW w:w="530" w:type="pct"/>
            <w:tcBorders>
              <w:top w:val="single" w:sz="12" w:space="0" w:color="auto"/>
              <w:bottom w:val="single" w:sz="4" w:space="0" w:color="auto"/>
            </w:tcBorders>
            <w:vAlign w:val="center"/>
          </w:tcPr>
          <w:p w14:paraId="6FD70BA1"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GAI</w:t>
            </w:r>
          </w:p>
        </w:tc>
        <w:tc>
          <w:tcPr>
            <w:tcW w:w="530" w:type="pct"/>
            <w:tcBorders>
              <w:top w:val="single" w:sz="12" w:space="0" w:color="auto"/>
              <w:bottom w:val="single" w:sz="4" w:space="0" w:color="auto"/>
            </w:tcBorders>
            <w:vAlign w:val="center"/>
          </w:tcPr>
          <w:p w14:paraId="27E6005F"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BAI</w:t>
            </w:r>
          </w:p>
        </w:tc>
      </w:tr>
      <w:tr w:rsidR="00562B4D" w:rsidRPr="007517D0" w14:paraId="17A2E059" w14:textId="77777777" w:rsidTr="0051323E">
        <w:tc>
          <w:tcPr>
            <w:tcW w:w="3940" w:type="pct"/>
            <w:tcBorders>
              <w:top w:val="single" w:sz="4" w:space="0" w:color="auto"/>
            </w:tcBorders>
            <w:vAlign w:val="center"/>
          </w:tcPr>
          <w:p w14:paraId="1A02156C" w14:textId="77777777" w:rsidR="00562B4D" w:rsidRPr="007517D0" w:rsidRDefault="00562B4D" w:rsidP="0051323E">
            <w:pPr>
              <w:spacing w:line="276" w:lineRule="auto"/>
              <w:rPr>
                <w:rFonts w:ascii="Times New Roman" w:hAnsi="Times New Roman" w:cs="Times New Roman"/>
                <w:bCs/>
              </w:rPr>
            </w:pPr>
            <w:r>
              <w:rPr>
                <w:rFonts w:ascii="Times New Roman" w:hAnsi="Times New Roman" w:cs="Times New Roman"/>
                <w:bCs/>
              </w:rPr>
              <w:t>Total</w:t>
            </w:r>
            <w:r w:rsidRPr="007517D0">
              <w:rPr>
                <w:rFonts w:ascii="Times New Roman" w:hAnsi="Times New Roman" w:cs="Times New Roman"/>
                <w:bCs/>
              </w:rPr>
              <w:t xml:space="preserve"> participants</w:t>
            </w:r>
          </w:p>
        </w:tc>
        <w:tc>
          <w:tcPr>
            <w:tcW w:w="530" w:type="pct"/>
            <w:tcBorders>
              <w:top w:val="single" w:sz="4" w:space="0" w:color="auto"/>
            </w:tcBorders>
            <w:vAlign w:val="center"/>
          </w:tcPr>
          <w:p w14:paraId="5CFC9731"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80</w:t>
            </w:r>
          </w:p>
        </w:tc>
        <w:tc>
          <w:tcPr>
            <w:tcW w:w="530" w:type="pct"/>
            <w:tcBorders>
              <w:top w:val="single" w:sz="4" w:space="0" w:color="auto"/>
            </w:tcBorders>
            <w:vAlign w:val="center"/>
          </w:tcPr>
          <w:p w14:paraId="61410D2A"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79</w:t>
            </w:r>
          </w:p>
        </w:tc>
      </w:tr>
      <w:tr w:rsidR="00562B4D" w:rsidRPr="007517D0" w14:paraId="6220ED2D" w14:textId="77777777" w:rsidTr="0051323E">
        <w:tc>
          <w:tcPr>
            <w:tcW w:w="3940" w:type="pct"/>
            <w:vAlign w:val="center"/>
          </w:tcPr>
          <w:p w14:paraId="5E8572DF" w14:textId="77777777" w:rsidR="00562B4D" w:rsidRDefault="00562B4D" w:rsidP="0051323E">
            <w:pPr>
              <w:spacing w:line="276" w:lineRule="auto"/>
              <w:rPr>
                <w:rFonts w:ascii="Times New Roman" w:hAnsi="Times New Roman" w:cs="Times New Roman"/>
                <w:bCs/>
              </w:rPr>
            </w:pPr>
            <w:r w:rsidRPr="007517D0">
              <w:rPr>
                <w:rFonts w:ascii="Times New Roman" w:hAnsi="Times New Roman" w:cs="Times New Roman"/>
                <w:bCs/>
              </w:rPr>
              <w:t>Percentage of participants w</w:t>
            </w:r>
            <w:r>
              <w:rPr>
                <w:rFonts w:ascii="Times New Roman" w:hAnsi="Times New Roman" w:cs="Times New Roman"/>
                <w:bCs/>
              </w:rPr>
              <w:t xml:space="preserve">ith at least one </w:t>
            </w:r>
            <w:r w:rsidRPr="007517D0">
              <w:rPr>
                <w:rFonts w:ascii="Times New Roman" w:hAnsi="Times New Roman" w:cs="Times New Roman"/>
                <w:bCs/>
              </w:rPr>
              <w:t>conversation</w:t>
            </w:r>
          </w:p>
        </w:tc>
        <w:tc>
          <w:tcPr>
            <w:tcW w:w="530" w:type="pct"/>
            <w:vAlign w:val="center"/>
          </w:tcPr>
          <w:p w14:paraId="4094CC39"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93.75%</w:t>
            </w:r>
          </w:p>
        </w:tc>
        <w:tc>
          <w:tcPr>
            <w:tcW w:w="530" w:type="pct"/>
            <w:vAlign w:val="center"/>
          </w:tcPr>
          <w:p w14:paraId="276B802C"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94.93%</w:t>
            </w:r>
          </w:p>
        </w:tc>
      </w:tr>
      <w:tr w:rsidR="00562B4D" w:rsidRPr="007517D0" w14:paraId="4F717815" w14:textId="77777777" w:rsidTr="0051323E">
        <w:tc>
          <w:tcPr>
            <w:tcW w:w="3940" w:type="pct"/>
            <w:vAlign w:val="center"/>
          </w:tcPr>
          <w:p w14:paraId="2437C558" w14:textId="77777777" w:rsidR="00562B4D" w:rsidRPr="007517D0" w:rsidRDefault="00562B4D" w:rsidP="0051323E">
            <w:pPr>
              <w:spacing w:line="276" w:lineRule="auto"/>
              <w:rPr>
                <w:rFonts w:ascii="Times New Roman" w:hAnsi="Times New Roman" w:cs="Times New Roman"/>
                <w:bCs/>
              </w:rPr>
            </w:pPr>
            <w:r>
              <w:rPr>
                <w:rFonts w:ascii="Times New Roman" w:hAnsi="Times New Roman" w:cs="Times New Roman"/>
                <w:bCs/>
              </w:rPr>
              <w:t>Total questions</w:t>
            </w:r>
          </w:p>
        </w:tc>
        <w:tc>
          <w:tcPr>
            <w:tcW w:w="530" w:type="pct"/>
            <w:vAlign w:val="center"/>
          </w:tcPr>
          <w:p w14:paraId="0A9A8D53" w14:textId="77777777" w:rsidR="00562B4D" w:rsidRPr="007517D0" w:rsidRDefault="00562B4D" w:rsidP="0051323E">
            <w:pPr>
              <w:spacing w:line="276" w:lineRule="auto"/>
              <w:jc w:val="center"/>
              <w:rPr>
                <w:rFonts w:ascii="Times New Roman" w:hAnsi="Times New Roman" w:cs="Times New Roman"/>
                <w:bCs/>
              </w:rPr>
            </w:pPr>
            <w:r>
              <w:rPr>
                <w:rFonts w:ascii="Times New Roman" w:hAnsi="Times New Roman" w:cs="Times New Roman"/>
                <w:bCs/>
              </w:rPr>
              <w:t>780</w:t>
            </w:r>
          </w:p>
        </w:tc>
        <w:tc>
          <w:tcPr>
            <w:tcW w:w="530" w:type="pct"/>
            <w:vAlign w:val="center"/>
          </w:tcPr>
          <w:p w14:paraId="662C6026" w14:textId="77777777" w:rsidR="00562B4D" w:rsidRPr="007517D0" w:rsidRDefault="00562B4D" w:rsidP="0051323E">
            <w:pPr>
              <w:spacing w:line="276" w:lineRule="auto"/>
              <w:jc w:val="center"/>
              <w:rPr>
                <w:rFonts w:ascii="Times New Roman" w:hAnsi="Times New Roman" w:cs="Times New Roman"/>
                <w:bCs/>
              </w:rPr>
            </w:pPr>
            <w:r>
              <w:rPr>
                <w:rFonts w:ascii="Times New Roman" w:hAnsi="Times New Roman" w:cs="Times New Roman"/>
                <w:bCs/>
              </w:rPr>
              <w:t>586</w:t>
            </w:r>
          </w:p>
        </w:tc>
      </w:tr>
      <w:tr w:rsidR="00562B4D" w:rsidRPr="007517D0" w14:paraId="29A83ACF" w14:textId="77777777" w:rsidTr="0051323E">
        <w:tc>
          <w:tcPr>
            <w:tcW w:w="3940" w:type="pct"/>
            <w:vAlign w:val="center"/>
          </w:tcPr>
          <w:p w14:paraId="4F189525" w14:textId="77777777" w:rsidR="00562B4D" w:rsidRPr="007517D0" w:rsidRDefault="00562B4D" w:rsidP="0051323E">
            <w:pPr>
              <w:spacing w:line="276" w:lineRule="auto"/>
              <w:rPr>
                <w:rFonts w:ascii="Times New Roman" w:hAnsi="Times New Roman" w:cs="Times New Roman"/>
                <w:bCs/>
              </w:rPr>
            </w:pPr>
            <w:r w:rsidRPr="007517D0">
              <w:rPr>
                <w:rFonts w:ascii="Times New Roman" w:hAnsi="Times New Roman" w:cs="Times New Roman"/>
                <w:bCs/>
              </w:rPr>
              <w:t>Total conversations</w:t>
            </w:r>
          </w:p>
        </w:tc>
        <w:tc>
          <w:tcPr>
            <w:tcW w:w="530" w:type="pct"/>
            <w:vAlign w:val="center"/>
          </w:tcPr>
          <w:p w14:paraId="7D1E8C45"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525</w:t>
            </w:r>
          </w:p>
        </w:tc>
        <w:tc>
          <w:tcPr>
            <w:tcW w:w="530" w:type="pct"/>
            <w:vAlign w:val="center"/>
          </w:tcPr>
          <w:p w14:paraId="17F83F7C"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414</w:t>
            </w:r>
          </w:p>
        </w:tc>
      </w:tr>
      <w:tr w:rsidR="00562B4D" w:rsidRPr="007517D0" w14:paraId="580E605F" w14:textId="77777777" w:rsidTr="0051323E">
        <w:tc>
          <w:tcPr>
            <w:tcW w:w="3940" w:type="pct"/>
            <w:tcBorders>
              <w:bottom w:val="single" w:sz="4" w:space="0" w:color="auto"/>
            </w:tcBorders>
            <w:vAlign w:val="center"/>
          </w:tcPr>
          <w:p w14:paraId="35E4EAF8" w14:textId="77777777" w:rsidR="00562B4D" w:rsidRPr="007517D0" w:rsidRDefault="00562B4D" w:rsidP="0051323E">
            <w:pPr>
              <w:spacing w:line="276" w:lineRule="auto"/>
              <w:rPr>
                <w:rFonts w:ascii="Times New Roman" w:hAnsi="Times New Roman" w:cs="Times New Roman"/>
                <w:bCs/>
              </w:rPr>
            </w:pPr>
            <w:r w:rsidRPr="007517D0">
              <w:rPr>
                <w:rFonts w:ascii="Times New Roman" w:hAnsi="Times New Roman" w:cs="Times New Roman"/>
                <w:bCs/>
              </w:rPr>
              <w:t>Average conversations per participant</w:t>
            </w:r>
          </w:p>
        </w:tc>
        <w:tc>
          <w:tcPr>
            <w:tcW w:w="530" w:type="pct"/>
            <w:tcBorders>
              <w:bottom w:val="single" w:sz="4" w:space="0" w:color="auto"/>
            </w:tcBorders>
            <w:vAlign w:val="center"/>
          </w:tcPr>
          <w:p w14:paraId="2A1708C8"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rPr>
              <w:t>6.56</w:t>
            </w:r>
          </w:p>
        </w:tc>
        <w:tc>
          <w:tcPr>
            <w:tcW w:w="530" w:type="pct"/>
            <w:tcBorders>
              <w:bottom w:val="single" w:sz="4" w:space="0" w:color="auto"/>
            </w:tcBorders>
            <w:vAlign w:val="center"/>
          </w:tcPr>
          <w:p w14:paraId="50B8AE95"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rPr>
              <w:t>5.24</w:t>
            </w:r>
          </w:p>
        </w:tc>
      </w:tr>
      <w:tr w:rsidR="00562B4D" w:rsidRPr="007517D0" w14:paraId="4B245274" w14:textId="77777777" w:rsidTr="0051323E">
        <w:tc>
          <w:tcPr>
            <w:tcW w:w="3940" w:type="pct"/>
            <w:tcBorders>
              <w:top w:val="single" w:sz="4" w:space="0" w:color="auto"/>
            </w:tcBorders>
            <w:vAlign w:val="center"/>
          </w:tcPr>
          <w:p w14:paraId="3A93F8F9" w14:textId="77777777" w:rsidR="00562B4D" w:rsidRPr="007517D0" w:rsidRDefault="00562B4D" w:rsidP="0051323E">
            <w:pPr>
              <w:spacing w:line="276" w:lineRule="auto"/>
              <w:rPr>
                <w:rFonts w:ascii="Times New Roman" w:hAnsi="Times New Roman" w:cs="Times New Roman"/>
                <w:bCs/>
              </w:rPr>
            </w:pPr>
            <w:r w:rsidRPr="007517D0">
              <w:rPr>
                <w:rFonts w:ascii="Times New Roman" w:hAnsi="Times New Roman" w:cs="Times New Roman"/>
                <w:bCs/>
              </w:rPr>
              <w:t>Percentage of conversations out of the total possible per treatment</w:t>
            </w:r>
          </w:p>
        </w:tc>
        <w:tc>
          <w:tcPr>
            <w:tcW w:w="530" w:type="pct"/>
            <w:tcBorders>
              <w:top w:val="single" w:sz="4" w:space="0" w:color="auto"/>
            </w:tcBorders>
            <w:vAlign w:val="center"/>
          </w:tcPr>
          <w:p w14:paraId="59C347D7" w14:textId="77777777" w:rsidR="00562B4D" w:rsidRPr="007517D0" w:rsidRDefault="00562B4D" w:rsidP="0051323E">
            <w:pPr>
              <w:spacing w:line="276" w:lineRule="auto"/>
              <w:jc w:val="center"/>
              <w:rPr>
                <w:rFonts w:ascii="Times New Roman" w:hAnsi="Times New Roman" w:cs="Times New Roman"/>
              </w:rPr>
            </w:pPr>
            <w:r w:rsidRPr="007517D0">
              <w:rPr>
                <w:rFonts w:ascii="Times New Roman" w:hAnsi="Times New Roman" w:cs="Times New Roman"/>
                <w:bCs/>
              </w:rPr>
              <w:t>43.75%</w:t>
            </w:r>
          </w:p>
        </w:tc>
        <w:tc>
          <w:tcPr>
            <w:tcW w:w="530" w:type="pct"/>
            <w:tcBorders>
              <w:top w:val="single" w:sz="4" w:space="0" w:color="auto"/>
            </w:tcBorders>
            <w:vAlign w:val="center"/>
          </w:tcPr>
          <w:p w14:paraId="33A7E5B6" w14:textId="77777777" w:rsidR="00562B4D" w:rsidRPr="007517D0" w:rsidRDefault="00562B4D" w:rsidP="0051323E">
            <w:pPr>
              <w:spacing w:line="276" w:lineRule="auto"/>
              <w:jc w:val="center"/>
              <w:rPr>
                <w:rFonts w:ascii="Times New Roman" w:hAnsi="Times New Roman" w:cs="Times New Roman"/>
              </w:rPr>
            </w:pPr>
            <w:r w:rsidRPr="007517D0">
              <w:rPr>
                <w:rFonts w:ascii="Times New Roman" w:hAnsi="Times New Roman" w:cs="Times New Roman"/>
                <w:bCs/>
              </w:rPr>
              <w:t>34.94%</w:t>
            </w:r>
          </w:p>
        </w:tc>
      </w:tr>
      <w:tr w:rsidR="00562B4D" w:rsidRPr="007517D0" w14:paraId="2B3DCD19" w14:textId="77777777" w:rsidTr="0051323E">
        <w:tc>
          <w:tcPr>
            <w:tcW w:w="3940" w:type="pct"/>
            <w:tcBorders>
              <w:bottom w:val="single" w:sz="4" w:space="0" w:color="auto"/>
            </w:tcBorders>
            <w:vAlign w:val="center"/>
          </w:tcPr>
          <w:p w14:paraId="4B7C1617" w14:textId="77777777" w:rsidR="00562B4D" w:rsidRPr="007517D0" w:rsidRDefault="00562B4D" w:rsidP="0051323E">
            <w:pPr>
              <w:spacing w:line="276" w:lineRule="auto"/>
              <w:rPr>
                <w:rFonts w:ascii="Times New Roman" w:hAnsi="Times New Roman" w:cs="Times New Roman"/>
                <w:bCs/>
              </w:rPr>
            </w:pPr>
            <w:r w:rsidRPr="007517D0">
              <w:rPr>
                <w:rFonts w:ascii="Times New Roman" w:hAnsi="Times New Roman" w:cs="Times New Roman"/>
                <w:bCs/>
              </w:rPr>
              <w:t>Percentage of participants who started their first conversation during the first period.</w:t>
            </w:r>
          </w:p>
        </w:tc>
        <w:tc>
          <w:tcPr>
            <w:tcW w:w="530" w:type="pct"/>
            <w:tcBorders>
              <w:bottom w:val="single" w:sz="4" w:space="0" w:color="auto"/>
            </w:tcBorders>
            <w:vAlign w:val="center"/>
          </w:tcPr>
          <w:p w14:paraId="7268440C"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71.25%</w:t>
            </w:r>
          </w:p>
        </w:tc>
        <w:tc>
          <w:tcPr>
            <w:tcW w:w="530" w:type="pct"/>
            <w:tcBorders>
              <w:bottom w:val="single" w:sz="4" w:space="0" w:color="auto"/>
            </w:tcBorders>
            <w:vAlign w:val="center"/>
          </w:tcPr>
          <w:p w14:paraId="25077C71" w14:textId="77777777" w:rsidR="00562B4D" w:rsidRPr="007517D0" w:rsidRDefault="00562B4D" w:rsidP="0051323E">
            <w:pPr>
              <w:spacing w:line="276" w:lineRule="auto"/>
              <w:jc w:val="center"/>
              <w:rPr>
                <w:rFonts w:ascii="Times New Roman" w:hAnsi="Times New Roman" w:cs="Times New Roman"/>
                <w:bCs/>
              </w:rPr>
            </w:pPr>
            <w:r w:rsidRPr="007517D0">
              <w:rPr>
                <w:rFonts w:ascii="Times New Roman" w:hAnsi="Times New Roman" w:cs="Times New Roman"/>
                <w:bCs/>
              </w:rPr>
              <w:t>72.15%</w:t>
            </w:r>
          </w:p>
        </w:tc>
      </w:tr>
      <w:tr w:rsidR="00562B4D" w:rsidRPr="007517D0" w14:paraId="0BA23A69" w14:textId="77777777" w:rsidTr="0051323E">
        <w:tc>
          <w:tcPr>
            <w:tcW w:w="3940" w:type="pct"/>
            <w:tcBorders>
              <w:top w:val="single" w:sz="4" w:space="0" w:color="auto"/>
            </w:tcBorders>
          </w:tcPr>
          <w:p w14:paraId="7CF20DF2" w14:textId="77777777" w:rsidR="00562B4D" w:rsidRDefault="00562B4D" w:rsidP="0051323E">
            <w:pPr>
              <w:spacing w:line="276" w:lineRule="auto"/>
              <w:rPr>
                <w:rFonts w:ascii="Times New Roman" w:hAnsi="Times New Roman" w:cs="Times New Roman"/>
                <w:bCs/>
              </w:rPr>
            </w:pPr>
            <w:r>
              <w:rPr>
                <w:rFonts w:ascii="Times New Roman" w:hAnsi="Times New Roman" w:cs="Times New Roman"/>
                <w:bCs/>
              </w:rPr>
              <w:t>Classifiable questions</w:t>
            </w:r>
          </w:p>
        </w:tc>
        <w:tc>
          <w:tcPr>
            <w:tcW w:w="530" w:type="pct"/>
            <w:tcBorders>
              <w:top w:val="single" w:sz="4" w:space="0" w:color="auto"/>
            </w:tcBorders>
          </w:tcPr>
          <w:p w14:paraId="6D0E0342" w14:textId="77777777" w:rsidR="00562B4D" w:rsidRDefault="00562B4D" w:rsidP="0051323E">
            <w:pPr>
              <w:spacing w:line="276" w:lineRule="auto"/>
              <w:jc w:val="center"/>
              <w:rPr>
                <w:rFonts w:ascii="Times New Roman" w:hAnsi="Times New Roman" w:cs="Times New Roman"/>
                <w:bCs/>
              </w:rPr>
            </w:pPr>
            <w:r>
              <w:rPr>
                <w:rFonts w:ascii="Times New Roman" w:hAnsi="Times New Roman" w:cs="Times New Roman"/>
                <w:bCs/>
              </w:rPr>
              <w:t>700</w:t>
            </w:r>
          </w:p>
        </w:tc>
        <w:tc>
          <w:tcPr>
            <w:tcW w:w="530" w:type="pct"/>
            <w:tcBorders>
              <w:top w:val="single" w:sz="4" w:space="0" w:color="auto"/>
            </w:tcBorders>
          </w:tcPr>
          <w:p w14:paraId="4D9FEF0A" w14:textId="77777777" w:rsidR="00562B4D" w:rsidRDefault="00562B4D" w:rsidP="0051323E">
            <w:pPr>
              <w:spacing w:line="276" w:lineRule="auto"/>
              <w:jc w:val="center"/>
              <w:rPr>
                <w:rFonts w:ascii="Times New Roman" w:hAnsi="Times New Roman" w:cs="Times New Roman"/>
                <w:bCs/>
              </w:rPr>
            </w:pPr>
            <w:r>
              <w:rPr>
                <w:rFonts w:ascii="Times New Roman" w:hAnsi="Times New Roman" w:cs="Times New Roman"/>
                <w:bCs/>
              </w:rPr>
              <w:t>431</w:t>
            </w:r>
          </w:p>
        </w:tc>
      </w:tr>
      <w:tr w:rsidR="00562B4D" w:rsidRPr="007517D0" w14:paraId="541BC71E" w14:textId="77777777" w:rsidTr="0051323E">
        <w:tc>
          <w:tcPr>
            <w:tcW w:w="3940" w:type="pct"/>
            <w:tcBorders>
              <w:bottom w:val="single" w:sz="12" w:space="0" w:color="auto"/>
            </w:tcBorders>
            <w:vAlign w:val="center"/>
          </w:tcPr>
          <w:p w14:paraId="69A79792" w14:textId="77777777" w:rsidR="00562B4D" w:rsidRDefault="00562B4D" w:rsidP="0051323E">
            <w:pPr>
              <w:spacing w:line="276" w:lineRule="auto"/>
              <w:rPr>
                <w:rFonts w:ascii="Times New Roman" w:hAnsi="Times New Roman" w:cs="Times New Roman"/>
                <w:bCs/>
              </w:rPr>
            </w:pPr>
            <w:r>
              <w:rPr>
                <w:rFonts w:ascii="Times New Roman" w:hAnsi="Times New Roman" w:cs="Times New Roman"/>
                <w:bCs/>
              </w:rPr>
              <w:t>Classifiable conversations</w:t>
            </w:r>
          </w:p>
        </w:tc>
        <w:tc>
          <w:tcPr>
            <w:tcW w:w="530" w:type="pct"/>
            <w:tcBorders>
              <w:bottom w:val="single" w:sz="12" w:space="0" w:color="auto"/>
            </w:tcBorders>
            <w:vAlign w:val="center"/>
          </w:tcPr>
          <w:p w14:paraId="5D6EBC8A" w14:textId="77777777" w:rsidR="00562B4D" w:rsidRDefault="00562B4D" w:rsidP="0051323E">
            <w:pPr>
              <w:spacing w:line="276" w:lineRule="auto"/>
              <w:jc w:val="center"/>
              <w:rPr>
                <w:rFonts w:ascii="Times New Roman" w:hAnsi="Times New Roman" w:cs="Times New Roman"/>
                <w:bCs/>
              </w:rPr>
            </w:pPr>
            <w:r>
              <w:rPr>
                <w:rFonts w:ascii="Times New Roman" w:hAnsi="Times New Roman" w:cs="Times New Roman"/>
                <w:bCs/>
              </w:rPr>
              <w:t>489</w:t>
            </w:r>
          </w:p>
        </w:tc>
        <w:tc>
          <w:tcPr>
            <w:tcW w:w="530" w:type="pct"/>
            <w:tcBorders>
              <w:bottom w:val="single" w:sz="12" w:space="0" w:color="auto"/>
            </w:tcBorders>
            <w:vAlign w:val="center"/>
          </w:tcPr>
          <w:p w14:paraId="7C43E7AD" w14:textId="77777777" w:rsidR="00562B4D" w:rsidRDefault="00562B4D" w:rsidP="0051323E">
            <w:pPr>
              <w:spacing w:line="276" w:lineRule="auto"/>
              <w:jc w:val="center"/>
              <w:rPr>
                <w:rFonts w:ascii="Times New Roman" w:hAnsi="Times New Roman" w:cs="Times New Roman"/>
                <w:bCs/>
              </w:rPr>
            </w:pPr>
            <w:r>
              <w:rPr>
                <w:rFonts w:ascii="Times New Roman" w:hAnsi="Times New Roman" w:cs="Times New Roman"/>
                <w:bCs/>
              </w:rPr>
              <w:t>325</w:t>
            </w:r>
          </w:p>
        </w:tc>
      </w:tr>
      <w:tr w:rsidR="00562B4D" w:rsidRPr="007517D0" w14:paraId="06BF2CAA" w14:textId="77777777" w:rsidTr="0051323E">
        <w:tc>
          <w:tcPr>
            <w:tcW w:w="5000" w:type="pct"/>
            <w:gridSpan w:val="3"/>
            <w:tcBorders>
              <w:top w:val="single" w:sz="12" w:space="0" w:color="auto"/>
            </w:tcBorders>
            <w:vAlign w:val="center"/>
          </w:tcPr>
          <w:p w14:paraId="48B299B2" w14:textId="7D248BEB" w:rsidR="003C2C55" w:rsidRPr="003C2C55" w:rsidRDefault="00562B4D" w:rsidP="00DA5F5D">
            <w:pPr>
              <w:spacing w:after="160"/>
              <w:rPr>
                <w:rFonts w:ascii="Times New Roman" w:hAnsi="Times New Roman" w:cs="Times New Roman"/>
                <w:sz w:val="20"/>
                <w:szCs w:val="20"/>
              </w:rPr>
            </w:pPr>
            <w:r w:rsidRPr="00DA5F5D">
              <w:rPr>
                <w:rFonts w:ascii="Times New Roman" w:eastAsia="Times New Roman" w:hAnsi="Times New Roman" w:cs="Times New Roman"/>
                <w:kern w:val="0"/>
                <w:sz w:val="20"/>
                <w:szCs w:val="20"/>
                <w:lang w:eastAsia="es-CL"/>
                <w14:ligatures w14:val="none"/>
              </w:rPr>
              <w:t>Note: The total of possible conversations per treatment is obtained by multiplying the maximum number of possible conversations per participant (15, one per period) by the total number of participants (N).</w:t>
            </w:r>
          </w:p>
        </w:tc>
      </w:tr>
    </w:tbl>
    <w:p w14:paraId="6F2137EB" w14:textId="2E292BB9" w:rsidR="00562B4D" w:rsidRDefault="00562B4D" w:rsidP="007E479D">
      <w:pPr>
        <w:spacing w:line="360" w:lineRule="auto"/>
        <w:ind w:firstLine="720"/>
        <w:jc w:val="both"/>
        <w:rPr>
          <w:rFonts w:ascii="Times New Roman" w:hAnsi="Times New Roman" w:cs="Times New Roman"/>
          <w:bCs/>
        </w:rPr>
      </w:pPr>
      <w:bookmarkStart w:id="5" w:name="_Ref218539841"/>
      <w:r w:rsidRPr="000D3150">
        <w:rPr>
          <w:rFonts w:ascii="Times New Roman" w:hAnsi="Times New Roman" w:cs="Times New Roman"/>
          <w:bCs/>
        </w:rPr>
        <w:t xml:space="preserve">To analyze participants' responses to the advice, we reviewed all messages </w:t>
      </w:r>
      <w:r w:rsidR="00C16B1A">
        <w:rPr>
          <w:rFonts w:ascii="Times New Roman" w:hAnsi="Times New Roman" w:cs="Times New Roman"/>
          <w:bCs/>
        </w:rPr>
        <w:t>a participant received within a given period (i.e., a conversation) and compared them with</w:t>
      </w:r>
      <w:r w:rsidRPr="000D3150">
        <w:rPr>
          <w:rFonts w:ascii="Times New Roman" w:hAnsi="Times New Roman" w:cs="Times New Roman"/>
          <w:bCs/>
        </w:rPr>
        <w:t xml:space="preserve"> the decision </w:t>
      </w:r>
      <w:r>
        <w:rPr>
          <w:rFonts w:ascii="Times New Roman" w:hAnsi="Times New Roman" w:cs="Times New Roman"/>
          <w:bCs/>
        </w:rPr>
        <w:t xml:space="preserve">they </w:t>
      </w:r>
      <w:r w:rsidRPr="000D3150">
        <w:rPr>
          <w:rFonts w:ascii="Times New Roman" w:hAnsi="Times New Roman" w:cs="Times New Roman"/>
          <w:bCs/>
        </w:rPr>
        <w:t xml:space="preserve">made during the same period. </w:t>
      </w:r>
      <w:r>
        <w:rPr>
          <w:rFonts w:ascii="Times New Roman" w:hAnsi="Times New Roman" w:cs="Times New Roman"/>
          <w:bCs/>
        </w:rPr>
        <w:t>This is an advantage of the call market</w:t>
      </w:r>
      <w:r w:rsidR="00C16B1A">
        <w:rPr>
          <w:rFonts w:ascii="Times New Roman" w:hAnsi="Times New Roman" w:cs="Times New Roman"/>
          <w:bCs/>
        </w:rPr>
        <w:t xml:space="preserve"> over a more dynamic double auction because </w:t>
      </w:r>
      <w:r>
        <w:rPr>
          <w:rFonts w:ascii="Times New Roman" w:hAnsi="Times New Roman" w:cs="Times New Roman"/>
          <w:bCs/>
        </w:rPr>
        <w:t xml:space="preserve">we can clearly link their decision to a conversion </w:t>
      </w:r>
      <w:proofErr w:type="gramStart"/>
      <w:r>
        <w:rPr>
          <w:rFonts w:ascii="Times New Roman" w:hAnsi="Times New Roman" w:cs="Times New Roman"/>
          <w:bCs/>
        </w:rPr>
        <w:t>in a given</w:t>
      </w:r>
      <w:proofErr w:type="gramEnd"/>
      <w:r>
        <w:rPr>
          <w:rFonts w:ascii="Times New Roman" w:hAnsi="Times New Roman" w:cs="Times New Roman"/>
          <w:bCs/>
        </w:rPr>
        <w:t xml:space="preserve"> period</w:t>
      </w:r>
      <w:r w:rsidR="00C16B1A">
        <w:rPr>
          <w:rFonts w:ascii="Times New Roman" w:hAnsi="Times New Roman" w:cs="Times New Roman"/>
          <w:bCs/>
        </w:rPr>
        <w:t xml:space="preserve"> in a call market</w:t>
      </w:r>
      <w:r>
        <w:rPr>
          <w:rFonts w:ascii="Times New Roman" w:hAnsi="Times New Roman" w:cs="Times New Roman"/>
          <w:bCs/>
        </w:rPr>
        <w:t xml:space="preserve">. </w:t>
      </w:r>
      <w:r w:rsidRPr="000D3150">
        <w:rPr>
          <w:rFonts w:ascii="Times New Roman" w:hAnsi="Times New Roman" w:cs="Times New Roman"/>
          <w:bCs/>
        </w:rPr>
        <w:t xml:space="preserve">We then </w:t>
      </w:r>
      <w:r w:rsidRPr="004637FA">
        <w:rPr>
          <w:rFonts w:ascii="Times New Roman" w:hAnsi="Times New Roman" w:cs="Times New Roman"/>
          <w:bCs/>
        </w:rPr>
        <w:t xml:space="preserve">classified </w:t>
      </w:r>
      <w:r w:rsidRPr="000D3150">
        <w:rPr>
          <w:rFonts w:ascii="Times New Roman" w:hAnsi="Times New Roman" w:cs="Times New Roman"/>
          <w:bCs/>
        </w:rPr>
        <w:t xml:space="preserve">these </w:t>
      </w:r>
      <w:r>
        <w:rPr>
          <w:rFonts w:ascii="Times New Roman" w:hAnsi="Times New Roman" w:cs="Times New Roman"/>
          <w:bCs/>
        </w:rPr>
        <w:t>decisions</w:t>
      </w:r>
      <w:r w:rsidRPr="000D3150">
        <w:rPr>
          <w:rFonts w:ascii="Times New Roman" w:hAnsi="Times New Roman" w:cs="Times New Roman"/>
          <w:bCs/>
        </w:rPr>
        <w:t xml:space="preserve"> into four </w:t>
      </w:r>
      <w:r w:rsidRPr="007517D0">
        <w:rPr>
          <w:rFonts w:ascii="Times New Roman" w:hAnsi="Times New Roman" w:cs="Times New Roman"/>
          <w:bCs/>
        </w:rPr>
        <w:t>categories</w:t>
      </w:r>
      <w:r>
        <w:rPr>
          <w:rFonts w:ascii="Times New Roman" w:hAnsi="Times New Roman" w:cs="Times New Roman"/>
          <w:bCs/>
        </w:rPr>
        <w:t>,</w:t>
      </w:r>
      <w:r w:rsidRPr="000D3150">
        <w:rPr>
          <w:rFonts w:ascii="Times New Roman" w:hAnsi="Times New Roman" w:cs="Times New Roman"/>
          <w:bCs/>
        </w:rPr>
        <w:t xml:space="preserve"> </w:t>
      </w:r>
      <w:r w:rsidRPr="007517D0">
        <w:rPr>
          <w:rFonts w:ascii="Times New Roman" w:hAnsi="Times New Roman" w:cs="Times New Roman"/>
          <w:bCs/>
        </w:rPr>
        <w:t xml:space="preserve">those who </w:t>
      </w:r>
      <w:r>
        <w:rPr>
          <w:rFonts w:ascii="Times New Roman" w:hAnsi="Times New Roman" w:cs="Times New Roman"/>
          <w:bCs/>
        </w:rPr>
        <w:t xml:space="preserve">directly </w:t>
      </w:r>
      <w:r w:rsidRPr="007517D0">
        <w:rPr>
          <w:rFonts w:ascii="Times New Roman" w:hAnsi="Times New Roman" w:cs="Times New Roman"/>
          <w:bCs/>
        </w:rPr>
        <w:t xml:space="preserve">followed the advice (Follow), those who did not follow the advice by </w:t>
      </w:r>
      <w:r>
        <w:rPr>
          <w:rFonts w:ascii="Times New Roman" w:hAnsi="Times New Roman" w:cs="Times New Roman"/>
          <w:bCs/>
        </w:rPr>
        <w:t>choosing</w:t>
      </w:r>
      <w:r w:rsidRPr="007517D0">
        <w:rPr>
          <w:rFonts w:ascii="Times New Roman" w:hAnsi="Times New Roman" w:cs="Times New Roman"/>
          <w:bCs/>
        </w:rPr>
        <w:t xml:space="preserve"> a </w:t>
      </w:r>
      <w:r>
        <w:rPr>
          <w:rFonts w:ascii="Times New Roman" w:hAnsi="Times New Roman" w:cs="Times New Roman"/>
          <w:bCs/>
        </w:rPr>
        <w:t>contradicting</w:t>
      </w:r>
      <w:r w:rsidRPr="007517D0">
        <w:rPr>
          <w:rFonts w:ascii="Times New Roman" w:hAnsi="Times New Roman" w:cs="Times New Roman"/>
          <w:bCs/>
        </w:rPr>
        <w:t xml:space="preserve"> price (Not Follow), those who did not follow the advice </w:t>
      </w:r>
      <w:r>
        <w:rPr>
          <w:rFonts w:ascii="Times New Roman" w:hAnsi="Times New Roman" w:cs="Times New Roman"/>
          <w:bCs/>
        </w:rPr>
        <w:t>by choosing</w:t>
      </w:r>
      <w:r w:rsidRPr="007517D0">
        <w:rPr>
          <w:rFonts w:ascii="Times New Roman" w:hAnsi="Times New Roman" w:cs="Times New Roman"/>
          <w:bCs/>
        </w:rPr>
        <w:t xml:space="preserve"> to make a different type of offer (Other Offer), for example, they inquired about an offer to buy </w:t>
      </w:r>
      <w:r>
        <w:rPr>
          <w:rFonts w:ascii="Times New Roman" w:hAnsi="Times New Roman" w:cs="Times New Roman"/>
          <w:bCs/>
        </w:rPr>
        <w:t>but</w:t>
      </w:r>
      <w:r w:rsidRPr="007517D0">
        <w:rPr>
          <w:rFonts w:ascii="Times New Roman" w:hAnsi="Times New Roman" w:cs="Times New Roman"/>
          <w:bCs/>
        </w:rPr>
        <w:t xml:space="preserve"> decided to make an offer to sell, and finally, those who decided not to trade</w:t>
      </w:r>
      <w:r>
        <w:rPr>
          <w:rFonts w:ascii="Times New Roman" w:hAnsi="Times New Roman" w:cs="Times New Roman"/>
          <w:bCs/>
        </w:rPr>
        <w:t xml:space="preserve"> even though AI advised a trading strategy</w:t>
      </w:r>
      <w:r w:rsidRPr="007517D0">
        <w:rPr>
          <w:rFonts w:ascii="Times New Roman" w:hAnsi="Times New Roman" w:cs="Times New Roman"/>
          <w:bCs/>
        </w:rPr>
        <w:t xml:space="preserve"> (No Trade).</w:t>
      </w:r>
      <w:r>
        <w:rPr>
          <w:rFonts w:ascii="Times New Roman" w:hAnsi="Times New Roman" w:cs="Times New Roman"/>
          <w:bCs/>
        </w:rPr>
        <w:t xml:space="preserve"> </w:t>
      </w:r>
      <w:r w:rsidRPr="000D3150">
        <w:rPr>
          <w:rFonts w:ascii="Times New Roman" w:hAnsi="Times New Roman" w:cs="Times New Roman"/>
          <w:bCs/>
        </w:rPr>
        <w:t>To perform this classification, we reviewed all</w:t>
      </w:r>
      <w:r>
        <w:rPr>
          <w:rFonts w:ascii="Times New Roman" w:hAnsi="Times New Roman" w:cs="Times New Roman"/>
          <w:bCs/>
        </w:rPr>
        <w:t xml:space="preserve"> advice</w:t>
      </w:r>
      <w:r w:rsidRPr="000D3150">
        <w:rPr>
          <w:rFonts w:ascii="Times New Roman" w:hAnsi="Times New Roman" w:cs="Times New Roman"/>
          <w:bCs/>
        </w:rPr>
        <w:t xml:space="preserve"> </w:t>
      </w:r>
      <w:r>
        <w:rPr>
          <w:rFonts w:ascii="Times New Roman" w:hAnsi="Times New Roman" w:cs="Times New Roman"/>
          <w:bCs/>
        </w:rPr>
        <w:t>messages received by a participant over a given period and compared them with the decision made during that</w:t>
      </w:r>
      <w:r w:rsidRPr="000D3150">
        <w:rPr>
          <w:rFonts w:ascii="Times New Roman" w:hAnsi="Times New Roman" w:cs="Times New Roman"/>
          <w:bCs/>
        </w:rPr>
        <w:t xml:space="preserve"> period.</w:t>
      </w:r>
    </w:p>
    <w:p w14:paraId="686B1B1E" w14:textId="26691C9C" w:rsidR="00562B4D" w:rsidRDefault="00562B4D" w:rsidP="007E479D">
      <w:pPr>
        <w:spacing w:line="360" w:lineRule="auto"/>
        <w:ind w:firstLine="720"/>
        <w:jc w:val="both"/>
        <w:rPr>
          <w:rFonts w:ascii="Times New Roman" w:hAnsi="Times New Roman" w:cs="Times New Roman"/>
          <w:color w:val="000000"/>
        </w:rPr>
      </w:pPr>
      <w:r>
        <w:rPr>
          <w:rFonts w:ascii="Times New Roman" w:hAnsi="Times New Roman" w:cs="Times New Roman"/>
          <w:color w:val="000000"/>
        </w:rPr>
        <w:t xml:space="preserve">Table </w:t>
      </w:r>
      <w:r w:rsidR="005D6475">
        <w:rPr>
          <w:rFonts w:ascii="Times New Roman" w:hAnsi="Times New Roman" w:cs="Times New Roman"/>
          <w:color w:val="000000"/>
        </w:rPr>
        <w:t>5</w:t>
      </w:r>
      <w:r>
        <w:rPr>
          <w:rFonts w:ascii="Times New Roman" w:hAnsi="Times New Roman" w:cs="Times New Roman"/>
          <w:color w:val="000000"/>
        </w:rPr>
        <w:t xml:space="preserve"> presents </w:t>
      </w:r>
      <w:r w:rsidRPr="00101267">
        <w:rPr>
          <w:rFonts w:ascii="Times New Roman" w:hAnsi="Times New Roman" w:cs="Times New Roman"/>
          <w:color w:val="000000"/>
        </w:rPr>
        <w:t xml:space="preserve">this classification by treatment type. The first column indicates the category </w:t>
      </w:r>
      <w:r>
        <w:rPr>
          <w:rFonts w:ascii="Times New Roman" w:hAnsi="Times New Roman" w:cs="Times New Roman"/>
          <w:color w:val="000000"/>
        </w:rPr>
        <w:t>under</w:t>
      </w:r>
      <w:r w:rsidRPr="00101267">
        <w:rPr>
          <w:rFonts w:ascii="Times New Roman" w:hAnsi="Times New Roman" w:cs="Times New Roman"/>
          <w:color w:val="000000"/>
        </w:rPr>
        <w:t xml:space="preserve"> which the conversation responses were classified </w:t>
      </w:r>
      <w:r>
        <w:rPr>
          <w:rFonts w:ascii="Times New Roman" w:hAnsi="Times New Roman" w:cs="Times New Roman"/>
          <w:color w:val="000000"/>
        </w:rPr>
        <w:t>(</w:t>
      </w:r>
      <w:r w:rsidRPr="00101267">
        <w:rPr>
          <w:rFonts w:ascii="Times New Roman" w:hAnsi="Times New Roman" w:cs="Times New Roman"/>
          <w:color w:val="000000"/>
        </w:rPr>
        <w:t>FV, BV, or Other</w:t>
      </w:r>
      <w:r>
        <w:rPr>
          <w:rFonts w:ascii="Times New Roman" w:hAnsi="Times New Roman" w:cs="Times New Roman"/>
          <w:color w:val="000000"/>
        </w:rPr>
        <w:t>)</w:t>
      </w:r>
      <w:r w:rsidR="000E6101">
        <w:rPr>
          <w:rFonts w:ascii="Times New Roman" w:hAnsi="Times New Roman" w:cs="Times New Roman"/>
          <w:color w:val="000000"/>
        </w:rPr>
        <w:t>. T</w:t>
      </w:r>
      <w:r w:rsidRPr="00101267">
        <w:rPr>
          <w:rFonts w:ascii="Times New Roman" w:hAnsi="Times New Roman" w:cs="Times New Roman"/>
          <w:color w:val="000000"/>
        </w:rPr>
        <w:t>he second column shows the participant's response to these conversations</w:t>
      </w:r>
      <w:r>
        <w:rPr>
          <w:rFonts w:ascii="Times New Roman" w:hAnsi="Times New Roman" w:cs="Times New Roman"/>
          <w:color w:val="000000"/>
        </w:rPr>
        <w:t>. Finally,</w:t>
      </w:r>
      <w:r w:rsidRPr="00101267">
        <w:rPr>
          <w:rFonts w:ascii="Times New Roman" w:hAnsi="Times New Roman" w:cs="Times New Roman"/>
          <w:color w:val="000000"/>
        </w:rPr>
        <w:t xml:space="preserve"> </w:t>
      </w:r>
      <w:r>
        <w:rPr>
          <w:rFonts w:ascii="Times New Roman" w:hAnsi="Times New Roman" w:cs="Times New Roman"/>
          <w:color w:val="000000"/>
        </w:rPr>
        <w:t xml:space="preserve">the third and fourth </w:t>
      </w:r>
      <w:r w:rsidRPr="00101267">
        <w:rPr>
          <w:rFonts w:ascii="Times New Roman" w:hAnsi="Times New Roman" w:cs="Times New Roman"/>
          <w:color w:val="000000"/>
        </w:rPr>
        <w:t>columns show the percentages</w:t>
      </w:r>
      <w:r>
        <w:rPr>
          <w:rFonts w:ascii="Times New Roman" w:hAnsi="Times New Roman" w:cs="Times New Roman"/>
          <w:color w:val="000000"/>
        </w:rPr>
        <w:t xml:space="preserve"> associated with each category by treatment</w:t>
      </w:r>
      <w:r w:rsidRPr="00101267">
        <w:rPr>
          <w:rFonts w:ascii="Times New Roman" w:hAnsi="Times New Roman" w:cs="Times New Roman"/>
          <w:color w:val="000000"/>
        </w:rPr>
        <w:t>.</w:t>
      </w:r>
    </w:p>
    <w:p w14:paraId="48F31DB6" w14:textId="77777777" w:rsidR="00C87A3B" w:rsidRDefault="00C87A3B" w:rsidP="007E479D">
      <w:pPr>
        <w:spacing w:line="360" w:lineRule="auto"/>
        <w:ind w:firstLine="720"/>
        <w:jc w:val="both"/>
        <w:rPr>
          <w:rFonts w:ascii="Times New Roman" w:hAnsi="Times New Roman" w:cs="Times New Roman"/>
          <w:color w:val="000000"/>
        </w:rPr>
      </w:pPr>
    </w:p>
    <w:p w14:paraId="0A1269D0" w14:textId="77777777" w:rsidR="00C87A3B" w:rsidRDefault="00C87A3B" w:rsidP="007E479D">
      <w:pPr>
        <w:spacing w:line="360" w:lineRule="auto"/>
        <w:ind w:firstLine="720"/>
        <w:jc w:val="both"/>
        <w:rPr>
          <w:rFonts w:ascii="Times New Roman" w:hAnsi="Times New Roman" w:cs="Times New Roman"/>
          <w:color w:val="000000"/>
        </w:rPr>
      </w:pPr>
    </w:p>
    <w:bookmarkEnd w:id="5"/>
    <w:p w14:paraId="072FD4F1" w14:textId="1A96F037" w:rsidR="00562B4D" w:rsidRPr="00DE77B6" w:rsidRDefault="00562B4D" w:rsidP="00562B4D">
      <w:pPr>
        <w:spacing w:before="240" w:line="360" w:lineRule="auto"/>
        <w:jc w:val="center"/>
        <w:rPr>
          <w:rFonts w:ascii="Times New Roman" w:hAnsi="Times New Roman" w:cs="Times New Roman"/>
          <w:color w:val="000000"/>
          <w:sz w:val="22"/>
          <w:szCs w:val="22"/>
        </w:rPr>
      </w:pPr>
      <w:r w:rsidRPr="00DE77B6">
        <w:rPr>
          <w:rFonts w:ascii="Times New Roman" w:hAnsi="Times New Roman" w:cs="Times New Roman"/>
          <w:sz w:val="22"/>
          <w:szCs w:val="22"/>
        </w:rPr>
        <w:lastRenderedPageBreak/>
        <w:t xml:space="preserve">Table </w:t>
      </w:r>
      <w:r w:rsidR="005D6475" w:rsidRPr="00DE77B6">
        <w:rPr>
          <w:rFonts w:ascii="Times New Roman" w:hAnsi="Times New Roman" w:cs="Times New Roman"/>
          <w:sz w:val="22"/>
          <w:szCs w:val="22"/>
        </w:rPr>
        <w:t>5</w:t>
      </w:r>
      <w:r w:rsidRPr="00DE77B6">
        <w:rPr>
          <w:rFonts w:ascii="Times New Roman" w:hAnsi="Times New Roman" w:cs="Times New Roman"/>
          <w:sz w:val="22"/>
          <w:szCs w:val="22"/>
        </w:rPr>
        <w:t>. Participant responses to AI advice by treatment and advice alignment</w:t>
      </w:r>
    </w:p>
    <w:tbl>
      <w:tblPr>
        <w:tblW w:w="5000" w:type="pct"/>
        <w:jc w:val="center"/>
        <w:tblCellMar>
          <w:left w:w="70" w:type="dxa"/>
          <w:right w:w="70" w:type="dxa"/>
        </w:tblCellMar>
        <w:tblLook w:val="04A0" w:firstRow="1" w:lastRow="0" w:firstColumn="1" w:lastColumn="0" w:noHBand="0" w:noVBand="1"/>
      </w:tblPr>
      <w:tblGrid>
        <w:gridCol w:w="2267"/>
        <w:gridCol w:w="3468"/>
        <w:gridCol w:w="1648"/>
        <w:gridCol w:w="1643"/>
      </w:tblGrid>
      <w:tr w:rsidR="00562B4D" w:rsidRPr="007517D0" w14:paraId="4B9383E3" w14:textId="77777777" w:rsidTr="003E7AB4">
        <w:trPr>
          <w:trHeight w:val="320"/>
          <w:jc w:val="center"/>
        </w:trPr>
        <w:tc>
          <w:tcPr>
            <w:tcW w:w="1255" w:type="pct"/>
            <w:tcBorders>
              <w:top w:val="single" w:sz="12" w:space="0" w:color="auto"/>
              <w:bottom w:val="single" w:sz="4" w:space="0" w:color="auto"/>
            </w:tcBorders>
            <w:noWrap/>
            <w:vAlign w:val="center"/>
            <w:hideMark/>
          </w:tcPr>
          <w:p w14:paraId="5108CB5C"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C0A34">
              <w:rPr>
                <w:rFonts w:ascii="Times New Roman" w:eastAsia="Times New Roman" w:hAnsi="Times New Roman" w:cs="Times New Roman"/>
                <w:kern w:val="0"/>
                <w:lang w:eastAsia="es-CL"/>
                <w14:ligatures w14:val="none"/>
              </w:rPr>
              <w:t xml:space="preserve">Advice </w:t>
            </w:r>
            <w:r>
              <w:rPr>
                <w:rFonts w:ascii="Times New Roman" w:eastAsia="Times New Roman" w:hAnsi="Times New Roman" w:cs="Times New Roman"/>
                <w:kern w:val="0"/>
                <w:lang w:eastAsia="es-CL"/>
                <w14:ligatures w14:val="none"/>
              </w:rPr>
              <w:t>a</w:t>
            </w:r>
            <w:r w:rsidRPr="007C0A34">
              <w:rPr>
                <w:rFonts w:ascii="Times New Roman" w:eastAsia="Times New Roman" w:hAnsi="Times New Roman" w:cs="Times New Roman"/>
                <w:kern w:val="0"/>
                <w:lang w:eastAsia="es-CL"/>
                <w14:ligatures w14:val="none"/>
              </w:rPr>
              <w:t>lignment</w:t>
            </w:r>
          </w:p>
        </w:tc>
        <w:tc>
          <w:tcPr>
            <w:tcW w:w="1923" w:type="pct"/>
            <w:tcBorders>
              <w:top w:val="single" w:sz="12" w:space="0" w:color="auto"/>
              <w:bottom w:val="single" w:sz="4" w:space="0" w:color="auto"/>
            </w:tcBorders>
            <w:noWrap/>
            <w:vAlign w:val="center"/>
            <w:hideMark/>
          </w:tcPr>
          <w:p w14:paraId="596E6FE6"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C0A34">
              <w:rPr>
                <w:rFonts w:ascii="Times New Roman" w:eastAsia="Times New Roman" w:hAnsi="Times New Roman" w:cs="Times New Roman"/>
                <w:kern w:val="0"/>
                <w:lang w:eastAsia="es-CL"/>
                <w14:ligatures w14:val="none"/>
              </w:rPr>
              <w:t xml:space="preserve">Participant </w:t>
            </w:r>
            <w:r>
              <w:rPr>
                <w:rFonts w:ascii="Times New Roman" w:eastAsia="Times New Roman" w:hAnsi="Times New Roman" w:cs="Times New Roman"/>
                <w:kern w:val="0"/>
                <w:lang w:eastAsia="es-CL"/>
                <w14:ligatures w14:val="none"/>
              </w:rPr>
              <w:t>r</w:t>
            </w:r>
            <w:r w:rsidRPr="007C0A34">
              <w:rPr>
                <w:rFonts w:ascii="Times New Roman" w:eastAsia="Times New Roman" w:hAnsi="Times New Roman" w:cs="Times New Roman"/>
                <w:kern w:val="0"/>
                <w:lang w:eastAsia="es-CL"/>
                <w14:ligatures w14:val="none"/>
              </w:rPr>
              <w:t>esponse</w:t>
            </w:r>
          </w:p>
        </w:tc>
        <w:tc>
          <w:tcPr>
            <w:tcW w:w="912" w:type="pct"/>
            <w:tcBorders>
              <w:top w:val="single" w:sz="12" w:space="0" w:color="auto"/>
              <w:bottom w:val="single" w:sz="4" w:space="0" w:color="auto"/>
            </w:tcBorders>
            <w:noWrap/>
            <w:vAlign w:val="center"/>
            <w:hideMark/>
          </w:tcPr>
          <w:p w14:paraId="7CC79E79"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GAI</w:t>
            </w:r>
          </w:p>
        </w:tc>
        <w:tc>
          <w:tcPr>
            <w:tcW w:w="910" w:type="pct"/>
            <w:tcBorders>
              <w:top w:val="single" w:sz="12" w:space="0" w:color="auto"/>
              <w:bottom w:val="single" w:sz="4" w:space="0" w:color="auto"/>
            </w:tcBorders>
            <w:noWrap/>
            <w:vAlign w:val="center"/>
            <w:hideMark/>
          </w:tcPr>
          <w:p w14:paraId="11177295"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BAI</w:t>
            </w:r>
          </w:p>
        </w:tc>
      </w:tr>
      <w:tr w:rsidR="00562B4D" w:rsidRPr="007517D0" w14:paraId="1E650470" w14:textId="77777777" w:rsidTr="003E7AB4">
        <w:trPr>
          <w:trHeight w:val="320"/>
          <w:jc w:val="center"/>
        </w:trPr>
        <w:tc>
          <w:tcPr>
            <w:tcW w:w="1255" w:type="pct"/>
            <w:vMerge w:val="restart"/>
            <w:tcBorders>
              <w:top w:val="single" w:sz="4" w:space="0" w:color="auto"/>
              <w:left w:val="nil"/>
              <w:bottom w:val="nil"/>
              <w:right w:val="nil"/>
            </w:tcBorders>
            <w:noWrap/>
            <w:vAlign w:val="center"/>
            <w:hideMark/>
          </w:tcPr>
          <w:p w14:paraId="7537796C"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FV</w:t>
            </w:r>
          </w:p>
        </w:tc>
        <w:tc>
          <w:tcPr>
            <w:tcW w:w="1923" w:type="pct"/>
            <w:tcBorders>
              <w:top w:val="single" w:sz="4" w:space="0" w:color="auto"/>
              <w:left w:val="nil"/>
              <w:bottom w:val="nil"/>
              <w:right w:val="nil"/>
            </w:tcBorders>
            <w:noWrap/>
            <w:vAlign w:val="center"/>
            <w:hideMark/>
          </w:tcPr>
          <w:p w14:paraId="6C3A1BE4"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Follow</w:t>
            </w:r>
          </w:p>
        </w:tc>
        <w:tc>
          <w:tcPr>
            <w:tcW w:w="912" w:type="pct"/>
            <w:tcBorders>
              <w:top w:val="single" w:sz="4" w:space="0" w:color="auto"/>
              <w:left w:val="nil"/>
              <w:bottom w:val="nil"/>
              <w:right w:val="nil"/>
            </w:tcBorders>
            <w:noWrap/>
            <w:vAlign w:val="center"/>
          </w:tcPr>
          <w:p w14:paraId="0C4CFD2E"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74.4</w:t>
            </w:r>
            <w:r>
              <w:rPr>
                <w:rFonts w:ascii="Times New Roman" w:hAnsi="Times New Roman" w:cs="Times New Roman"/>
              </w:rPr>
              <w:t>4</w:t>
            </w:r>
            <w:r w:rsidRPr="007517D0">
              <w:rPr>
                <w:rFonts w:ascii="Times New Roman" w:hAnsi="Times New Roman" w:cs="Times New Roman"/>
              </w:rPr>
              <w:t>%</w:t>
            </w:r>
          </w:p>
        </w:tc>
        <w:tc>
          <w:tcPr>
            <w:tcW w:w="910" w:type="pct"/>
            <w:tcBorders>
              <w:top w:val="single" w:sz="4" w:space="0" w:color="auto"/>
              <w:left w:val="nil"/>
              <w:bottom w:val="nil"/>
              <w:right w:val="nil"/>
            </w:tcBorders>
            <w:noWrap/>
            <w:vAlign w:val="center"/>
          </w:tcPr>
          <w:p w14:paraId="0099913A"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13.2</w:t>
            </w:r>
            <w:r>
              <w:rPr>
                <w:rFonts w:ascii="Times New Roman" w:hAnsi="Times New Roman" w:cs="Times New Roman"/>
              </w:rPr>
              <w:t>3</w:t>
            </w:r>
            <w:r w:rsidRPr="007517D0">
              <w:rPr>
                <w:rFonts w:ascii="Times New Roman" w:hAnsi="Times New Roman" w:cs="Times New Roman"/>
              </w:rPr>
              <w:t>%</w:t>
            </w:r>
          </w:p>
        </w:tc>
      </w:tr>
      <w:tr w:rsidR="00562B4D" w:rsidRPr="007517D0" w14:paraId="6F53CE0B" w14:textId="77777777" w:rsidTr="003E7AB4">
        <w:trPr>
          <w:trHeight w:val="320"/>
          <w:jc w:val="center"/>
        </w:trPr>
        <w:tc>
          <w:tcPr>
            <w:tcW w:w="1255" w:type="pct"/>
            <w:vMerge/>
            <w:tcBorders>
              <w:top w:val="nil"/>
              <w:left w:val="nil"/>
              <w:bottom w:val="nil"/>
              <w:right w:val="nil"/>
            </w:tcBorders>
            <w:vAlign w:val="center"/>
            <w:hideMark/>
          </w:tcPr>
          <w:p w14:paraId="2467F02B"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nil"/>
              <w:right w:val="nil"/>
            </w:tcBorders>
            <w:noWrap/>
            <w:vAlign w:val="center"/>
            <w:hideMark/>
          </w:tcPr>
          <w:p w14:paraId="4275586E"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Not </w:t>
            </w:r>
            <w:r>
              <w:rPr>
                <w:rFonts w:ascii="Times New Roman" w:eastAsia="Times New Roman" w:hAnsi="Times New Roman" w:cs="Times New Roman"/>
                <w:kern w:val="0"/>
                <w:lang w:eastAsia="es-CL"/>
                <w14:ligatures w14:val="none"/>
              </w:rPr>
              <w:t>F</w:t>
            </w:r>
            <w:r w:rsidRPr="007517D0">
              <w:rPr>
                <w:rFonts w:ascii="Times New Roman" w:eastAsia="Times New Roman" w:hAnsi="Times New Roman" w:cs="Times New Roman"/>
                <w:kern w:val="0"/>
                <w:lang w:eastAsia="es-CL"/>
                <w14:ligatures w14:val="none"/>
              </w:rPr>
              <w:t>ollow</w:t>
            </w:r>
          </w:p>
        </w:tc>
        <w:tc>
          <w:tcPr>
            <w:tcW w:w="912" w:type="pct"/>
            <w:tcBorders>
              <w:top w:val="nil"/>
              <w:left w:val="nil"/>
              <w:bottom w:val="nil"/>
              <w:right w:val="nil"/>
            </w:tcBorders>
            <w:noWrap/>
            <w:vAlign w:val="center"/>
          </w:tcPr>
          <w:p w14:paraId="2ACE5C00"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9.4</w:t>
            </w:r>
            <w:r>
              <w:rPr>
                <w:rFonts w:ascii="Times New Roman" w:hAnsi="Times New Roman" w:cs="Times New Roman"/>
              </w:rPr>
              <w:t>1</w:t>
            </w:r>
            <w:r w:rsidRPr="007517D0">
              <w:rPr>
                <w:rFonts w:ascii="Times New Roman" w:hAnsi="Times New Roman" w:cs="Times New Roman"/>
              </w:rPr>
              <w:t>%</w:t>
            </w:r>
          </w:p>
        </w:tc>
        <w:tc>
          <w:tcPr>
            <w:tcW w:w="910" w:type="pct"/>
            <w:tcBorders>
              <w:top w:val="nil"/>
              <w:left w:val="nil"/>
              <w:bottom w:val="nil"/>
              <w:right w:val="nil"/>
            </w:tcBorders>
            <w:noWrap/>
            <w:vAlign w:val="center"/>
          </w:tcPr>
          <w:p w14:paraId="49AC3AA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1.5</w:t>
            </w:r>
            <w:r>
              <w:rPr>
                <w:rFonts w:ascii="Times New Roman" w:hAnsi="Times New Roman" w:cs="Times New Roman"/>
              </w:rPr>
              <w:t>4</w:t>
            </w:r>
            <w:r w:rsidRPr="007517D0">
              <w:rPr>
                <w:rFonts w:ascii="Times New Roman" w:hAnsi="Times New Roman" w:cs="Times New Roman"/>
              </w:rPr>
              <w:t>%</w:t>
            </w:r>
          </w:p>
        </w:tc>
      </w:tr>
      <w:tr w:rsidR="00562B4D" w:rsidRPr="007517D0" w14:paraId="3E4A1D1E" w14:textId="77777777" w:rsidTr="003E7AB4">
        <w:trPr>
          <w:trHeight w:val="320"/>
          <w:jc w:val="center"/>
        </w:trPr>
        <w:tc>
          <w:tcPr>
            <w:tcW w:w="1255" w:type="pct"/>
            <w:vMerge/>
            <w:tcBorders>
              <w:top w:val="nil"/>
              <w:left w:val="nil"/>
              <w:bottom w:val="nil"/>
              <w:right w:val="nil"/>
            </w:tcBorders>
            <w:vAlign w:val="center"/>
            <w:hideMark/>
          </w:tcPr>
          <w:p w14:paraId="7D147BF8"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nil"/>
              <w:right w:val="nil"/>
            </w:tcBorders>
            <w:noWrap/>
            <w:vAlign w:val="center"/>
            <w:hideMark/>
          </w:tcPr>
          <w:p w14:paraId="15E4E29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Other </w:t>
            </w:r>
            <w:r>
              <w:rPr>
                <w:rFonts w:ascii="Times New Roman" w:eastAsia="Times New Roman" w:hAnsi="Times New Roman" w:cs="Times New Roman"/>
                <w:kern w:val="0"/>
                <w:lang w:eastAsia="es-CL"/>
                <w14:ligatures w14:val="none"/>
              </w:rPr>
              <w:t>O</w:t>
            </w:r>
            <w:r w:rsidRPr="007517D0">
              <w:rPr>
                <w:rFonts w:ascii="Times New Roman" w:eastAsia="Times New Roman" w:hAnsi="Times New Roman" w:cs="Times New Roman"/>
                <w:kern w:val="0"/>
                <w:lang w:eastAsia="es-CL"/>
                <w14:ligatures w14:val="none"/>
              </w:rPr>
              <w:t>ffer</w:t>
            </w:r>
          </w:p>
        </w:tc>
        <w:tc>
          <w:tcPr>
            <w:tcW w:w="912" w:type="pct"/>
            <w:tcBorders>
              <w:top w:val="nil"/>
              <w:left w:val="nil"/>
              <w:bottom w:val="nil"/>
              <w:right w:val="nil"/>
            </w:tcBorders>
            <w:noWrap/>
            <w:vAlign w:val="center"/>
          </w:tcPr>
          <w:p w14:paraId="08D57A53"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4.9</w:t>
            </w:r>
            <w:r>
              <w:rPr>
                <w:rFonts w:ascii="Times New Roman" w:hAnsi="Times New Roman" w:cs="Times New Roman"/>
              </w:rPr>
              <w:t>1</w:t>
            </w:r>
            <w:r w:rsidRPr="007517D0">
              <w:rPr>
                <w:rFonts w:ascii="Times New Roman" w:hAnsi="Times New Roman" w:cs="Times New Roman"/>
              </w:rPr>
              <w:t>%</w:t>
            </w:r>
          </w:p>
        </w:tc>
        <w:tc>
          <w:tcPr>
            <w:tcW w:w="910" w:type="pct"/>
            <w:tcBorders>
              <w:top w:val="nil"/>
              <w:left w:val="nil"/>
              <w:bottom w:val="nil"/>
              <w:right w:val="nil"/>
            </w:tcBorders>
            <w:noWrap/>
            <w:vAlign w:val="center"/>
          </w:tcPr>
          <w:p w14:paraId="00C26FD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1.2</w:t>
            </w:r>
            <w:r>
              <w:rPr>
                <w:rFonts w:ascii="Times New Roman" w:hAnsi="Times New Roman" w:cs="Times New Roman"/>
              </w:rPr>
              <w:t>3</w:t>
            </w:r>
            <w:r w:rsidRPr="007517D0">
              <w:rPr>
                <w:rFonts w:ascii="Times New Roman" w:hAnsi="Times New Roman" w:cs="Times New Roman"/>
              </w:rPr>
              <w:t>%</w:t>
            </w:r>
          </w:p>
        </w:tc>
      </w:tr>
      <w:tr w:rsidR="00562B4D" w:rsidRPr="007517D0" w14:paraId="1A66781A" w14:textId="77777777" w:rsidTr="003E7AB4">
        <w:trPr>
          <w:trHeight w:val="320"/>
          <w:jc w:val="center"/>
        </w:trPr>
        <w:tc>
          <w:tcPr>
            <w:tcW w:w="1255" w:type="pct"/>
            <w:vMerge/>
            <w:tcBorders>
              <w:top w:val="nil"/>
              <w:left w:val="nil"/>
              <w:bottom w:val="single" w:sz="4" w:space="0" w:color="auto"/>
              <w:right w:val="nil"/>
            </w:tcBorders>
            <w:vAlign w:val="center"/>
            <w:hideMark/>
          </w:tcPr>
          <w:p w14:paraId="3C4BEBB4"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single" w:sz="4" w:space="0" w:color="auto"/>
              <w:right w:val="nil"/>
            </w:tcBorders>
            <w:noWrap/>
            <w:vAlign w:val="center"/>
            <w:hideMark/>
          </w:tcPr>
          <w:p w14:paraId="479E3B98"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No </w:t>
            </w:r>
            <w:r>
              <w:rPr>
                <w:rFonts w:ascii="Times New Roman" w:eastAsia="Times New Roman" w:hAnsi="Times New Roman" w:cs="Times New Roman"/>
                <w:kern w:val="0"/>
                <w:lang w:eastAsia="es-CL"/>
                <w14:ligatures w14:val="none"/>
              </w:rPr>
              <w:t>T</w:t>
            </w:r>
            <w:r w:rsidRPr="007517D0">
              <w:rPr>
                <w:rFonts w:ascii="Times New Roman" w:eastAsia="Times New Roman" w:hAnsi="Times New Roman" w:cs="Times New Roman"/>
                <w:kern w:val="0"/>
                <w:lang w:eastAsia="es-CL"/>
                <w14:ligatures w14:val="none"/>
              </w:rPr>
              <w:t>rade</w:t>
            </w:r>
          </w:p>
        </w:tc>
        <w:tc>
          <w:tcPr>
            <w:tcW w:w="912" w:type="pct"/>
            <w:tcBorders>
              <w:top w:val="nil"/>
              <w:left w:val="nil"/>
              <w:bottom w:val="single" w:sz="4" w:space="0" w:color="auto"/>
              <w:right w:val="nil"/>
            </w:tcBorders>
            <w:noWrap/>
            <w:vAlign w:val="center"/>
          </w:tcPr>
          <w:p w14:paraId="1C6122F1"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3.</w:t>
            </w:r>
            <w:r>
              <w:rPr>
                <w:rFonts w:ascii="Times New Roman" w:hAnsi="Times New Roman" w:cs="Times New Roman"/>
              </w:rPr>
              <w:t>68</w:t>
            </w:r>
            <w:r w:rsidRPr="007517D0">
              <w:rPr>
                <w:rFonts w:ascii="Times New Roman" w:hAnsi="Times New Roman" w:cs="Times New Roman"/>
              </w:rPr>
              <w:t>%</w:t>
            </w:r>
          </w:p>
        </w:tc>
        <w:tc>
          <w:tcPr>
            <w:tcW w:w="910" w:type="pct"/>
            <w:tcBorders>
              <w:top w:val="nil"/>
              <w:left w:val="nil"/>
              <w:bottom w:val="single" w:sz="4" w:space="0" w:color="auto"/>
              <w:right w:val="nil"/>
            </w:tcBorders>
            <w:noWrap/>
            <w:vAlign w:val="center"/>
          </w:tcPr>
          <w:p w14:paraId="55864088"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0.</w:t>
            </w:r>
            <w:r>
              <w:rPr>
                <w:rFonts w:ascii="Times New Roman" w:hAnsi="Times New Roman" w:cs="Times New Roman"/>
              </w:rPr>
              <w:t>00</w:t>
            </w:r>
            <w:r w:rsidRPr="007517D0">
              <w:rPr>
                <w:rFonts w:ascii="Times New Roman" w:hAnsi="Times New Roman" w:cs="Times New Roman"/>
              </w:rPr>
              <w:t>%</w:t>
            </w:r>
          </w:p>
        </w:tc>
      </w:tr>
      <w:tr w:rsidR="00562B4D" w:rsidRPr="007517D0" w14:paraId="73C95841" w14:textId="77777777" w:rsidTr="003E7AB4">
        <w:trPr>
          <w:trHeight w:val="320"/>
          <w:jc w:val="center"/>
        </w:trPr>
        <w:tc>
          <w:tcPr>
            <w:tcW w:w="1255" w:type="pct"/>
            <w:tcBorders>
              <w:top w:val="nil"/>
              <w:left w:val="nil"/>
              <w:bottom w:val="single" w:sz="4" w:space="0" w:color="auto"/>
              <w:right w:val="nil"/>
            </w:tcBorders>
            <w:vAlign w:val="center"/>
          </w:tcPr>
          <w:p w14:paraId="681A36F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single" w:sz="4" w:space="0" w:color="auto"/>
              <w:right w:val="nil"/>
            </w:tcBorders>
            <w:noWrap/>
            <w:vAlign w:val="center"/>
          </w:tcPr>
          <w:p w14:paraId="50BC74EE"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Pr>
                <w:rFonts w:ascii="Times New Roman" w:eastAsia="Times New Roman" w:hAnsi="Times New Roman" w:cs="Times New Roman"/>
                <w:kern w:val="0"/>
                <w:lang w:eastAsia="es-CL"/>
                <w14:ligatures w14:val="none"/>
              </w:rPr>
              <w:t>Sum (FV Advice)</w:t>
            </w:r>
          </w:p>
        </w:tc>
        <w:tc>
          <w:tcPr>
            <w:tcW w:w="912" w:type="pct"/>
            <w:tcBorders>
              <w:top w:val="nil"/>
              <w:left w:val="nil"/>
              <w:bottom w:val="single" w:sz="4" w:space="0" w:color="auto"/>
              <w:right w:val="nil"/>
            </w:tcBorders>
            <w:noWrap/>
            <w:vAlign w:val="center"/>
          </w:tcPr>
          <w:p w14:paraId="68DEB350" w14:textId="77777777" w:rsidR="00562B4D" w:rsidRPr="008073D7" w:rsidRDefault="00562B4D" w:rsidP="0051323E">
            <w:pPr>
              <w:spacing w:after="0" w:line="240" w:lineRule="auto"/>
              <w:jc w:val="center"/>
              <w:rPr>
                <w:rFonts w:ascii="Times New Roman" w:hAnsi="Times New Roman" w:cs="Times New Roman"/>
                <w:b/>
                <w:bCs/>
              </w:rPr>
            </w:pPr>
            <w:r w:rsidRPr="008073D7">
              <w:rPr>
                <w:rFonts w:ascii="Times New Roman" w:hAnsi="Times New Roman" w:cs="Times New Roman"/>
                <w:b/>
                <w:bCs/>
              </w:rPr>
              <w:t>92.4</w:t>
            </w:r>
            <w:r>
              <w:rPr>
                <w:rFonts w:ascii="Times New Roman" w:hAnsi="Times New Roman" w:cs="Times New Roman"/>
                <w:b/>
                <w:bCs/>
              </w:rPr>
              <w:t>4</w:t>
            </w:r>
            <w:r w:rsidRPr="008073D7">
              <w:rPr>
                <w:rFonts w:ascii="Times New Roman" w:hAnsi="Times New Roman" w:cs="Times New Roman"/>
                <w:b/>
                <w:bCs/>
              </w:rPr>
              <w:t>%</w:t>
            </w:r>
          </w:p>
        </w:tc>
        <w:tc>
          <w:tcPr>
            <w:tcW w:w="910" w:type="pct"/>
            <w:tcBorders>
              <w:top w:val="nil"/>
              <w:left w:val="nil"/>
              <w:bottom w:val="single" w:sz="4" w:space="0" w:color="auto"/>
              <w:right w:val="nil"/>
            </w:tcBorders>
            <w:noWrap/>
            <w:vAlign w:val="center"/>
          </w:tcPr>
          <w:p w14:paraId="4291F0A2" w14:textId="77777777" w:rsidR="00562B4D" w:rsidRPr="008073D7" w:rsidRDefault="00562B4D" w:rsidP="0051323E">
            <w:pPr>
              <w:spacing w:after="0" w:line="240" w:lineRule="auto"/>
              <w:jc w:val="center"/>
              <w:rPr>
                <w:rFonts w:ascii="Times New Roman" w:hAnsi="Times New Roman" w:cs="Times New Roman"/>
                <w:b/>
                <w:bCs/>
              </w:rPr>
            </w:pPr>
            <w:r w:rsidRPr="008073D7">
              <w:rPr>
                <w:rFonts w:ascii="Times New Roman" w:hAnsi="Times New Roman" w:cs="Times New Roman"/>
                <w:b/>
                <w:bCs/>
              </w:rPr>
              <w:t>1</w:t>
            </w:r>
            <w:r>
              <w:rPr>
                <w:rFonts w:ascii="Times New Roman" w:hAnsi="Times New Roman" w:cs="Times New Roman"/>
                <w:b/>
                <w:bCs/>
              </w:rPr>
              <w:t>6</w:t>
            </w:r>
            <w:r w:rsidRPr="008073D7">
              <w:rPr>
                <w:rFonts w:ascii="Times New Roman" w:hAnsi="Times New Roman" w:cs="Times New Roman"/>
                <w:b/>
                <w:bCs/>
              </w:rPr>
              <w:t>.</w:t>
            </w:r>
            <w:r>
              <w:rPr>
                <w:rFonts w:ascii="Times New Roman" w:hAnsi="Times New Roman" w:cs="Times New Roman"/>
                <w:b/>
                <w:bCs/>
              </w:rPr>
              <w:t>0</w:t>
            </w:r>
            <w:r w:rsidRPr="008073D7">
              <w:rPr>
                <w:rFonts w:ascii="Times New Roman" w:hAnsi="Times New Roman" w:cs="Times New Roman"/>
                <w:b/>
                <w:bCs/>
              </w:rPr>
              <w:t>0%</w:t>
            </w:r>
          </w:p>
        </w:tc>
      </w:tr>
      <w:tr w:rsidR="00562B4D" w:rsidRPr="007517D0" w14:paraId="42F05AB2" w14:textId="77777777" w:rsidTr="003E7AB4">
        <w:trPr>
          <w:trHeight w:val="320"/>
          <w:jc w:val="center"/>
        </w:trPr>
        <w:tc>
          <w:tcPr>
            <w:tcW w:w="1255" w:type="pct"/>
            <w:vMerge w:val="restart"/>
            <w:tcBorders>
              <w:top w:val="single" w:sz="4" w:space="0" w:color="auto"/>
              <w:left w:val="nil"/>
              <w:bottom w:val="nil"/>
              <w:right w:val="nil"/>
            </w:tcBorders>
            <w:noWrap/>
            <w:vAlign w:val="center"/>
            <w:hideMark/>
          </w:tcPr>
          <w:p w14:paraId="0E4BBAEA"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BV</w:t>
            </w:r>
          </w:p>
        </w:tc>
        <w:tc>
          <w:tcPr>
            <w:tcW w:w="1923" w:type="pct"/>
            <w:tcBorders>
              <w:top w:val="single" w:sz="4" w:space="0" w:color="auto"/>
              <w:left w:val="nil"/>
              <w:bottom w:val="nil"/>
              <w:right w:val="nil"/>
            </w:tcBorders>
            <w:noWrap/>
            <w:vAlign w:val="center"/>
            <w:hideMark/>
          </w:tcPr>
          <w:p w14:paraId="0A4E5BE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Follow</w:t>
            </w:r>
          </w:p>
        </w:tc>
        <w:tc>
          <w:tcPr>
            <w:tcW w:w="912" w:type="pct"/>
            <w:tcBorders>
              <w:top w:val="single" w:sz="4" w:space="0" w:color="auto"/>
              <w:left w:val="nil"/>
              <w:bottom w:val="nil"/>
              <w:right w:val="nil"/>
            </w:tcBorders>
            <w:noWrap/>
            <w:vAlign w:val="center"/>
          </w:tcPr>
          <w:p w14:paraId="7B279B6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0.2</w:t>
            </w:r>
            <w:r>
              <w:rPr>
                <w:rFonts w:ascii="Times New Roman" w:hAnsi="Times New Roman" w:cs="Times New Roman"/>
              </w:rPr>
              <w:t>0</w:t>
            </w:r>
            <w:r w:rsidRPr="007517D0">
              <w:rPr>
                <w:rFonts w:ascii="Times New Roman" w:hAnsi="Times New Roman" w:cs="Times New Roman"/>
              </w:rPr>
              <w:t>%</w:t>
            </w:r>
          </w:p>
        </w:tc>
        <w:tc>
          <w:tcPr>
            <w:tcW w:w="910" w:type="pct"/>
            <w:tcBorders>
              <w:top w:val="single" w:sz="4" w:space="0" w:color="auto"/>
              <w:left w:val="nil"/>
              <w:bottom w:val="nil"/>
              <w:right w:val="nil"/>
            </w:tcBorders>
            <w:noWrap/>
            <w:vAlign w:val="center"/>
          </w:tcPr>
          <w:p w14:paraId="3981C85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28.9</w:t>
            </w:r>
            <w:r>
              <w:rPr>
                <w:rFonts w:ascii="Times New Roman" w:hAnsi="Times New Roman" w:cs="Times New Roman"/>
              </w:rPr>
              <w:t>2</w:t>
            </w:r>
            <w:r w:rsidRPr="007517D0">
              <w:rPr>
                <w:rFonts w:ascii="Times New Roman" w:hAnsi="Times New Roman" w:cs="Times New Roman"/>
              </w:rPr>
              <w:t>%</w:t>
            </w:r>
          </w:p>
        </w:tc>
      </w:tr>
      <w:tr w:rsidR="00562B4D" w:rsidRPr="007517D0" w14:paraId="39F06C80" w14:textId="77777777" w:rsidTr="003E7AB4">
        <w:trPr>
          <w:trHeight w:val="320"/>
          <w:jc w:val="center"/>
        </w:trPr>
        <w:tc>
          <w:tcPr>
            <w:tcW w:w="1255" w:type="pct"/>
            <w:vMerge/>
            <w:tcBorders>
              <w:top w:val="nil"/>
              <w:left w:val="nil"/>
              <w:bottom w:val="nil"/>
              <w:right w:val="nil"/>
            </w:tcBorders>
            <w:vAlign w:val="center"/>
            <w:hideMark/>
          </w:tcPr>
          <w:p w14:paraId="19D44060"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nil"/>
              <w:right w:val="nil"/>
            </w:tcBorders>
            <w:noWrap/>
            <w:vAlign w:val="center"/>
            <w:hideMark/>
          </w:tcPr>
          <w:p w14:paraId="7EB650F4"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Not </w:t>
            </w:r>
            <w:r>
              <w:rPr>
                <w:rFonts w:ascii="Times New Roman" w:eastAsia="Times New Roman" w:hAnsi="Times New Roman" w:cs="Times New Roman"/>
                <w:kern w:val="0"/>
                <w:lang w:eastAsia="es-CL"/>
                <w14:ligatures w14:val="none"/>
              </w:rPr>
              <w:t>F</w:t>
            </w:r>
            <w:r w:rsidRPr="007517D0">
              <w:rPr>
                <w:rFonts w:ascii="Times New Roman" w:eastAsia="Times New Roman" w:hAnsi="Times New Roman" w:cs="Times New Roman"/>
                <w:kern w:val="0"/>
                <w:lang w:eastAsia="es-CL"/>
                <w14:ligatures w14:val="none"/>
              </w:rPr>
              <w:t>ollow</w:t>
            </w:r>
          </w:p>
        </w:tc>
        <w:tc>
          <w:tcPr>
            <w:tcW w:w="912" w:type="pct"/>
            <w:tcBorders>
              <w:top w:val="nil"/>
              <w:left w:val="nil"/>
              <w:bottom w:val="nil"/>
              <w:right w:val="nil"/>
            </w:tcBorders>
            <w:noWrap/>
            <w:vAlign w:val="center"/>
          </w:tcPr>
          <w:p w14:paraId="334C95AE"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0.0</w:t>
            </w:r>
            <w:r>
              <w:rPr>
                <w:rFonts w:ascii="Times New Roman" w:hAnsi="Times New Roman" w:cs="Times New Roman"/>
              </w:rPr>
              <w:t>0</w:t>
            </w:r>
            <w:r w:rsidRPr="007517D0">
              <w:rPr>
                <w:rFonts w:ascii="Times New Roman" w:hAnsi="Times New Roman" w:cs="Times New Roman"/>
              </w:rPr>
              <w:t>%</w:t>
            </w:r>
          </w:p>
        </w:tc>
        <w:tc>
          <w:tcPr>
            <w:tcW w:w="910" w:type="pct"/>
            <w:tcBorders>
              <w:top w:val="nil"/>
              <w:left w:val="nil"/>
              <w:bottom w:val="nil"/>
              <w:right w:val="nil"/>
            </w:tcBorders>
            <w:noWrap/>
            <w:vAlign w:val="center"/>
          </w:tcPr>
          <w:p w14:paraId="1C170390"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16.6</w:t>
            </w:r>
            <w:r>
              <w:rPr>
                <w:rFonts w:ascii="Times New Roman" w:hAnsi="Times New Roman" w:cs="Times New Roman"/>
              </w:rPr>
              <w:t>2</w:t>
            </w:r>
            <w:r w:rsidRPr="007517D0">
              <w:rPr>
                <w:rFonts w:ascii="Times New Roman" w:hAnsi="Times New Roman" w:cs="Times New Roman"/>
              </w:rPr>
              <w:t>%</w:t>
            </w:r>
          </w:p>
        </w:tc>
      </w:tr>
      <w:tr w:rsidR="00562B4D" w:rsidRPr="007517D0" w14:paraId="7EE5E1E3" w14:textId="77777777" w:rsidTr="003E7AB4">
        <w:trPr>
          <w:trHeight w:val="320"/>
          <w:jc w:val="center"/>
        </w:trPr>
        <w:tc>
          <w:tcPr>
            <w:tcW w:w="1255" w:type="pct"/>
            <w:vMerge/>
            <w:tcBorders>
              <w:top w:val="nil"/>
              <w:left w:val="nil"/>
              <w:bottom w:val="nil"/>
              <w:right w:val="nil"/>
            </w:tcBorders>
            <w:vAlign w:val="center"/>
            <w:hideMark/>
          </w:tcPr>
          <w:p w14:paraId="577F4563"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nil"/>
              <w:right w:val="nil"/>
            </w:tcBorders>
            <w:noWrap/>
            <w:vAlign w:val="center"/>
            <w:hideMark/>
          </w:tcPr>
          <w:p w14:paraId="4895CD7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Other </w:t>
            </w:r>
            <w:r>
              <w:rPr>
                <w:rFonts w:ascii="Times New Roman" w:eastAsia="Times New Roman" w:hAnsi="Times New Roman" w:cs="Times New Roman"/>
                <w:kern w:val="0"/>
                <w:lang w:eastAsia="es-CL"/>
                <w14:ligatures w14:val="none"/>
              </w:rPr>
              <w:t>O</w:t>
            </w:r>
            <w:r w:rsidRPr="007517D0">
              <w:rPr>
                <w:rFonts w:ascii="Times New Roman" w:eastAsia="Times New Roman" w:hAnsi="Times New Roman" w:cs="Times New Roman"/>
                <w:kern w:val="0"/>
                <w:lang w:eastAsia="es-CL"/>
                <w14:ligatures w14:val="none"/>
              </w:rPr>
              <w:t>ffer</w:t>
            </w:r>
          </w:p>
        </w:tc>
        <w:tc>
          <w:tcPr>
            <w:tcW w:w="912" w:type="pct"/>
            <w:tcBorders>
              <w:top w:val="nil"/>
              <w:left w:val="nil"/>
              <w:bottom w:val="nil"/>
              <w:right w:val="nil"/>
            </w:tcBorders>
            <w:noWrap/>
            <w:vAlign w:val="center"/>
          </w:tcPr>
          <w:p w14:paraId="35F83AA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0.2</w:t>
            </w:r>
            <w:r>
              <w:rPr>
                <w:rFonts w:ascii="Times New Roman" w:hAnsi="Times New Roman" w:cs="Times New Roman"/>
              </w:rPr>
              <w:t>0</w:t>
            </w:r>
            <w:r w:rsidRPr="007517D0">
              <w:rPr>
                <w:rFonts w:ascii="Times New Roman" w:hAnsi="Times New Roman" w:cs="Times New Roman"/>
              </w:rPr>
              <w:t>%</w:t>
            </w:r>
          </w:p>
        </w:tc>
        <w:tc>
          <w:tcPr>
            <w:tcW w:w="910" w:type="pct"/>
            <w:tcBorders>
              <w:top w:val="nil"/>
              <w:left w:val="nil"/>
              <w:bottom w:val="nil"/>
              <w:right w:val="nil"/>
            </w:tcBorders>
            <w:noWrap/>
            <w:vAlign w:val="center"/>
          </w:tcPr>
          <w:p w14:paraId="0EEEEC24"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3.</w:t>
            </w:r>
            <w:r>
              <w:rPr>
                <w:rFonts w:ascii="Times New Roman" w:hAnsi="Times New Roman" w:cs="Times New Roman"/>
              </w:rPr>
              <w:t>38</w:t>
            </w:r>
            <w:r w:rsidRPr="007517D0">
              <w:rPr>
                <w:rFonts w:ascii="Times New Roman" w:hAnsi="Times New Roman" w:cs="Times New Roman"/>
              </w:rPr>
              <w:t>%</w:t>
            </w:r>
          </w:p>
        </w:tc>
      </w:tr>
      <w:tr w:rsidR="00562B4D" w:rsidRPr="007517D0" w14:paraId="7DD889D0" w14:textId="77777777" w:rsidTr="003E7AB4">
        <w:trPr>
          <w:trHeight w:val="320"/>
          <w:jc w:val="center"/>
        </w:trPr>
        <w:tc>
          <w:tcPr>
            <w:tcW w:w="1255" w:type="pct"/>
            <w:vMerge/>
            <w:tcBorders>
              <w:top w:val="nil"/>
              <w:left w:val="nil"/>
              <w:bottom w:val="single" w:sz="4" w:space="0" w:color="auto"/>
              <w:right w:val="nil"/>
            </w:tcBorders>
            <w:vAlign w:val="center"/>
            <w:hideMark/>
          </w:tcPr>
          <w:p w14:paraId="5417C63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single" w:sz="4" w:space="0" w:color="auto"/>
              <w:right w:val="nil"/>
            </w:tcBorders>
            <w:noWrap/>
            <w:vAlign w:val="center"/>
            <w:hideMark/>
          </w:tcPr>
          <w:p w14:paraId="2F1CE6E8"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No </w:t>
            </w:r>
            <w:r>
              <w:rPr>
                <w:rFonts w:ascii="Times New Roman" w:eastAsia="Times New Roman" w:hAnsi="Times New Roman" w:cs="Times New Roman"/>
                <w:kern w:val="0"/>
                <w:lang w:eastAsia="es-CL"/>
                <w14:ligatures w14:val="none"/>
              </w:rPr>
              <w:t>T</w:t>
            </w:r>
            <w:r w:rsidRPr="007517D0">
              <w:rPr>
                <w:rFonts w:ascii="Times New Roman" w:eastAsia="Times New Roman" w:hAnsi="Times New Roman" w:cs="Times New Roman"/>
                <w:kern w:val="0"/>
                <w:lang w:eastAsia="es-CL"/>
                <w14:ligatures w14:val="none"/>
              </w:rPr>
              <w:t>rade</w:t>
            </w:r>
          </w:p>
        </w:tc>
        <w:tc>
          <w:tcPr>
            <w:tcW w:w="912" w:type="pct"/>
            <w:tcBorders>
              <w:top w:val="nil"/>
              <w:left w:val="nil"/>
              <w:bottom w:val="single" w:sz="4" w:space="0" w:color="auto"/>
              <w:right w:val="nil"/>
            </w:tcBorders>
            <w:noWrap/>
            <w:vAlign w:val="center"/>
          </w:tcPr>
          <w:p w14:paraId="02D31678"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0.0</w:t>
            </w:r>
            <w:r>
              <w:rPr>
                <w:rFonts w:ascii="Times New Roman" w:hAnsi="Times New Roman" w:cs="Times New Roman"/>
              </w:rPr>
              <w:t>0</w:t>
            </w:r>
            <w:r w:rsidRPr="007517D0">
              <w:rPr>
                <w:rFonts w:ascii="Times New Roman" w:hAnsi="Times New Roman" w:cs="Times New Roman"/>
              </w:rPr>
              <w:t>%</w:t>
            </w:r>
          </w:p>
        </w:tc>
        <w:tc>
          <w:tcPr>
            <w:tcW w:w="910" w:type="pct"/>
            <w:tcBorders>
              <w:top w:val="nil"/>
              <w:left w:val="nil"/>
              <w:bottom w:val="single" w:sz="4" w:space="0" w:color="auto"/>
              <w:right w:val="nil"/>
            </w:tcBorders>
            <w:noWrap/>
            <w:vAlign w:val="center"/>
          </w:tcPr>
          <w:p w14:paraId="7711B84E"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3.</w:t>
            </w:r>
            <w:r>
              <w:rPr>
                <w:rFonts w:ascii="Times New Roman" w:hAnsi="Times New Roman" w:cs="Times New Roman"/>
              </w:rPr>
              <w:t>69</w:t>
            </w:r>
            <w:r w:rsidRPr="007517D0">
              <w:rPr>
                <w:rFonts w:ascii="Times New Roman" w:hAnsi="Times New Roman" w:cs="Times New Roman"/>
              </w:rPr>
              <w:t>%</w:t>
            </w:r>
          </w:p>
        </w:tc>
      </w:tr>
      <w:tr w:rsidR="00562B4D" w:rsidRPr="007517D0" w14:paraId="74C3FDEA" w14:textId="77777777" w:rsidTr="003E7AB4">
        <w:trPr>
          <w:trHeight w:val="320"/>
          <w:jc w:val="center"/>
        </w:trPr>
        <w:tc>
          <w:tcPr>
            <w:tcW w:w="1255" w:type="pct"/>
            <w:tcBorders>
              <w:top w:val="nil"/>
              <w:left w:val="nil"/>
              <w:bottom w:val="single" w:sz="4" w:space="0" w:color="auto"/>
              <w:right w:val="nil"/>
            </w:tcBorders>
            <w:vAlign w:val="center"/>
          </w:tcPr>
          <w:p w14:paraId="772BDCAE"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single" w:sz="4" w:space="0" w:color="auto"/>
              <w:right w:val="nil"/>
            </w:tcBorders>
            <w:noWrap/>
            <w:vAlign w:val="center"/>
          </w:tcPr>
          <w:p w14:paraId="68BE039B"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Pr>
                <w:rFonts w:ascii="Times New Roman" w:eastAsia="Times New Roman" w:hAnsi="Times New Roman" w:cs="Times New Roman"/>
                <w:kern w:val="0"/>
                <w:lang w:eastAsia="es-CL"/>
                <w14:ligatures w14:val="none"/>
              </w:rPr>
              <w:t>Sum (BV Advice)</w:t>
            </w:r>
          </w:p>
        </w:tc>
        <w:tc>
          <w:tcPr>
            <w:tcW w:w="912" w:type="pct"/>
            <w:tcBorders>
              <w:top w:val="nil"/>
              <w:left w:val="nil"/>
              <w:bottom w:val="single" w:sz="4" w:space="0" w:color="auto"/>
              <w:right w:val="nil"/>
            </w:tcBorders>
            <w:noWrap/>
            <w:vAlign w:val="center"/>
          </w:tcPr>
          <w:p w14:paraId="5C9D5003" w14:textId="77777777" w:rsidR="00562B4D" w:rsidRPr="008073D7" w:rsidRDefault="00562B4D" w:rsidP="0051323E">
            <w:pPr>
              <w:spacing w:after="0" w:line="240" w:lineRule="auto"/>
              <w:jc w:val="center"/>
              <w:rPr>
                <w:rFonts w:ascii="Times New Roman" w:hAnsi="Times New Roman" w:cs="Times New Roman"/>
                <w:b/>
                <w:bCs/>
              </w:rPr>
            </w:pPr>
            <w:r w:rsidRPr="008073D7">
              <w:rPr>
                <w:rFonts w:ascii="Times New Roman" w:hAnsi="Times New Roman" w:cs="Times New Roman"/>
                <w:b/>
                <w:bCs/>
              </w:rPr>
              <w:t>0.40%</w:t>
            </w:r>
          </w:p>
        </w:tc>
        <w:tc>
          <w:tcPr>
            <w:tcW w:w="910" w:type="pct"/>
            <w:tcBorders>
              <w:top w:val="nil"/>
              <w:left w:val="nil"/>
              <w:bottom w:val="single" w:sz="4" w:space="0" w:color="auto"/>
              <w:right w:val="nil"/>
            </w:tcBorders>
            <w:noWrap/>
            <w:vAlign w:val="center"/>
          </w:tcPr>
          <w:p w14:paraId="1A1362DA" w14:textId="77777777" w:rsidR="00562B4D" w:rsidRPr="008073D7" w:rsidRDefault="00562B4D" w:rsidP="0051323E">
            <w:pPr>
              <w:spacing w:after="0" w:line="240" w:lineRule="auto"/>
              <w:jc w:val="center"/>
              <w:rPr>
                <w:rFonts w:ascii="Times New Roman" w:hAnsi="Times New Roman" w:cs="Times New Roman"/>
                <w:b/>
                <w:bCs/>
              </w:rPr>
            </w:pPr>
            <w:r w:rsidRPr="008073D7">
              <w:rPr>
                <w:rFonts w:ascii="Times New Roman" w:hAnsi="Times New Roman" w:cs="Times New Roman"/>
                <w:b/>
                <w:bCs/>
              </w:rPr>
              <w:t>52.6</w:t>
            </w:r>
            <w:r>
              <w:rPr>
                <w:rFonts w:ascii="Times New Roman" w:hAnsi="Times New Roman" w:cs="Times New Roman"/>
                <w:b/>
                <w:bCs/>
              </w:rPr>
              <w:t>1</w:t>
            </w:r>
            <w:r w:rsidRPr="008073D7">
              <w:rPr>
                <w:rFonts w:ascii="Times New Roman" w:hAnsi="Times New Roman" w:cs="Times New Roman"/>
                <w:b/>
                <w:bCs/>
              </w:rPr>
              <w:t>%</w:t>
            </w:r>
          </w:p>
        </w:tc>
      </w:tr>
      <w:tr w:rsidR="00562B4D" w:rsidRPr="007517D0" w14:paraId="5E45C7B0" w14:textId="77777777" w:rsidTr="003E7AB4">
        <w:trPr>
          <w:trHeight w:val="320"/>
          <w:jc w:val="center"/>
        </w:trPr>
        <w:tc>
          <w:tcPr>
            <w:tcW w:w="1255" w:type="pct"/>
            <w:vMerge w:val="restart"/>
            <w:tcBorders>
              <w:top w:val="single" w:sz="4" w:space="0" w:color="auto"/>
              <w:left w:val="nil"/>
              <w:bottom w:val="nil"/>
              <w:right w:val="nil"/>
            </w:tcBorders>
            <w:noWrap/>
            <w:vAlign w:val="center"/>
            <w:hideMark/>
          </w:tcPr>
          <w:p w14:paraId="1DF0E71B"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Other</w:t>
            </w:r>
          </w:p>
        </w:tc>
        <w:tc>
          <w:tcPr>
            <w:tcW w:w="1923" w:type="pct"/>
            <w:tcBorders>
              <w:top w:val="single" w:sz="4" w:space="0" w:color="auto"/>
              <w:left w:val="nil"/>
              <w:bottom w:val="nil"/>
              <w:right w:val="nil"/>
            </w:tcBorders>
            <w:noWrap/>
            <w:vAlign w:val="center"/>
            <w:hideMark/>
          </w:tcPr>
          <w:p w14:paraId="3DDEBC45"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Follow</w:t>
            </w:r>
          </w:p>
        </w:tc>
        <w:tc>
          <w:tcPr>
            <w:tcW w:w="912" w:type="pct"/>
            <w:tcBorders>
              <w:top w:val="single" w:sz="4" w:space="0" w:color="auto"/>
              <w:left w:val="nil"/>
              <w:bottom w:val="nil"/>
              <w:right w:val="nil"/>
            </w:tcBorders>
            <w:noWrap/>
            <w:vAlign w:val="center"/>
          </w:tcPr>
          <w:p w14:paraId="24E96528"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4.7</w:t>
            </w:r>
            <w:r>
              <w:rPr>
                <w:rFonts w:ascii="Times New Roman" w:hAnsi="Times New Roman" w:cs="Times New Roman"/>
              </w:rPr>
              <w:t>0</w:t>
            </w:r>
            <w:r w:rsidRPr="007517D0">
              <w:rPr>
                <w:rFonts w:ascii="Times New Roman" w:hAnsi="Times New Roman" w:cs="Times New Roman"/>
              </w:rPr>
              <w:t>%</w:t>
            </w:r>
          </w:p>
        </w:tc>
        <w:tc>
          <w:tcPr>
            <w:tcW w:w="910" w:type="pct"/>
            <w:tcBorders>
              <w:top w:val="single" w:sz="4" w:space="0" w:color="auto"/>
              <w:left w:val="nil"/>
              <w:bottom w:val="nil"/>
              <w:right w:val="nil"/>
            </w:tcBorders>
            <w:noWrap/>
            <w:vAlign w:val="center"/>
          </w:tcPr>
          <w:p w14:paraId="28DA6AF3"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25.2</w:t>
            </w:r>
            <w:r>
              <w:rPr>
                <w:rFonts w:ascii="Times New Roman" w:hAnsi="Times New Roman" w:cs="Times New Roman"/>
              </w:rPr>
              <w:t>3</w:t>
            </w:r>
            <w:r w:rsidRPr="007517D0">
              <w:rPr>
                <w:rFonts w:ascii="Times New Roman" w:hAnsi="Times New Roman" w:cs="Times New Roman"/>
              </w:rPr>
              <w:t>%</w:t>
            </w:r>
          </w:p>
        </w:tc>
      </w:tr>
      <w:tr w:rsidR="00562B4D" w:rsidRPr="007517D0" w14:paraId="1839E3D1" w14:textId="77777777" w:rsidTr="003E7AB4">
        <w:trPr>
          <w:trHeight w:val="320"/>
          <w:jc w:val="center"/>
        </w:trPr>
        <w:tc>
          <w:tcPr>
            <w:tcW w:w="1255" w:type="pct"/>
            <w:vMerge/>
            <w:tcBorders>
              <w:top w:val="nil"/>
              <w:left w:val="nil"/>
              <w:bottom w:val="nil"/>
              <w:right w:val="nil"/>
            </w:tcBorders>
            <w:vAlign w:val="center"/>
            <w:hideMark/>
          </w:tcPr>
          <w:p w14:paraId="360A9BDB"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nil"/>
              <w:right w:val="nil"/>
            </w:tcBorders>
            <w:noWrap/>
            <w:vAlign w:val="center"/>
            <w:hideMark/>
          </w:tcPr>
          <w:p w14:paraId="5009F02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Not </w:t>
            </w:r>
            <w:r>
              <w:rPr>
                <w:rFonts w:ascii="Times New Roman" w:eastAsia="Times New Roman" w:hAnsi="Times New Roman" w:cs="Times New Roman"/>
                <w:kern w:val="0"/>
                <w:lang w:eastAsia="es-CL"/>
                <w14:ligatures w14:val="none"/>
              </w:rPr>
              <w:t>F</w:t>
            </w:r>
            <w:r w:rsidRPr="007517D0">
              <w:rPr>
                <w:rFonts w:ascii="Times New Roman" w:eastAsia="Times New Roman" w:hAnsi="Times New Roman" w:cs="Times New Roman"/>
                <w:kern w:val="0"/>
                <w:lang w:eastAsia="es-CL"/>
                <w14:ligatures w14:val="none"/>
              </w:rPr>
              <w:t>ollow</w:t>
            </w:r>
          </w:p>
        </w:tc>
        <w:tc>
          <w:tcPr>
            <w:tcW w:w="912" w:type="pct"/>
            <w:tcBorders>
              <w:top w:val="nil"/>
              <w:left w:val="nil"/>
              <w:bottom w:val="nil"/>
              <w:right w:val="nil"/>
            </w:tcBorders>
            <w:noWrap/>
            <w:vAlign w:val="center"/>
          </w:tcPr>
          <w:p w14:paraId="284E1E7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1.0</w:t>
            </w:r>
            <w:r>
              <w:rPr>
                <w:rFonts w:ascii="Times New Roman" w:hAnsi="Times New Roman" w:cs="Times New Roman"/>
              </w:rPr>
              <w:t>2</w:t>
            </w:r>
            <w:r w:rsidRPr="007517D0">
              <w:rPr>
                <w:rFonts w:ascii="Times New Roman" w:hAnsi="Times New Roman" w:cs="Times New Roman"/>
              </w:rPr>
              <w:t>%</w:t>
            </w:r>
          </w:p>
        </w:tc>
        <w:tc>
          <w:tcPr>
            <w:tcW w:w="910" w:type="pct"/>
            <w:tcBorders>
              <w:top w:val="nil"/>
              <w:left w:val="nil"/>
              <w:bottom w:val="nil"/>
              <w:right w:val="nil"/>
            </w:tcBorders>
            <w:noWrap/>
            <w:vAlign w:val="center"/>
          </w:tcPr>
          <w:p w14:paraId="57F2C9F0"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3.</w:t>
            </w:r>
            <w:r>
              <w:rPr>
                <w:rFonts w:ascii="Times New Roman" w:hAnsi="Times New Roman" w:cs="Times New Roman"/>
              </w:rPr>
              <w:t>69</w:t>
            </w:r>
            <w:r w:rsidRPr="007517D0">
              <w:rPr>
                <w:rFonts w:ascii="Times New Roman" w:hAnsi="Times New Roman" w:cs="Times New Roman"/>
              </w:rPr>
              <w:t>%</w:t>
            </w:r>
          </w:p>
        </w:tc>
      </w:tr>
      <w:tr w:rsidR="00562B4D" w:rsidRPr="007517D0" w14:paraId="7B9CBE28" w14:textId="77777777" w:rsidTr="003E7AB4">
        <w:trPr>
          <w:trHeight w:val="320"/>
          <w:jc w:val="center"/>
        </w:trPr>
        <w:tc>
          <w:tcPr>
            <w:tcW w:w="1255" w:type="pct"/>
            <w:vMerge/>
            <w:tcBorders>
              <w:top w:val="nil"/>
              <w:left w:val="nil"/>
              <w:bottom w:val="nil"/>
              <w:right w:val="nil"/>
            </w:tcBorders>
            <w:vAlign w:val="center"/>
            <w:hideMark/>
          </w:tcPr>
          <w:p w14:paraId="7FE5846A"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nil"/>
              <w:right w:val="nil"/>
            </w:tcBorders>
            <w:noWrap/>
            <w:vAlign w:val="center"/>
            <w:hideMark/>
          </w:tcPr>
          <w:p w14:paraId="2315DF41"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Other </w:t>
            </w:r>
            <w:r>
              <w:rPr>
                <w:rFonts w:ascii="Times New Roman" w:eastAsia="Times New Roman" w:hAnsi="Times New Roman" w:cs="Times New Roman"/>
                <w:kern w:val="0"/>
                <w:lang w:eastAsia="es-CL"/>
                <w14:ligatures w14:val="none"/>
              </w:rPr>
              <w:t>O</w:t>
            </w:r>
            <w:r w:rsidRPr="007517D0">
              <w:rPr>
                <w:rFonts w:ascii="Times New Roman" w:eastAsia="Times New Roman" w:hAnsi="Times New Roman" w:cs="Times New Roman"/>
                <w:kern w:val="0"/>
                <w:lang w:eastAsia="es-CL"/>
                <w14:ligatures w14:val="none"/>
              </w:rPr>
              <w:t>ffer</w:t>
            </w:r>
          </w:p>
        </w:tc>
        <w:tc>
          <w:tcPr>
            <w:tcW w:w="912" w:type="pct"/>
            <w:tcBorders>
              <w:top w:val="nil"/>
              <w:left w:val="nil"/>
              <w:bottom w:val="nil"/>
              <w:right w:val="nil"/>
            </w:tcBorders>
            <w:noWrap/>
            <w:vAlign w:val="center"/>
          </w:tcPr>
          <w:p w14:paraId="19228720"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1.4</w:t>
            </w:r>
            <w:r>
              <w:rPr>
                <w:rFonts w:ascii="Times New Roman" w:hAnsi="Times New Roman" w:cs="Times New Roman"/>
              </w:rPr>
              <w:t>3</w:t>
            </w:r>
            <w:r w:rsidRPr="007517D0">
              <w:rPr>
                <w:rFonts w:ascii="Times New Roman" w:hAnsi="Times New Roman" w:cs="Times New Roman"/>
              </w:rPr>
              <w:t>%</w:t>
            </w:r>
          </w:p>
        </w:tc>
        <w:tc>
          <w:tcPr>
            <w:tcW w:w="910" w:type="pct"/>
            <w:tcBorders>
              <w:top w:val="nil"/>
              <w:left w:val="nil"/>
              <w:bottom w:val="nil"/>
              <w:right w:val="nil"/>
            </w:tcBorders>
            <w:noWrap/>
            <w:vAlign w:val="center"/>
          </w:tcPr>
          <w:p w14:paraId="5CA6872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0.9</w:t>
            </w:r>
            <w:r>
              <w:rPr>
                <w:rFonts w:ascii="Times New Roman" w:hAnsi="Times New Roman" w:cs="Times New Roman"/>
              </w:rPr>
              <w:t>2</w:t>
            </w:r>
            <w:r w:rsidRPr="007517D0">
              <w:rPr>
                <w:rFonts w:ascii="Times New Roman" w:hAnsi="Times New Roman" w:cs="Times New Roman"/>
              </w:rPr>
              <w:t>%</w:t>
            </w:r>
          </w:p>
        </w:tc>
      </w:tr>
      <w:tr w:rsidR="00562B4D" w:rsidRPr="007517D0" w14:paraId="463CFF2B" w14:textId="77777777" w:rsidTr="003E7AB4">
        <w:trPr>
          <w:trHeight w:val="320"/>
          <w:jc w:val="center"/>
        </w:trPr>
        <w:tc>
          <w:tcPr>
            <w:tcW w:w="1255" w:type="pct"/>
            <w:vMerge/>
            <w:tcBorders>
              <w:top w:val="nil"/>
              <w:left w:val="nil"/>
              <w:bottom w:val="single" w:sz="4" w:space="0" w:color="auto"/>
              <w:right w:val="nil"/>
            </w:tcBorders>
            <w:vAlign w:val="center"/>
            <w:hideMark/>
          </w:tcPr>
          <w:p w14:paraId="47380B8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single" w:sz="4" w:space="0" w:color="auto"/>
              <w:right w:val="nil"/>
            </w:tcBorders>
            <w:noWrap/>
            <w:vAlign w:val="center"/>
            <w:hideMark/>
          </w:tcPr>
          <w:p w14:paraId="4C200659"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 xml:space="preserve">No </w:t>
            </w:r>
            <w:r>
              <w:rPr>
                <w:rFonts w:ascii="Times New Roman" w:eastAsia="Times New Roman" w:hAnsi="Times New Roman" w:cs="Times New Roman"/>
                <w:kern w:val="0"/>
                <w:lang w:eastAsia="es-CL"/>
                <w14:ligatures w14:val="none"/>
              </w:rPr>
              <w:t>T</w:t>
            </w:r>
            <w:r w:rsidRPr="007517D0">
              <w:rPr>
                <w:rFonts w:ascii="Times New Roman" w:eastAsia="Times New Roman" w:hAnsi="Times New Roman" w:cs="Times New Roman"/>
                <w:kern w:val="0"/>
                <w:lang w:eastAsia="es-CL"/>
                <w14:ligatures w14:val="none"/>
              </w:rPr>
              <w:t>rade</w:t>
            </w:r>
          </w:p>
        </w:tc>
        <w:tc>
          <w:tcPr>
            <w:tcW w:w="912" w:type="pct"/>
            <w:tcBorders>
              <w:top w:val="nil"/>
              <w:left w:val="nil"/>
              <w:bottom w:val="single" w:sz="4" w:space="0" w:color="auto"/>
              <w:right w:val="nil"/>
            </w:tcBorders>
            <w:noWrap/>
            <w:vAlign w:val="center"/>
          </w:tcPr>
          <w:p w14:paraId="03A0744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0.0</w:t>
            </w:r>
            <w:r>
              <w:rPr>
                <w:rFonts w:ascii="Times New Roman" w:hAnsi="Times New Roman" w:cs="Times New Roman"/>
              </w:rPr>
              <w:t>0</w:t>
            </w:r>
            <w:r w:rsidRPr="007517D0">
              <w:rPr>
                <w:rFonts w:ascii="Times New Roman" w:hAnsi="Times New Roman" w:cs="Times New Roman"/>
              </w:rPr>
              <w:t>%</w:t>
            </w:r>
          </w:p>
        </w:tc>
        <w:tc>
          <w:tcPr>
            <w:tcW w:w="910" w:type="pct"/>
            <w:tcBorders>
              <w:top w:val="nil"/>
              <w:left w:val="nil"/>
              <w:bottom w:val="single" w:sz="4" w:space="0" w:color="auto"/>
              <w:right w:val="nil"/>
            </w:tcBorders>
            <w:noWrap/>
            <w:vAlign w:val="center"/>
          </w:tcPr>
          <w:p w14:paraId="3D998981"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hAnsi="Times New Roman" w:cs="Times New Roman"/>
              </w:rPr>
              <w:t>1.5</w:t>
            </w:r>
            <w:r>
              <w:rPr>
                <w:rFonts w:ascii="Times New Roman" w:hAnsi="Times New Roman" w:cs="Times New Roman"/>
              </w:rPr>
              <w:t>4</w:t>
            </w:r>
            <w:r w:rsidRPr="007517D0">
              <w:rPr>
                <w:rFonts w:ascii="Times New Roman" w:hAnsi="Times New Roman" w:cs="Times New Roman"/>
              </w:rPr>
              <w:t>%</w:t>
            </w:r>
          </w:p>
        </w:tc>
      </w:tr>
      <w:tr w:rsidR="00562B4D" w:rsidRPr="007517D0" w14:paraId="4437BF55" w14:textId="77777777" w:rsidTr="003E7AB4">
        <w:trPr>
          <w:trHeight w:val="320"/>
          <w:jc w:val="center"/>
        </w:trPr>
        <w:tc>
          <w:tcPr>
            <w:tcW w:w="1255" w:type="pct"/>
            <w:tcBorders>
              <w:top w:val="nil"/>
              <w:left w:val="nil"/>
              <w:bottom w:val="single" w:sz="4" w:space="0" w:color="auto"/>
              <w:right w:val="nil"/>
            </w:tcBorders>
            <w:vAlign w:val="center"/>
          </w:tcPr>
          <w:p w14:paraId="2D15DE4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1923" w:type="pct"/>
            <w:tcBorders>
              <w:top w:val="nil"/>
              <w:left w:val="nil"/>
              <w:bottom w:val="single" w:sz="4" w:space="0" w:color="auto"/>
              <w:right w:val="nil"/>
            </w:tcBorders>
            <w:noWrap/>
            <w:vAlign w:val="center"/>
          </w:tcPr>
          <w:p w14:paraId="3AFD1279"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Pr>
                <w:rFonts w:ascii="Times New Roman" w:eastAsia="Times New Roman" w:hAnsi="Times New Roman" w:cs="Times New Roman"/>
                <w:kern w:val="0"/>
                <w:lang w:eastAsia="es-CL"/>
                <w14:ligatures w14:val="none"/>
              </w:rPr>
              <w:t>Sum (Other Advice)</w:t>
            </w:r>
          </w:p>
        </w:tc>
        <w:tc>
          <w:tcPr>
            <w:tcW w:w="912" w:type="pct"/>
            <w:tcBorders>
              <w:top w:val="nil"/>
              <w:left w:val="nil"/>
              <w:bottom w:val="single" w:sz="4" w:space="0" w:color="auto"/>
              <w:right w:val="nil"/>
            </w:tcBorders>
            <w:noWrap/>
            <w:vAlign w:val="center"/>
          </w:tcPr>
          <w:p w14:paraId="19BA8D24" w14:textId="77777777" w:rsidR="00562B4D" w:rsidRPr="008073D7" w:rsidRDefault="00562B4D" w:rsidP="0051323E">
            <w:pPr>
              <w:spacing w:after="0" w:line="240" w:lineRule="auto"/>
              <w:jc w:val="center"/>
              <w:rPr>
                <w:rFonts w:ascii="Times New Roman" w:hAnsi="Times New Roman" w:cs="Times New Roman"/>
                <w:b/>
                <w:bCs/>
              </w:rPr>
            </w:pPr>
            <w:r w:rsidRPr="008073D7">
              <w:rPr>
                <w:rFonts w:ascii="Times New Roman" w:hAnsi="Times New Roman" w:cs="Times New Roman"/>
                <w:b/>
                <w:bCs/>
              </w:rPr>
              <w:t>7.1</w:t>
            </w:r>
            <w:r>
              <w:rPr>
                <w:rFonts w:ascii="Times New Roman" w:hAnsi="Times New Roman" w:cs="Times New Roman"/>
                <w:b/>
                <w:bCs/>
              </w:rPr>
              <w:t>5</w:t>
            </w:r>
            <w:r w:rsidRPr="008073D7">
              <w:rPr>
                <w:rFonts w:ascii="Times New Roman" w:hAnsi="Times New Roman" w:cs="Times New Roman"/>
                <w:b/>
                <w:bCs/>
              </w:rPr>
              <w:t>%</w:t>
            </w:r>
          </w:p>
        </w:tc>
        <w:tc>
          <w:tcPr>
            <w:tcW w:w="910" w:type="pct"/>
            <w:tcBorders>
              <w:top w:val="nil"/>
              <w:left w:val="nil"/>
              <w:bottom w:val="single" w:sz="4" w:space="0" w:color="auto"/>
              <w:right w:val="nil"/>
            </w:tcBorders>
            <w:noWrap/>
            <w:vAlign w:val="center"/>
          </w:tcPr>
          <w:p w14:paraId="24C5681C" w14:textId="77777777" w:rsidR="00562B4D" w:rsidRPr="008073D7" w:rsidRDefault="00562B4D" w:rsidP="0051323E">
            <w:pPr>
              <w:spacing w:after="0" w:line="240" w:lineRule="auto"/>
              <w:jc w:val="center"/>
              <w:rPr>
                <w:rFonts w:ascii="Times New Roman" w:hAnsi="Times New Roman" w:cs="Times New Roman"/>
                <w:b/>
                <w:bCs/>
              </w:rPr>
            </w:pPr>
            <w:r w:rsidRPr="008073D7">
              <w:rPr>
                <w:rFonts w:ascii="Times New Roman" w:hAnsi="Times New Roman" w:cs="Times New Roman"/>
                <w:b/>
                <w:bCs/>
              </w:rPr>
              <w:t>31.3</w:t>
            </w:r>
            <w:r>
              <w:rPr>
                <w:rFonts w:ascii="Times New Roman" w:hAnsi="Times New Roman" w:cs="Times New Roman"/>
                <w:b/>
                <w:bCs/>
              </w:rPr>
              <w:t>8</w:t>
            </w:r>
            <w:r w:rsidRPr="008073D7">
              <w:rPr>
                <w:rFonts w:ascii="Times New Roman" w:hAnsi="Times New Roman" w:cs="Times New Roman"/>
                <w:b/>
                <w:bCs/>
              </w:rPr>
              <w:t>%</w:t>
            </w:r>
          </w:p>
        </w:tc>
      </w:tr>
      <w:tr w:rsidR="00562B4D" w:rsidRPr="007517D0" w14:paraId="6CAD684D" w14:textId="77777777" w:rsidTr="003E7AB4">
        <w:trPr>
          <w:trHeight w:val="320"/>
          <w:jc w:val="center"/>
        </w:trPr>
        <w:tc>
          <w:tcPr>
            <w:tcW w:w="3179" w:type="pct"/>
            <w:gridSpan w:val="2"/>
            <w:tcBorders>
              <w:top w:val="single" w:sz="4" w:space="0" w:color="auto"/>
              <w:left w:val="nil"/>
              <w:bottom w:val="single" w:sz="12" w:space="0" w:color="auto"/>
              <w:right w:val="nil"/>
            </w:tcBorders>
            <w:noWrap/>
            <w:vAlign w:val="center"/>
            <w:hideMark/>
          </w:tcPr>
          <w:p w14:paraId="29B3EC75"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Pr>
                <w:rFonts w:ascii="Times New Roman" w:hAnsi="Times New Roman" w:cs="Times New Roman"/>
                <w:bCs/>
              </w:rPr>
              <w:t>Classifiable conversations</w:t>
            </w:r>
          </w:p>
        </w:tc>
        <w:tc>
          <w:tcPr>
            <w:tcW w:w="912" w:type="pct"/>
            <w:tcBorders>
              <w:top w:val="single" w:sz="4" w:space="0" w:color="auto"/>
              <w:left w:val="nil"/>
              <w:bottom w:val="single" w:sz="12" w:space="0" w:color="auto"/>
              <w:right w:val="nil"/>
            </w:tcBorders>
            <w:noWrap/>
            <w:vAlign w:val="center"/>
            <w:hideMark/>
          </w:tcPr>
          <w:p w14:paraId="7683106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489</w:t>
            </w:r>
          </w:p>
        </w:tc>
        <w:tc>
          <w:tcPr>
            <w:tcW w:w="910" w:type="pct"/>
            <w:tcBorders>
              <w:top w:val="single" w:sz="4" w:space="0" w:color="auto"/>
              <w:left w:val="nil"/>
              <w:bottom w:val="single" w:sz="12" w:space="0" w:color="auto"/>
              <w:right w:val="nil"/>
            </w:tcBorders>
            <w:noWrap/>
            <w:vAlign w:val="center"/>
            <w:hideMark/>
          </w:tcPr>
          <w:p w14:paraId="1D193FB3"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325</w:t>
            </w:r>
          </w:p>
        </w:tc>
      </w:tr>
      <w:tr w:rsidR="00562B4D" w:rsidRPr="007517D0" w14:paraId="08B90210" w14:textId="77777777" w:rsidTr="0051323E">
        <w:trPr>
          <w:trHeight w:val="320"/>
          <w:jc w:val="center"/>
        </w:trPr>
        <w:tc>
          <w:tcPr>
            <w:tcW w:w="5000" w:type="pct"/>
            <w:gridSpan w:val="4"/>
            <w:tcBorders>
              <w:top w:val="single" w:sz="12" w:space="0" w:color="auto"/>
              <w:left w:val="nil"/>
              <w:bottom w:val="nil"/>
              <w:right w:val="nil"/>
            </w:tcBorders>
            <w:noWrap/>
            <w:vAlign w:val="center"/>
            <w:hideMark/>
          </w:tcPr>
          <w:p w14:paraId="53874D9A" w14:textId="7A38CDE0" w:rsidR="00562B4D" w:rsidRPr="007517D0" w:rsidRDefault="00562B4D" w:rsidP="00DA5F5D">
            <w:pPr>
              <w:spacing w:line="240" w:lineRule="auto"/>
              <w:rPr>
                <w:rFonts w:ascii="Times New Roman" w:eastAsia="Times New Roman" w:hAnsi="Times New Roman" w:cs="Times New Roman"/>
                <w:kern w:val="0"/>
                <w:lang w:eastAsia="es-CL"/>
                <w14:ligatures w14:val="none"/>
              </w:rPr>
            </w:pPr>
            <w:r w:rsidRPr="00BB083A">
              <w:rPr>
                <w:rFonts w:ascii="Times New Roman" w:eastAsia="Times New Roman" w:hAnsi="Times New Roman" w:cs="Times New Roman"/>
                <w:kern w:val="0"/>
                <w:sz w:val="20"/>
                <w:szCs w:val="20"/>
                <w:lang w:eastAsia="es-CL"/>
                <w14:ligatures w14:val="none"/>
              </w:rPr>
              <w:t xml:space="preserve">Note: The data includes all periods. The sum of the percentages </w:t>
            </w:r>
            <w:r w:rsidR="000E6101">
              <w:rPr>
                <w:rFonts w:ascii="Times New Roman" w:eastAsia="Times New Roman" w:hAnsi="Times New Roman" w:cs="Times New Roman"/>
                <w:kern w:val="0"/>
                <w:sz w:val="20"/>
                <w:szCs w:val="20"/>
                <w:lang w:eastAsia="es-CL"/>
                <w14:ligatures w14:val="none"/>
              </w:rPr>
              <w:t>for FV, BV, and Other in each category equals</w:t>
            </w:r>
            <w:r w:rsidRPr="00BB083A">
              <w:rPr>
                <w:rFonts w:ascii="Times New Roman" w:eastAsia="Times New Roman" w:hAnsi="Times New Roman" w:cs="Times New Roman"/>
                <w:kern w:val="0"/>
                <w:sz w:val="20"/>
                <w:szCs w:val="20"/>
                <w:lang w:eastAsia="es-CL"/>
                <w14:ligatures w14:val="none"/>
              </w:rPr>
              <w:t xml:space="preserve"> 100%.</w:t>
            </w:r>
          </w:p>
        </w:tc>
      </w:tr>
    </w:tbl>
    <w:p w14:paraId="4EB2C9F2" w14:textId="27AEE861" w:rsidR="003E7AB4" w:rsidRPr="008073D7" w:rsidRDefault="003E7AB4" w:rsidP="00FD3EAD">
      <w:pPr>
        <w:spacing w:line="360" w:lineRule="auto"/>
        <w:ind w:firstLine="720"/>
        <w:jc w:val="both"/>
        <w:rPr>
          <w:rFonts w:ascii="Times New Roman" w:hAnsi="Times New Roman" w:cs="Times New Roman"/>
          <w:color w:val="000000"/>
        </w:rPr>
      </w:pPr>
      <w:r>
        <w:rPr>
          <w:rFonts w:ascii="Times New Roman" w:hAnsi="Times New Roman" w:cs="Times New Roman"/>
          <w:color w:val="000000"/>
        </w:rPr>
        <w:t>We find that</w:t>
      </w:r>
      <w:r w:rsidR="00A51B6E">
        <w:rPr>
          <w:rFonts w:ascii="Times New Roman" w:hAnsi="Times New Roman" w:cs="Times New Roman"/>
          <w:color w:val="000000"/>
        </w:rPr>
        <w:t>,</w:t>
      </w:r>
      <w:r>
        <w:rPr>
          <w:rFonts w:ascii="Times New Roman" w:hAnsi="Times New Roman" w:cs="Times New Roman"/>
          <w:color w:val="000000"/>
        </w:rPr>
        <w:t xml:space="preserve"> regardless of the type of advice (FV, BV, or Other), </w:t>
      </w:r>
      <w:r w:rsidR="00A51B6E">
        <w:rPr>
          <w:rFonts w:ascii="Times New Roman" w:hAnsi="Times New Roman" w:cs="Times New Roman"/>
          <w:color w:val="000000"/>
        </w:rPr>
        <w:t>traders</w:t>
      </w:r>
      <w:r>
        <w:rPr>
          <w:rFonts w:ascii="Times New Roman" w:hAnsi="Times New Roman" w:cs="Times New Roman"/>
          <w:color w:val="000000"/>
        </w:rPr>
        <w:t xml:space="preserve"> tend to follow the AI advice with the following rates significantly larger than 50% (</w:t>
      </w:r>
      <w:r w:rsidRPr="00B43BFA">
        <w:rPr>
          <w:rFonts w:ascii="Times New Roman" w:hAnsi="Times New Roman" w:cs="Times New Roman"/>
        </w:rPr>
        <w:t>Mann</w:t>
      </w:r>
      <w:r>
        <w:rPr>
          <w:rFonts w:ascii="Times New Roman" w:hAnsi="Times New Roman" w:cs="Times New Roman"/>
        </w:rPr>
        <w:t>-</w:t>
      </w:r>
      <w:r w:rsidRPr="00B43BFA">
        <w:rPr>
          <w:rFonts w:ascii="Times New Roman" w:hAnsi="Times New Roman" w:cs="Times New Roman"/>
        </w:rPr>
        <w:t>Whitney U test,</w:t>
      </w:r>
      <w:r>
        <w:rPr>
          <w:rFonts w:ascii="Times New Roman" w:hAnsi="Times New Roman" w:cs="Times New Roman"/>
        </w:rPr>
        <w:t xml:space="preserve"> </w:t>
      </w:r>
      <w:r>
        <w:rPr>
          <w:rFonts w:ascii="Times New Roman" w:hAnsi="Times New Roman" w:cs="Times New Roman"/>
          <w:color w:val="000000"/>
        </w:rPr>
        <w:t xml:space="preserve">p&lt;0.001). Furthermore, the following rates are </w:t>
      </w:r>
      <w:r w:rsidRPr="003409AF">
        <w:rPr>
          <w:rFonts w:ascii="Times New Roman" w:hAnsi="Times New Roman" w:cs="Times New Roman"/>
          <w:color w:val="000000"/>
        </w:rPr>
        <w:t xml:space="preserve">significantly higher when </w:t>
      </w:r>
      <w:r>
        <w:rPr>
          <w:rFonts w:ascii="Times New Roman" w:hAnsi="Times New Roman" w:cs="Times New Roman"/>
          <w:color w:val="000000"/>
        </w:rPr>
        <w:t xml:space="preserve">the </w:t>
      </w:r>
      <w:r w:rsidRPr="003409AF">
        <w:rPr>
          <w:rFonts w:ascii="Times New Roman" w:hAnsi="Times New Roman" w:cs="Times New Roman"/>
          <w:color w:val="000000"/>
        </w:rPr>
        <w:t xml:space="preserve">advice was aligned with FV than when </w:t>
      </w:r>
      <w:r>
        <w:rPr>
          <w:rFonts w:ascii="Times New Roman" w:hAnsi="Times New Roman" w:cs="Times New Roman"/>
          <w:color w:val="000000"/>
        </w:rPr>
        <w:t xml:space="preserve">it was </w:t>
      </w:r>
      <w:r w:rsidRPr="003409AF">
        <w:rPr>
          <w:rFonts w:ascii="Times New Roman" w:hAnsi="Times New Roman" w:cs="Times New Roman"/>
          <w:color w:val="000000"/>
        </w:rPr>
        <w:t>aligned with BV</w:t>
      </w:r>
      <w:r>
        <w:rPr>
          <w:rFonts w:ascii="Times New Roman" w:hAnsi="Times New Roman" w:cs="Times New Roman"/>
          <w:color w:val="000000"/>
        </w:rPr>
        <w:t xml:space="preserve"> </w:t>
      </w:r>
      <w:r w:rsidRPr="003409AF">
        <w:rPr>
          <w:rFonts w:ascii="Times New Roman" w:hAnsi="Times New Roman" w:cs="Times New Roman"/>
          <w:color w:val="000000"/>
        </w:rPr>
        <w:t>(</w:t>
      </w:r>
      <w:r w:rsidRPr="00B43BFA">
        <w:rPr>
          <w:rFonts w:ascii="Times New Roman" w:hAnsi="Times New Roman" w:cs="Times New Roman"/>
        </w:rPr>
        <w:t>Mann</w:t>
      </w:r>
      <w:r>
        <w:rPr>
          <w:rFonts w:ascii="Times New Roman" w:hAnsi="Times New Roman" w:cs="Times New Roman"/>
        </w:rPr>
        <w:t>-</w:t>
      </w:r>
      <w:r w:rsidRPr="00B43BFA">
        <w:rPr>
          <w:rFonts w:ascii="Times New Roman" w:hAnsi="Times New Roman" w:cs="Times New Roman"/>
        </w:rPr>
        <w:t>Whitney U test,</w:t>
      </w:r>
      <w:r>
        <w:rPr>
          <w:rFonts w:ascii="Times New Roman" w:hAnsi="Times New Roman" w:cs="Times New Roman"/>
        </w:rPr>
        <w:t xml:space="preserve"> </w:t>
      </w:r>
      <w:r w:rsidRPr="003409AF">
        <w:rPr>
          <w:rFonts w:ascii="Times New Roman" w:hAnsi="Times New Roman" w:cs="Times New Roman"/>
          <w:color w:val="000000"/>
        </w:rPr>
        <w:t>p &lt; 0.001)</w:t>
      </w:r>
      <w:r>
        <w:rPr>
          <w:rStyle w:val="FootnoteReference"/>
          <w:rFonts w:ascii="Times New Roman" w:hAnsi="Times New Roman" w:cs="Times New Roman"/>
          <w:color w:val="000000"/>
        </w:rPr>
        <w:footnoteReference w:id="12"/>
      </w:r>
      <w:r w:rsidRPr="00AD1DC9">
        <w:rPr>
          <w:rFonts w:ascii="Times New Roman" w:hAnsi="Times New Roman" w:cs="Times New Roman"/>
          <w:color w:val="000000"/>
        </w:rPr>
        <w:t>.</w:t>
      </w:r>
      <w:r>
        <w:rPr>
          <w:rFonts w:ascii="Times New Roman" w:hAnsi="Times New Roman" w:cs="Times New Roman"/>
          <w:color w:val="000000"/>
        </w:rPr>
        <w:t xml:space="preserve"> Lastly, we observe that the “Not follow” rate is higher when the advice is aligned with BV than when it is aligned with FV, showing that traders questioned the advice given by AI. </w:t>
      </w:r>
    </w:p>
    <w:p w14:paraId="3BFA2F6B" w14:textId="1CA10F16" w:rsidR="003E7AB4" w:rsidRPr="00310E96" w:rsidRDefault="003E7AB4" w:rsidP="00310E96">
      <w:pPr>
        <w:spacing w:line="360" w:lineRule="auto"/>
        <w:rPr>
          <w:rFonts w:ascii="Times New Roman" w:hAnsi="Times New Roman" w:cs="Times New Roman"/>
          <w:b/>
          <w:bCs/>
          <w:i/>
          <w:iCs/>
          <w:lang w:eastAsia="zh-CN"/>
        </w:rPr>
      </w:pPr>
      <w:r w:rsidRPr="007517D0">
        <w:rPr>
          <w:rFonts w:ascii="Times New Roman" w:hAnsi="Times New Roman" w:cs="Times New Roman"/>
          <w:b/>
          <w:bCs/>
          <w:i/>
          <w:iCs/>
          <w:lang w:eastAsia="zh-CN"/>
        </w:rPr>
        <w:t>Result</w:t>
      </w:r>
      <w:r w:rsidR="00310E96">
        <w:rPr>
          <w:rFonts w:ascii="Times New Roman" w:hAnsi="Times New Roman" w:cs="Times New Roman"/>
          <w:b/>
          <w:bCs/>
          <w:i/>
          <w:iCs/>
          <w:lang w:eastAsia="zh-CN"/>
        </w:rPr>
        <w:t xml:space="preserve"> 4</w:t>
      </w:r>
      <w:r w:rsidRPr="00310E96">
        <w:rPr>
          <w:rFonts w:ascii="Times New Roman" w:hAnsi="Times New Roman" w:cs="Times New Roman"/>
          <w:b/>
          <w:bCs/>
          <w:i/>
          <w:iCs/>
          <w:lang w:eastAsia="zh-CN"/>
        </w:rPr>
        <w:t>: In both treatments, participants showed a general propensity to follow AI advice, and the follow rates were higher for FV-aligned advice than for BV-aligned advice.</w:t>
      </w:r>
      <w:bookmarkStart w:id="6" w:name="_Ref219745773"/>
    </w:p>
    <w:bookmarkEnd w:id="6"/>
    <w:p w14:paraId="1A79B5E5" w14:textId="5CFDDDA3" w:rsidR="00562B4D" w:rsidRDefault="00562B4D" w:rsidP="00FD3EAD">
      <w:pPr>
        <w:spacing w:line="360" w:lineRule="auto"/>
        <w:ind w:firstLine="720"/>
        <w:jc w:val="both"/>
        <w:rPr>
          <w:rFonts w:ascii="Times New Roman" w:hAnsi="Times New Roman" w:cs="Times New Roman"/>
        </w:rPr>
      </w:pPr>
      <w:r w:rsidRPr="00E16601">
        <w:rPr>
          <w:rFonts w:ascii="Times New Roman" w:hAnsi="Times New Roman" w:cs="Times New Roman"/>
        </w:rPr>
        <w:t xml:space="preserve">While Result </w:t>
      </w:r>
      <w:r w:rsidR="005430F2">
        <w:rPr>
          <w:rFonts w:ascii="Times New Roman" w:hAnsi="Times New Roman" w:cs="Times New Roman"/>
        </w:rPr>
        <w:t>4</w:t>
      </w:r>
      <w:r w:rsidRPr="00E16601">
        <w:rPr>
          <w:rFonts w:ascii="Times New Roman" w:hAnsi="Times New Roman" w:cs="Times New Roman"/>
        </w:rPr>
        <w:t xml:space="preserve"> demonstrates a general propensity for participants to follow AI recommendations, it remains unclear whether participants are consciously evaluating the accuracy of the advice to make informed decisions, or if they are merely exhibiting blind reliance on the AI regardless of its quality. Because the BAI treatment exposes traders to a substantial proportion of incorrect, BV-aligned advice, disentangling </w:t>
      </w:r>
      <w:r>
        <w:rPr>
          <w:rFonts w:ascii="Times New Roman" w:hAnsi="Times New Roman" w:cs="Times New Roman"/>
        </w:rPr>
        <w:t>true</w:t>
      </w:r>
      <w:r w:rsidRPr="00E16601">
        <w:rPr>
          <w:rFonts w:ascii="Times New Roman" w:hAnsi="Times New Roman" w:cs="Times New Roman"/>
        </w:rPr>
        <w:t xml:space="preserve"> value recognition </w:t>
      </w:r>
      <w:r w:rsidRPr="00E16601">
        <w:rPr>
          <w:rFonts w:ascii="Times New Roman" w:hAnsi="Times New Roman" w:cs="Times New Roman"/>
        </w:rPr>
        <w:lastRenderedPageBreak/>
        <w:t xml:space="preserve">from heuristic compliance is essential. To address this, we shift our unit of analysis from individual </w:t>
      </w:r>
      <w:r>
        <w:rPr>
          <w:rFonts w:ascii="Times New Roman" w:hAnsi="Times New Roman" w:cs="Times New Roman"/>
        </w:rPr>
        <w:t>conversations</w:t>
      </w:r>
      <w:r w:rsidRPr="00E16601">
        <w:rPr>
          <w:rFonts w:ascii="Times New Roman" w:hAnsi="Times New Roman" w:cs="Times New Roman"/>
        </w:rPr>
        <w:t xml:space="preserve"> to the participant</w:t>
      </w:r>
      <w:r>
        <w:rPr>
          <w:rFonts w:ascii="Times New Roman" w:hAnsi="Times New Roman" w:cs="Times New Roman"/>
        </w:rPr>
        <w:t>s themselves</w:t>
      </w:r>
      <w:r w:rsidRPr="00E16601">
        <w:rPr>
          <w:rFonts w:ascii="Times New Roman" w:hAnsi="Times New Roman" w:cs="Times New Roman"/>
        </w:rPr>
        <w:t xml:space="preserve">. By aggregating each trader's decisions </w:t>
      </w:r>
      <w:r>
        <w:rPr>
          <w:rFonts w:ascii="Times New Roman" w:hAnsi="Times New Roman" w:cs="Times New Roman"/>
        </w:rPr>
        <w:t xml:space="preserve">over the </w:t>
      </w:r>
      <w:r w:rsidR="00C86D18">
        <w:rPr>
          <w:rFonts w:ascii="Times New Roman" w:hAnsi="Times New Roman" w:cs="Times New Roman"/>
        </w:rPr>
        <w:t xml:space="preserve">course of the </w:t>
      </w:r>
      <w:r>
        <w:rPr>
          <w:rFonts w:ascii="Times New Roman" w:hAnsi="Times New Roman" w:cs="Times New Roman"/>
        </w:rPr>
        <w:t>experiment, we can better assess their ability to discern the quality of advice</w:t>
      </w:r>
      <w:r w:rsidRPr="00E16601">
        <w:rPr>
          <w:rFonts w:ascii="Times New Roman" w:hAnsi="Times New Roman" w:cs="Times New Roman"/>
        </w:rPr>
        <w:t>.</w:t>
      </w:r>
    </w:p>
    <w:p w14:paraId="4A43CF55" w14:textId="213DC9D4" w:rsidR="00562B4D" w:rsidRDefault="00562B4D" w:rsidP="00FD3EAD">
      <w:pPr>
        <w:spacing w:line="360" w:lineRule="auto"/>
        <w:ind w:firstLine="720"/>
        <w:jc w:val="both"/>
        <w:rPr>
          <w:rFonts w:ascii="Times New Roman" w:hAnsi="Times New Roman" w:cs="Times New Roman"/>
        </w:rPr>
      </w:pPr>
      <w:r>
        <w:rPr>
          <w:rFonts w:ascii="Times New Roman" w:hAnsi="Times New Roman" w:cs="Times New Roman"/>
        </w:rPr>
        <w:t xml:space="preserve">Specifically, we examine participant-level behavior based on the advice received and the participant’s response into three categories: </w:t>
      </w:r>
      <w:r w:rsidRPr="00C86D18">
        <w:rPr>
          <w:rFonts w:ascii="Times New Roman" w:hAnsi="Times New Roman" w:cs="Times New Roman"/>
          <w:i/>
          <w:iCs/>
        </w:rPr>
        <w:t>accuracy-aligned, accuracy-misaligned</w:t>
      </w:r>
      <w:r>
        <w:rPr>
          <w:rFonts w:ascii="Times New Roman" w:hAnsi="Times New Roman" w:cs="Times New Roman"/>
        </w:rPr>
        <w:t>,</w:t>
      </w:r>
      <w:r w:rsidRPr="007517D0">
        <w:rPr>
          <w:rFonts w:ascii="Times New Roman" w:hAnsi="Times New Roman" w:cs="Times New Roman"/>
        </w:rPr>
        <w:t xml:space="preserve"> and </w:t>
      </w:r>
      <w:r w:rsidRPr="00C86D18">
        <w:rPr>
          <w:rFonts w:ascii="Times New Roman" w:hAnsi="Times New Roman" w:cs="Times New Roman"/>
          <w:i/>
          <w:iCs/>
        </w:rPr>
        <w:t>other</w:t>
      </w:r>
      <w:r w:rsidRPr="007517D0">
        <w:rPr>
          <w:rFonts w:ascii="Times New Roman" w:hAnsi="Times New Roman" w:cs="Times New Roman"/>
        </w:rPr>
        <w:t xml:space="preserve">. </w:t>
      </w:r>
      <w:r>
        <w:rPr>
          <w:rFonts w:ascii="Times New Roman" w:hAnsi="Times New Roman" w:cs="Times New Roman"/>
        </w:rPr>
        <w:t>Behavior</w:t>
      </w:r>
      <w:r w:rsidRPr="007517D0">
        <w:rPr>
          <w:rFonts w:ascii="Times New Roman" w:hAnsi="Times New Roman" w:cs="Times New Roman"/>
        </w:rPr>
        <w:t xml:space="preserve"> is considered </w:t>
      </w:r>
      <w:r>
        <w:rPr>
          <w:rFonts w:ascii="Times New Roman" w:hAnsi="Times New Roman" w:cs="Times New Roman"/>
        </w:rPr>
        <w:t>a</w:t>
      </w:r>
      <w:r w:rsidRPr="00C86D18">
        <w:rPr>
          <w:rFonts w:ascii="Times New Roman" w:hAnsi="Times New Roman" w:cs="Times New Roman"/>
          <w:i/>
          <w:iCs/>
        </w:rPr>
        <w:t>ccuracy-aligned</w:t>
      </w:r>
      <w:r w:rsidRPr="00C86D18" w:rsidDel="00C73612">
        <w:rPr>
          <w:rFonts w:ascii="Times New Roman" w:hAnsi="Times New Roman" w:cs="Times New Roman"/>
          <w:i/>
          <w:iCs/>
        </w:rPr>
        <w:t xml:space="preserve"> </w:t>
      </w:r>
      <w:r w:rsidRPr="007517D0">
        <w:rPr>
          <w:rFonts w:ascii="Times New Roman" w:hAnsi="Times New Roman" w:cs="Times New Roman"/>
        </w:rPr>
        <w:t xml:space="preserve">if it follows </w:t>
      </w:r>
      <w:r>
        <w:rPr>
          <w:rFonts w:ascii="Times New Roman" w:hAnsi="Times New Roman" w:cs="Times New Roman"/>
        </w:rPr>
        <w:t xml:space="preserve">the </w:t>
      </w:r>
      <w:r w:rsidRPr="007517D0">
        <w:rPr>
          <w:rFonts w:ascii="Times New Roman" w:hAnsi="Times New Roman" w:cs="Times New Roman"/>
        </w:rPr>
        <w:t xml:space="preserve">advice associated with the FV </w:t>
      </w:r>
      <w:r>
        <w:rPr>
          <w:rFonts w:ascii="Times New Roman" w:hAnsi="Times New Roman" w:cs="Times New Roman"/>
        </w:rPr>
        <w:t xml:space="preserve">and not that </w:t>
      </w:r>
      <w:r w:rsidRPr="007517D0">
        <w:rPr>
          <w:rFonts w:ascii="Times New Roman" w:hAnsi="Times New Roman" w:cs="Times New Roman"/>
        </w:rPr>
        <w:t xml:space="preserve">associated with the BV, while </w:t>
      </w:r>
      <w:r w:rsidRPr="00C86D18">
        <w:rPr>
          <w:rFonts w:ascii="Times New Roman" w:hAnsi="Times New Roman" w:cs="Times New Roman"/>
          <w:i/>
          <w:iCs/>
        </w:rPr>
        <w:t>accuracy-misaligned</w:t>
      </w:r>
      <w:r w:rsidRPr="007517D0" w:rsidDel="00C73612">
        <w:rPr>
          <w:rFonts w:ascii="Times New Roman" w:hAnsi="Times New Roman" w:cs="Times New Roman"/>
        </w:rPr>
        <w:t xml:space="preserve"> </w:t>
      </w:r>
      <w:r w:rsidRPr="007517D0">
        <w:rPr>
          <w:rFonts w:ascii="Times New Roman" w:hAnsi="Times New Roman" w:cs="Times New Roman"/>
        </w:rPr>
        <w:t xml:space="preserve">behavior corresponds to decisions that do not follow advice associated with the FV </w:t>
      </w:r>
      <w:r>
        <w:rPr>
          <w:rFonts w:ascii="Times New Roman" w:hAnsi="Times New Roman" w:cs="Times New Roman"/>
        </w:rPr>
        <w:t>but do follow that</w:t>
      </w:r>
      <w:r w:rsidRPr="007517D0">
        <w:rPr>
          <w:rFonts w:ascii="Times New Roman" w:hAnsi="Times New Roman" w:cs="Times New Roman"/>
        </w:rPr>
        <w:t xml:space="preserve"> associated with the BV. Decisions that cannot be assigned to either category are classified as </w:t>
      </w:r>
      <w:r w:rsidRPr="00C86D18">
        <w:rPr>
          <w:rFonts w:ascii="Times New Roman" w:hAnsi="Times New Roman" w:cs="Times New Roman"/>
          <w:i/>
          <w:iCs/>
        </w:rPr>
        <w:t>other</w:t>
      </w:r>
      <w:r w:rsidRPr="007517D0">
        <w:rPr>
          <w:rFonts w:ascii="Times New Roman" w:hAnsi="Times New Roman" w:cs="Times New Roman"/>
        </w:rPr>
        <w:t xml:space="preserve">. For each participant, we calculated the proportion of decisions </w:t>
      </w:r>
      <w:r w:rsidR="00C86D18">
        <w:rPr>
          <w:rFonts w:ascii="Times New Roman" w:hAnsi="Times New Roman" w:cs="Times New Roman"/>
        </w:rPr>
        <w:t>in each category and reported participant-level</w:t>
      </w:r>
      <w:r w:rsidRPr="007517D0">
        <w:rPr>
          <w:rFonts w:ascii="Times New Roman" w:hAnsi="Times New Roman" w:cs="Times New Roman"/>
        </w:rPr>
        <w:t xml:space="preserve"> averages</w:t>
      </w:r>
      <w:r>
        <w:rPr>
          <w:rFonts w:ascii="Times New Roman" w:hAnsi="Times New Roman" w:cs="Times New Roman"/>
        </w:rPr>
        <w:t xml:space="preserve">. </w:t>
      </w:r>
      <w:r w:rsidRPr="002D3B94">
        <w:rPr>
          <w:rFonts w:ascii="Times New Roman" w:hAnsi="Times New Roman" w:cs="Times New Roman"/>
        </w:rPr>
        <w:t xml:space="preserve">This analysis is presented in Table </w:t>
      </w:r>
      <w:r w:rsidR="00A15611">
        <w:rPr>
          <w:rFonts w:ascii="Times New Roman" w:hAnsi="Times New Roman" w:cs="Times New Roman"/>
        </w:rPr>
        <w:t>6</w:t>
      </w:r>
      <w:r w:rsidRPr="002D3B94">
        <w:rPr>
          <w:rFonts w:ascii="Times New Roman" w:hAnsi="Times New Roman" w:cs="Times New Roman"/>
        </w:rPr>
        <w:t>. The first column indicates the treatment, the second column includes the three participant response categories, and the third column shows the average percentage of participants for each category.</w:t>
      </w:r>
    </w:p>
    <w:p w14:paraId="2675D21D" w14:textId="2EC4FB89" w:rsidR="00562B4D" w:rsidRDefault="00562B4D" w:rsidP="00FD3EAD">
      <w:pPr>
        <w:spacing w:line="360" w:lineRule="auto"/>
        <w:ind w:firstLine="720"/>
        <w:jc w:val="both"/>
        <w:rPr>
          <w:rFonts w:ascii="Times New Roman" w:hAnsi="Times New Roman" w:cs="Times New Roman"/>
        </w:rPr>
      </w:pPr>
      <w:r>
        <w:rPr>
          <w:rFonts w:ascii="Times New Roman" w:hAnsi="Times New Roman" w:cs="Times New Roman"/>
        </w:rPr>
        <w:t xml:space="preserve">Table </w:t>
      </w:r>
      <w:r w:rsidR="00D83E53">
        <w:rPr>
          <w:rFonts w:ascii="Times New Roman" w:hAnsi="Times New Roman" w:cs="Times New Roman"/>
        </w:rPr>
        <w:t>6</w:t>
      </w:r>
      <w:r>
        <w:rPr>
          <w:rFonts w:ascii="Times New Roman" w:hAnsi="Times New Roman" w:cs="Times New Roman"/>
        </w:rPr>
        <w:t xml:space="preserve"> </w:t>
      </w:r>
      <w:r w:rsidRPr="00B43BFA">
        <w:rPr>
          <w:rFonts w:ascii="Times New Roman" w:hAnsi="Times New Roman" w:cs="Times New Roman"/>
        </w:rPr>
        <w:t>shows that, in the GAI treatment, participants exhibited</w:t>
      </w:r>
      <w:r w:rsidR="009F436E">
        <w:rPr>
          <w:rFonts w:ascii="Times New Roman" w:hAnsi="Times New Roman" w:cs="Times New Roman"/>
        </w:rPr>
        <w:t>, on average,</w:t>
      </w:r>
      <w:r w:rsidRPr="00B43BFA">
        <w:rPr>
          <w:rFonts w:ascii="Times New Roman" w:hAnsi="Times New Roman" w:cs="Times New Roman"/>
        </w:rPr>
        <w:t xml:space="preserve"> a higher rate of accuracy-aligned behavior (69.2%), which was significantly greater than the rate of accuracy-misaligned behavior (11.39%) (</w:t>
      </w:r>
      <w:r w:rsidR="00D96947">
        <w:rPr>
          <w:rFonts w:ascii="Times New Roman" w:hAnsi="Times New Roman" w:cs="Times New Roman"/>
        </w:rPr>
        <w:t xml:space="preserve">Wilcoxon signed rank </w:t>
      </w:r>
      <w:r w:rsidRPr="00B43BFA">
        <w:rPr>
          <w:rFonts w:ascii="Times New Roman" w:hAnsi="Times New Roman" w:cs="Times New Roman"/>
        </w:rPr>
        <w:t xml:space="preserve">test, </w:t>
      </w:r>
      <w:r w:rsidRPr="0076494C">
        <w:rPr>
          <w:rFonts w:ascii="Times New Roman" w:hAnsi="Times New Roman" w:cs="Times New Roman"/>
        </w:rPr>
        <w:t>p-value</w:t>
      </w:r>
      <w:r w:rsidRPr="00B43BFA">
        <w:rPr>
          <w:rFonts w:ascii="Times New Roman" w:hAnsi="Times New Roman" w:cs="Times New Roman"/>
        </w:rPr>
        <w:t xml:space="preserve"> &lt; 0.01)</w:t>
      </w:r>
      <w:r w:rsidR="009F436E">
        <w:rPr>
          <w:rFonts w:ascii="Times New Roman" w:hAnsi="Times New Roman" w:cs="Times New Roman"/>
        </w:rPr>
        <w:t xml:space="preserve">. The rate of </w:t>
      </w:r>
      <w:r w:rsidR="009F436E" w:rsidRPr="00B43BFA">
        <w:rPr>
          <w:rFonts w:ascii="Times New Roman" w:hAnsi="Times New Roman" w:cs="Times New Roman"/>
        </w:rPr>
        <w:t>accuracy-aligned behavior</w:t>
      </w:r>
      <w:r w:rsidR="009F436E">
        <w:rPr>
          <w:rFonts w:ascii="Times New Roman" w:hAnsi="Times New Roman" w:cs="Times New Roman"/>
        </w:rPr>
        <w:t xml:space="preserve"> in GAI</w:t>
      </w:r>
      <w:r w:rsidR="009F436E" w:rsidRPr="00B43BFA">
        <w:rPr>
          <w:rFonts w:ascii="Times New Roman" w:hAnsi="Times New Roman" w:cs="Times New Roman"/>
        </w:rPr>
        <w:t xml:space="preserve"> </w:t>
      </w:r>
      <w:r w:rsidR="009F436E">
        <w:rPr>
          <w:rFonts w:ascii="Times New Roman" w:hAnsi="Times New Roman" w:cs="Times New Roman"/>
        </w:rPr>
        <w:t>was</w:t>
      </w:r>
      <w:r w:rsidRPr="00B43BFA">
        <w:rPr>
          <w:rFonts w:ascii="Times New Roman" w:hAnsi="Times New Roman" w:cs="Times New Roman"/>
        </w:rPr>
        <w:t xml:space="preserve"> also higher than </w:t>
      </w:r>
      <w:r w:rsidR="009F436E">
        <w:rPr>
          <w:rFonts w:ascii="Times New Roman" w:hAnsi="Times New Roman" w:cs="Times New Roman"/>
        </w:rPr>
        <w:t>that</w:t>
      </w:r>
      <w:r w:rsidRPr="00B43BFA">
        <w:rPr>
          <w:rFonts w:ascii="Times New Roman" w:hAnsi="Times New Roman" w:cs="Times New Roman"/>
        </w:rPr>
        <w:t xml:space="preserve"> observed in the BAI treatment (31.13%) (Mann</w:t>
      </w:r>
      <w:r>
        <w:rPr>
          <w:rFonts w:ascii="Times New Roman" w:hAnsi="Times New Roman" w:cs="Times New Roman"/>
        </w:rPr>
        <w:t>-</w:t>
      </w:r>
      <w:r w:rsidRPr="00B43BFA">
        <w:rPr>
          <w:rFonts w:ascii="Times New Roman" w:hAnsi="Times New Roman" w:cs="Times New Roman"/>
        </w:rPr>
        <w:t xml:space="preserve">Whitney U test, </w:t>
      </w:r>
      <w:r w:rsidRPr="0076494C">
        <w:rPr>
          <w:rFonts w:ascii="Times New Roman" w:hAnsi="Times New Roman" w:cs="Times New Roman"/>
        </w:rPr>
        <w:t>p-value</w:t>
      </w:r>
      <w:r>
        <w:rPr>
          <w:rFonts w:ascii="Times New Roman" w:hAnsi="Times New Roman" w:cs="Times New Roman"/>
        </w:rPr>
        <w:t xml:space="preserve"> &lt; </w:t>
      </w:r>
      <w:r w:rsidRPr="00B43BFA">
        <w:rPr>
          <w:rFonts w:ascii="Times New Roman" w:hAnsi="Times New Roman" w:cs="Times New Roman"/>
        </w:rPr>
        <w:t>0.01). In contrast, in the BAI treatment</w:t>
      </w:r>
      <w:r>
        <w:rPr>
          <w:rFonts w:ascii="Times New Roman" w:hAnsi="Times New Roman" w:cs="Times New Roman"/>
        </w:rPr>
        <w:t>,</w:t>
      </w:r>
      <w:r w:rsidRPr="00B43BFA">
        <w:rPr>
          <w:rFonts w:ascii="Times New Roman" w:hAnsi="Times New Roman" w:cs="Times New Roman"/>
        </w:rPr>
        <w:t xml:space="preserve"> the rate of accuracy-aligned behavior did not differ significantly from the rate of accuracy-misaligned behavior (28.47%).</w:t>
      </w:r>
      <w:r>
        <w:rPr>
          <w:rFonts w:ascii="Times New Roman" w:hAnsi="Times New Roman" w:cs="Times New Roman"/>
        </w:rPr>
        <w:t xml:space="preserve"> </w:t>
      </w:r>
    </w:p>
    <w:p w14:paraId="110A5B09" w14:textId="34D07892" w:rsidR="00562B4D" w:rsidRDefault="00562B4D" w:rsidP="00FD3EAD">
      <w:pPr>
        <w:spacing w:line="360" w:lineRule="auto"/>
        <w:ind w:firstLine="720"/>
        <w:jc w:val="both"/>
        <w:rPr>
          <w:rFonts w:ascii="Times New Roman" w:hAnsi="Times New Roman" w:cs="Times New Roman"/>
          <w:lang w:eastAsia="zh-CN"/>
        </w:rPr>
      </w:pPr>
      <w:r>
        <w:rPr>
          <w:rFonts w:ascii="Times New Roman" w:hAnsi="Times New Roman" w:cs="Times New Roman"/>
          <w:lang w:eastAsia="zh-CN"/>
        </w:rPr>
        <w:t>Notably</w:t>
      </w:r>
      <w:r w:rsidRPr="00E50955">
        <w:rPr>
          <w:rFonts w:ascii="Times New Roman" w:hAnsi="Times New Roman" w:cs="Times New Roman"/>
          <w:lang w:eastAsia="zh-CN"/>
        </w:rPr>
        <w:t xml:space="preserve">, these behavioral rates reveal a significant departure from the actual distribution of AI advice. In the BAI treatment, the 28.47% accuracy-misaligned rate is </w:t>
      </w:r>
      <w:r>
        <w:rPr>
          <w:rFonts w:ascii="Times New Roman" w:hAnsi="Times New Roman" w:cs="Times New Roman"/>
          <w:lang w:eastAsia="zh-CN"/>
        </w:rPr>
        <w:t>much</w:t>
      </w:r>
      <w:r w:rsidRPr="00E50955">
        <w:rPr>
          <w:rFonts w:ascii="Times New Roman" w:hAnsi="Times New Roman" w:cs="Times New Roman"/>
          <w:lang w:eastAsia="zh-CN"/>
        </w:rPr>
        <w:t xml:space="preserve"> lower than the 52.61% proportion of BV-aligned </w:t>
      </w:r>
      <w:r w:rsidR="001D4741">
        <w:rPr>
          <w:rFonts w:ascii="Times New Roman" w:hAnsi="Times New Roman" w:cs="Times New Roman"/>
          <w:lang w:eastAsia="zh-CN"/>
        </w:rPr>
        <w:t xml:space="preserve">(incorrect) </w:t>
      </w:r>
      <w:r w:rsidRPr="00E50955">
        <w:rPr>
          <w:rFonts w:ascii="Times New Roman" w:hAnsi="Times New Roman" w:cs="Times New Roman"/>
          <w:lang w:eastAsia="zh-CN"/>
        </w:rPr>
        <w:t xml:space="preserve">advice generated by the AI. Conversely, while the AI only provided FV-aligned </w:t>
      </w:r>
      <w:r w:rsidR="001D4741">
        <w:rPr>
          <w:rFonts w:ascii="Times New Roman" w:hAnsi="Times New Roman" w:cs="Times New Roman"/>
          <w:lang w:eastAsia="zh-CN"/>
        </w:rPr>
        <w:t xml:space="preserve">(correct) </w:t>
      </w:r>
      <w:r w:rsidRPr="00E50955">
        <w:rPr>
          <w:rFonts w:ascii="Times New Roman" w:hAnsi="Times New Roman" w:cs="Times New Roman"/>
          <w:lang w:eastAsia="zh-CN"/>
        </w:rPr>
        <w:t xml:space="preserve">advice 16.00% of the time, participants still achieved an accuracy-aligned behavior rate of 31.13%. This two-sided discrepancy strongly suggests that participants do not </w:t>
      </w:r>
      <w:r w:rsidR="00D564F1">
        <w:rPr>
          <w:rFonts w:ascii="Times New Roman" w:hAnsi="Times New Roman" w:cs="Times New Roman"/>
          <w:lang w:eastAsia="zh-CN"/>
        </w:rPr>
        <w:t xml:space="preserve">blindly follow </w:t>
      </w:r>
      <w:proofErr w:type="gramStart"/>
      <w:r w:rsidR="00D564F1">
        <w:rPr>
          <w:rFonts w:ascii="Times New Roman" w:hAnsi="Times New Roman" w:cs="Times New Roman"/>
          <w:lang w:eastAsia="zh-CN"/>
        </w:rPr>
        <w:t>the AI</w:t>
      </w:r>
      <w:proofErr w:type="gramEnd"/>
      <w:r w:rsidRPr="00E50955">
        <w:rPr>
          <w:rFonts w:ascii="Times New Roman" w:hAnsi="Times New Roman" w:cs="Times New Roman"/>
          <w:lang w:eastAsia="zh-CN"/>
        </w:rPr>
        <w:t>. Instead</w:t>
      </w:r>
      <w:r>
        <w:rPr>
          <w:rFonts w:ascii="Times New Roman" w:hAnsi="Times New Roman" w:cs="Times New Roman"/>
          <w:lang w:eastAsia="zh-CN"/>
        </w:rPr>
        <w:t xml:space="preserve">, </w:t>
      </w:r>
      <w:r w:rsidRPr="00E50955">
        <w:rPr>
          <w:rFonts w:ascii="Times New Roman" w:hAnsi="Times New Roman" w:cs="Times New Roman"/>
          <w:lang w:eastAsia="zh-CN"/>
        </w:rPr>
        <w:t>they actively filter out a substantial portion of incorrect recommendations</w:t>
      </w:r>
      <w:r w:rsidR="00D564F1">
        <w:rPr>
          <w:rFonts w:ascii="Times New Roman" w:hAnsi="Times New Roman" w:cs="Times New Roman"/>
          <w:lang w:eastAsia="zh-CN"/>
        </w:rPr>
        <w:t xml:space="preserve"> and manage to capture the scarce good advice or make correct decisions independently, </w:t>
      </w:r>
      <w:r w:rsidRPr="00E50955">
        <w:rPr>
          <w:rFonts w:ascii="Times New Roman" w:hAnsi="Times New Roman" w:cs="Times New Roman"/>
          <w:lang w:eastAsia="zh-CN"/>
        </w:rPr>
        <w:t>even when the AI fails to guide them properly.</w:t>
      </w:r>
      <w:r w:rsidR="00595594">
        <w:rPr>
          <w:rFonts w:ascii="Times New Roman" w:hAnsi="Times New Roman" w:cs="Times New Roman"/>
          <w:lang w:eastAsia="zh-CN"/>
        </w:rPr>
        <w:t xml:space="preserve"> One possibility is that conversations with AI encourage some traders to think more deeply about the fundamental value of the asset.</w:t>
      </w:r>
      <w:r w:rsidRPr="00E50955">
        <w:rPr>
          <w:rFonts w:ascii="Times New Roman" w:hAnsi="Times New Roman" w:cs="Times New Roman"/>
          <w:lang w:eastAsia="zh-CN"/>
        </w:rPr>
        <w:t xml:space="preserve"> In addition, we found a positive </w:t>
      </w:r>
      <w:r w:rsidRPr="00E50955">
        <w:rPr>
          <w:rFonts w:ascii="Times New Roman" w:hAnsi="Times New Roman" w:cs="Times New Roman"/>
          <w:lang w:eastAsia="zh-CN"/>
        </w:rPr>
        <w:lastRenderedPageBreak/>
        <w:t>relationship between the number of correct answers in the CRT and the percentage of accuracy-aligned decisions (Spearman's rho = 0.17, p-value &lt; 0.1)</w:t>
      </w:r>
      <w:r>
        <w:rPr>
          <w:rFonts w:ascii="Times New Roman" w:hAnsi="Times New Roman" w:cs="Times New Roman"/>
          <w:lang w:eastAsia="zh-CN"/>
        </w:rPr>
        <w:t>.</w:t>
      </w:r>
    </w:p>
    <w:p w14:paraId="55531A19" w14:textId="04BE3B81" w:rsidR="00562B4D" w:rsidRPr="00DE77B6" w:rsidRDefault="00562B4D" w:rsidP="000259AA">
      <w:pPr>
        <w:pStyle w:val="Caption"/>
        <w:keepNext/>
        <w:jc w:val="center"/>
        <w:rPr>
          <w:rFonts w:ascii="Times New Roman" w:hAnsi="Times New Roman" w:cs="Times New Roman"/>
          <w:i w:val="0"/>
          <w:iCs w:val="0"/>
          <w:color w:val="000000" w:themeColor="text1"/>
          <w:sz w:val="22"/>
          <w:szCs w:val="22"/>
        </w:rPr>
      </w:pPr>
      <w:r w:rsidRPr="00DE77B6">
        <w:rPr>
          <w:rFonts w:ascii="Times New Roman" w:hAnsi="Times New Roman" w:cs="Times New Roman"/>
          <w:i w:val="0"/>
          <w:iCs w:val="0"/>
          <w:color w:val="auto"/>
          <w:sz w:val="22"/>
          <w:szCs w:val="22"/>
        </w:rPr>
        <w:t xml:space="preserve">Table </w:t>
      </w:r>
      <w:r w:rsidR="00D83E53" w:rsidRPr="00DE77B6">
        <w:rPr>
          <w:rFonts w:ascii="Times New Roman" w:hAnsi="Times New Roman" w:cs="Times New Roman"/>
          <w:i w:val="0"/>
          <w:iCs w:val="0"/>
          <w:color w:val="auto"/>
          <w:sz w:val="22"/>
          <w:szCs w:val="22"/>
        </w:rPr>
        <w:t>6</w:t>
      </w:r>
      <w:r w:rsidRPr="00DE77B6">
        <w:rPr>
          <w:rFonts w:ascii="Times New Roman" w:hAnsi="Times New Roman" w:cs="Times New Roman"/>
          <w:i w:val="0"/>
          <w:iCs w:val="0"/>
          <w:color w:val="auto"/>
          <w:sz w:val="22"/>
          <w:szCs w:val="22"/>
        </w:rPr>
        <w:t xml:space="preserve">. </w:t>
      </w:r>
      <w:r w:rsidR="000259AA" w:rsidRPr="00DE77B6">
        <w:rPr>
          <w:rFonts w:ascii="Times New Roman" w:hAnsi="Times New Roman" w:cs="Times New Roman"/>
          <w:i w:val="0"/>
          <w:iCs w:val="0"/>
          <w:color w:val="auto"/>
          <w:sz w:val="22"/>
          <w:szCs w:val="22"/>
        </w:rPr>
        <w:t>Mean Proportions of Participant Response Categories in GAI and BAI Treatments</w:t>
      </w:r>
    </w:p>
    <w:tbl>
      <w:tblPr>
        <w:tblW w:w="5000" w:type="pct"/>
        <w:tblCellMar>
          <w:left w:w="70" w:type="dxa"/>
          <w:right w:w="70" w:type="dxa"/>
        </w:tblCellMar>
        <w:tblLook w:val="04A0" w:firstRow="1" w:lastRow="0" w:firstColumn="1" w:lastColumn="0" w:noHBand="0" w:noVBand="1"/>
      </w:tblPr>
      <w:tblGrid>
        <w:gridCol w:w="2731"/>
        <w:gridCol w:w="3899"/>
        <w:gridCol w:w="2396"/>
      </w:tblGrid>
      <w:tr w:rsidR="00562B4D" w:rsidRPr="007517D0" w14:paraId="66E82C62" w14:textId="77777777" w:rsidTr="0051323E">
        <w:trPr>
          <w:trHeight w:val="324"/>
        </w:trPr>
        <w:tc>
          <w:tcPr>
            <w:tcW w:w="1513" w:type="pct"/>
            <w:tcBorders>
              <w:top w:val="single" w:sz="12" w:space="0" w:color="auto"/>
              <w:left w:val="nil"/>
              <w:bottom w:val="single" w:sz="4" w:space="0" w:color="auto"/>
              <w:right w:val="nil"/>
            </w:tcBorders>
            <w:noWrap/>
            <w:vAlign w:val="center"/>
            <w:hideMark/>
          </w:tcPr>
          <w:p w14:paraId="701D02E7"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Treatment</w:t>
            </w:r>
          </w:p>
        </w:tc>
        <w:tc>
          <w:tcPr>
            <w:tcW w:w="2160" w:type="pct"/>
            <w:tcBorders>
              <w:top w:val="single" w:sz="12" w:space="0" w:color="auto"/>
              <w:left w:val="nil"/>
              <w:bottom w:val="single" w:sz="4" w:space="0" w:color="auto"/>
              <w:right w:val="nil"/>
            </w:tcBorders>
            <w:noWrap/>
            <w:vAlign w:val="center"/>
            <w:hideMark/>
          </w:tcPr>
          <w:p w14:paraId="24053F3F"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Category</w:t>
            </w:r>
          </w:p>
        </w:tc>
        <w:tc>
          <w:tcPr>
            <w:tcW w:w="1327" w:type="pct"/>
            <w:tcBorders>
              <w:top w:val="single" w:sz="12" w:space="0" w:color="auto"/>
              <w:left w:val="nil"/>
              <w:bottom w:val="single" w:sz="4" w:space="0" w:color="auto"/>
              <w:right w:val="nil"/>
            </w:tcBorders>
            <w:noWrap/>
            <w:vAlign w:val="center"/>
            <w:hideMark/>
          </w:tcPr>
          <w:p w14:paraId="785819F1"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Mean</w:t>
            </w:r>
          </w:p>
        </w:tc>
      </w:tr>
      <w:tr w:rsidR="00562B4D" w:rsidRPr="007517D0" w14:paraId="3428430C" w14:textId="77777777" w:rsidTr="0051323E">
        <w:trPr>
          <w:trHeight w:val="324"/>
        </w:trPr>
        <w:tc>
          <w:tcPr>
            <w:tcW w:w="1513" w:type="pct"/>
            <w:vMerge w:val="restart"/>
            <w:tcBorders>
              <w:top w:val="single" w:sz="4" w:space="0" w:color="auto"/>
              <w:left w:val="nil"/>
              <w:bottom w:val="nil"/>
              <w:right w:val="nil"/>
            </w:tcBorders>
            <w:noWrap/>
            <w:vAlign w:val="center"/>
            <w:hideMark/>
          </w:tcPr>
          <w:p w14:paraId="73FB92E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GAI</w:t>
            </w:r>
          </w:p>
        </w:tc>
        <w:tc>
          <w:tcPr>
            <w:tcW w:w="2160" w:type="pct"/>
            <w:tcBorders>
              <w:top w:val="single" w:sz="4" w:space="0" w:color="auto"/>
              <w:left w:val="nil"/>
              <w:bottom w:val="nil"/>
              <w:right w:val="nil"/>
            </w:tcBorders>
            <w:noWrap/>
            <w:vAlign w:val="center"/>
          </w:tcPr>
          <w:p w14:paraId="15407A7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Pr>
                <w:rFonts w:ascii="Times New Roman" w:hAnsi="Times New Roman" w:cs="Times New Roman"/>
              </w:rPr>
              <w:t>Accuracy-aligned</w:t>
            </w:r>
          </w:p>
        </w:tc>
        <w:tc>
          <w:tcPr>
            <w:tcW w:w="1327" w:type="pct"/>
            <w:tcBorders>
              <w:top w:val="single" w:sz="4" w:space="0" w:color="auto"/>
              <w:left w:val="nil"/>
              <w:bottom w:val="nil"/>
              <w:right w:val="nil"/>
            </w:tcBorders>
            <w:noWrap/>
            <w:vAlign w:val="center"/>
          </w:tcPr>
          <w:p w14:paraId="65A63410"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69.20%</w:t>
            </w:r>
          </w:p>
        </w:tc>
      </w:tr>
      <w:tr w:rsidR="00562B4D" w:rsidRPr="007517D0" w14:paraId="25121AA6" w14:textId="77777777" w:rsidTr="0051323E">
        <w:trPr>
          <w:trHeight w:val="324"/>
        </w:trPr>
        <w:tc>
          <w:tcPr>
            <w:tcW w:w="1513" w:type="pct"/>
            <w:vMerge/>
            <w:tcBorders>
              <w:top w:val="nil"/>
              <w:left w:val="nil"/>
              <w:bottom w:val="nil"/>
              <w:right w:val="nil"/>
            </w:tcBorders>
            <w:vAlign w:val="center"/>
            <w:hideMark/>
          </w:tcPr>
          <w:p w14:paraId="07A0F928" w14:textId="77777777" w:rsidR="00562B4D" w:rsidRPr="007517D0" w:rsidRDefault="00562B4D" w:rsidP="0051323E">
            <w:pPr>
              <w:spacing w:after="0" w:line="240" w:lineRule="auto"/>
              <w:rPr>
                <w:rFonts w:ascii="Times New Roman" w:eastAsia="Times New Roman" w:hAnsi="Times New Roman" w:cs="Times New Roman"/>
                <w:kern w:val="0"/>
                <w:lang w:eastAsia="es-CL"/>
                <w14:ligatures w14:val="none"/>
              </w:rPr>
            </w:pPr>
          </w:p>
        </w:tc>
        <w:tc>
          <w:tcPr>
            <w:tcW w:w="2160" w:type="pct"/>
            <w:tcBorders>
              <w:top w:val="nil"/>
              <w:left w:val="nil"/>
              <w:bottom w:val="nil"/>
              <w:right w:val="nil"/>
            </w:tcBorders>
            <w:noWrap/>
            <w:vAlign w:val="center"/>
          </w:tcPr>
          <w:p w14:paraId="4583262F"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Pr>
                <w:rFonts w:ascii="Times New Roman" w:hAnsi="Times New Roman" w:cs="Times New Roman"/>
              </w:rPr>
              <w:t>Accuracy-misaligned</w:t>
            </w:r>
          </w:p>
        </w:tc>
        <w:tc>
          <w:tcPr>
            <w:tcW w:w="1327" w:type="pct"/>
            <w:tcBorders>
              <w:top w:val="nil"/>
              <w:left w:val="nil"/>
              <w:bottom w:val="nil"/>
              <w:right w:val="nil"/>
            </w:tcBorders>
            <w:noWrap/>
            <w:vAlign w:val="center"/>
          </w:tcPr>
          <w:p w14:paraId="535CAAD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11.39%</w:t>
            </w:r>
          </w:p>
        </w:tc>
      </w:tr>
      <w:tr w:rsidR="00562B4D" w:rsidRPr="007517D0" w14:paraId="177935D2" w14:textId="77777777" w:rsidTr="0051323E">
        <w:trPr>
          <w:trHeight w:val="324"/>
        </w:trPr>
        <w:tc>
          <w:tcPr>
            <w:tcW w:w="1513" w:type="pct"/>
            <w:vMerge/>
            <w:tcBorders>
              <w:top w:val="nil"/>
              <w:left w:val="nil"/>
              <w:right w:val="nil"/>
            </w:tcBorders>
            <w:vAlign w:val="center"/>
            <w:hideMark/>
          </w:tcPr>
          <w:p w14:paraId="42951C69" w14:textId="77777777" w:rsidR="00562B4D" w:rsidRPr="007517D0" w:rsidRDefault="00562B4D" w:rsidP="0051323E">
            <w:pPr>
              <w:spacing w:after="0" w:line="240" w:lineRule="auto"/>
              <w:rPr>
                <w:rFonts w:ascii="Times New Roman" w:eastAsia="Times New Roman" w:hAnsi="Times New Roman" w:cs="Times New Roman"/>
                <w:kern w:val="0"/>
                <w:lang w:eastAsia="es-CL"/>
                <w14:ligatures w14:val="none"/>
              </w:rPr>
            </w:pPr>
          </w:p>
        </w:tc>
        <w:tc>
          <w:tcPr>
            <w:tcW w:w="2160" w:type="pct"/>
            <w:tcBorders>
              <w:top w:val="nil"/>
              <w:left w:val="nil"/>
              <w:right w:val="nil"/>
            </w:tcBorders>
            <w:noWrap/>
            <w:vAlign w:val="center"/>
            <w:hideMark/>
          </w:tcPr>
          <w:p w14:paraId="6D6FB445"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Other</w:t>
            </w:r>
          </w:p>
        </w:tc>
        <w:tc>
          <w:tcPr>
            <w:tcW w:w="1327" w:type="pct"/>
            <w:tcBorders>
              <w:top w:val="nil"/>
              <w:left w:val="nil"/>
              <w:right w:val="nil"/>
            </w:tcBorders>
            <w:noWrap/>
            <w:vAlign w:val="center"/>
            <w:hideMark/>
          </w:tcPr>
          <w:p w14:paraId="7163A9E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19.41%</w:t>
            </w:r>
          </w:p>
        </w:tc>
      </w:tr>
      <w:tr w:rsidR="00562B4D" w:rsidRPr="007517D0" w14:paraId="4F5D853C" w14:textId="77777777" w:rsidTr="0051323E">
        <w:trPr>
          <w:trHeight w:val="324"/>
        </w:trPr>
        <w:tc>
          <w:tcPr>
            <w:tcW w:w="1513" w:type="pct"/>
            <w:vMerge w:val="restart"/>
            <w:tcBorders>
              <w:top w:val="nil"/>
              <w:left w:val="nil"/>
              <w:bottom w:val="nil"/>
              <w:right w:val="nil"/>
            </w:tcBorders>
            <w:noWrap/>
            <w:vAlign w:val="center"/>
            <w:hideMark/>
          </w:tcPr>
          <w:p w14:paraId="2012705D"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BAI</w:t>
            </w:r>
          </w:p>
        </w:tc>
        <w:tc>
          <w:tcPr>
            <w:tcW w:w="2160" w:type="pct"/>
            <w:tcBorders>
              <w:top w:val="nil"/>
              <w:left w:val="nil"/>
              <w:bottom w:val="nil"/>
              <w:right w:val="nil"/>
            </w:tcBorders>
            <w:noWrap/>
            <w:vAlign w:val="center"/>
          </w:tcPr>
          <w:p w14:paraId="7E6D66AA"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Pr>
                <w:rFonts w:ascii="Times New Roman" w:hAnsi="Times New Roman" w:cs="Times New Roman"/>
              </w:rPr>
              <w:t>Accuracy-aligned</w:t>
            </w:r>
          </w:p>
        </w:tc>
        <w:tc>
          <w:tcPr>
            <w:tcW w:w="1327" w:type="pct"/>
            <w:tcBorders>
              <w:top w:val="nil"/>
              <w:left w:val="nil"/>
              <w:bottom w:val="nil"/>
              <w:right w:val="nil"/>
            </w:tcBorders>
            <w:noWrap/>
            <w:vAlign w:val="center"/>
          </w:tcPr>
          <w:p w14:paraId="46088184"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31.13%</w:t>
            </w:r>
          </w:p>
        </w:tc>
      </w:tr>
      <w:tr w:rsidR="00562B4D" w:rsidRPr="007517D0" w14:paraId="0A94D92A" w14:textId="77777777" w:rsidTr="0051323E">
        <w:trPr>
          <w:trHeight w:val="324"/>
        </w:trPr>
        <w:tc>
          <w:tcPr>
            <w:tcW w:w="1513" w:type="pct"/>
            <w:vMerge/>
            <w:tcBorders>
              <w:top w:val="nil"/>
              <w:left w:val="nil"/>
              <w:bottom w:val="nil"/>
              <w:right w:val="nil"/>
            </w:tcBorders>
            <w:noWrap/>
            <w:vAlign w:val="center"/>
          </w:tcPr>
          <w:p w14:paraId="51CD384C"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p>
        </w:tc>
        <w:tc>
          <w:tcPr>
            <w:tcW w:w="2160" w:type="pct"/>
            <w:tcBorders>
              <w:top w:val="nil"/>
              <w:left w:val="nil"/>
              <w:bottom w:val="nil"/>
              <w:right w:val="nil"/>
            </w:tcBorders>
            <w:noWrap/>
            <w:vAlign w:val="center"/>
          </w:tcPr>
          <w:p w14:paraId="48F58BDB" w14:textId="77777777" w:rsidR="00562B4D" w:rsidRDefault="00562B4D" w:rsidP="0051323E">
            <w:pPr>
              <w:spacing w:after="0" w:line="240" w:lineRule="auto"/>
              <w:jc w:val="center"/>
              <w:rPr>
                <w:rFonts w:ascii="Times New Roman" w:hAnsi="Times New Roman" w:cs="Times New Roman"/>
              </w:rPr>
            </w:pPr>
            <w:r>
              <w:rPr>
                <w:rFonts w:ascii="Times New Roman" w:hAnsi="Times New Roman" w:cs="Times New Roman"/>
              </w:rPr>
              <w:t>Accuracy-misaligned</w:t>
            </w:r>
          </w:p>
        </w:tc>
        <w:tc>
          <w:tcPr>
            <w:tcW w:w="1327" w:type="pct"/>
            <w:tcBorders>
              <w:top w:val="nil"/>
              <w:left w:val="nil"/>
              <w:bottom w:val="nil"/>
              <w:right w:val="nil"/>
            </w:tcBorders>
            <w:noWrap/>
            <w:vAlign w:val="center"/>
          </w:tcPr>
          <w:p w14:paraId="0F033F0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28.47%</w:t>
            </w:r>
          </w:p>
        </w:tc>
      </w:tr>
      <w:tr w:rsidR="00562B4D" w:rsidRPr="007517D0" w14:paraId="139AFCB5" w14:textId="77777777" w:rsidTr="0051323E">
        <w:trPr>
          <w:trHeight w:val="324"/>
        </w:trPr>
        <w:tc>
          <w:tcPr>
            <w:tcW w:w="1513" w:type="pct"/>
            <w:vMerge/>
            <w:tcBorders>
              <w:top w:val="nil"/>
              <w:left w:val="nil"/>
              <w:bottom w:val="single" w:sz="12" w:space="0" w:color="auto"/>
              <w:right w:val="nil"/>
            </w:tcBorders>
            <w:vAlign w:val="center"/>
            <w:hideMark/>
          </w:tcPr>
          <w:p w14:paraId="0B5BE4E5" w14:textId="77777777" w:rsidR="00562B4D" w:rsidRPr="007517D0" w:rsidRDefault="00562B4D" w:rsidP="0051323E">
            <w:pPr>
              <w:spacing w:after="0" w:line="240" w:lineRule="auto"/>
              <w:rPr>
                <w:rFonts w:ascii="Times New Roman" w:eastAsia="Times New Roman" w:hAnsi="Times New Roman" w:cs="Times New Roman"/>
                <w:kern w:val="0"/>
                <w:lang w:eastAsia="es-CL"/>
                <w14:ligatures w14:val="none"/>
              </w:rPr>
            </w:pPr>
          </w:p>
        </w:tc>
        <w:tc>
          <w:tcPr>
            <w:tcW w:w="2160" w:type="pct"/>
            <w:tcBorders>
              <w:top w:val="nil"/>
              <w:left w:val="nil"/>
              <w:bottom w:val="single" w:sz="12" w:space="0" w:color="auto"/>
              <w:right w:val="nil"/>
            </w:tcBorders>
            <w:noWrap/>
            <w:vAlign w:val="center"/>
          </w:tcPr>
          <w:p w14:paraId="5F68E75A"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Other</w:t>
            </w:r>
          </w:p>
        </w:tc>
        <w:tc>
          <w:tcPr>
            <w:tcW w:w="1327" w:type="pct"/>
            <w:tcBorders>
              <w:top w:val="nil"/>
              <w:left w:val="nil"/>
              <w:bottom w:val="single" w:sz="12" w:space="0" w:color="auto"/>
              <w:right w:val="nil"/>
            </w:tcBorders>
            <w:noWrap/>
            <w:vAlign w:val="center"/>
          </w:tcPr>
          <w:p w14:paraId="56805072" w14:textId="77777777" w:rsidR="00562B4D" w:rsidRPr="007517D0" w:rsidRDefault="00562B4D" w:rsidP="0051323E">
            <w:pPr>
              <w:spacing w:after="0" w:line="240" w:lineRule="auto"/>
              <w:jc w:val="center"/>
              <w:rPr>
                <w:rFonts w:ascii="Times New Roman" w:eastAsia="Times New Roman" w:hAnsi="Times New Roman" w:cs="Times New Roman"/>
                <w:kern w:val="0"/>
                <w:lang w:eastAsia="es-CL"/>
                <w14:ligatures w14:val="none"/>
              </w:rPr>
            </w:pPr>
            <w:r w:rsidRPr="007517D0">
              <w:rPr>
                <w:rFonts w:ascii="Times New Roman" w:eastAsia="Times New Roman" w:hAnsi="Times New Roman" w:cs="Times New Roman"/>
                <w:kern w:val="0"/>
                <w:lang w:eastAsia="es-CL"/>
                <w14:ligatures w14:val="none"/>
              </w:rPr>
              <w:t>40.39%</w:t>
            </w:r>
          </w:p>
        </w:tc>
      </w:tr>
    </w:tbl>
    <w:p w14:paraId="3ACEA5B3" w14:textId="77777777" w:rsidR="00FD3EAD" w:rsidRPr="00423BA1" w:rsidRDefault="00FD3EAD" w:rsidP="00FD3EAD">
      <w:pPr>
        <w:spacing w:line="360" w:lineRule="auto"/>
        <w:ind w:firstLine="720"/>
        <w:jc w:val="both"/>
        <w:rPr>
          <w:rFonts w:ascii="Times New Roman" w:hAnsi="Times New Roman" w:cs="Times New Roman"/>
          <w:sz w:val="20"/>
          <w:szCs w:val="20"/>
        </w:rPr>
      </w:pPr>
      <w:bookmarkStart w:id="7" w:name="_Hlk218516214"/>
    </w:p>
    <w:p w14:paraId="3A1EE3A1" w14:textId="11A324FD" w:rsidR="00562B4D" w:rsidRDefault="00562B4D" w:rsidP="00FD3EAD">
      <w:pPr>
        <w:spacing w:line="360" w:lineRule="auto"/>
        <w:ind w:firstLine="720"/>
        <w:jc w:val="both"/>
        <w:rPr>
          <w:rFonts w:ascii="Times New Roman" w:hAnsi="Times New Roman" w:cs="Times New Roman"/>
        </w:rPr>
      </w:pPr>
      <w:r w:rsidRPr="00436377">
        <w:rPr>
          <w:rFonts w:ascii="Times New Roman" w:hAnsi="Times New Roman" w:cs="Times New Roman"/>
        </w:rPr>
        <w:t xml:space="preserve">Finally, to </w:t>
      </w:r>
      <w:r w:rsidR="00041DE5">
        <w:rPr>
          <w:rFonts w:ascii="Times New Roman" w:hAnsi="Times New Roman" w:cs="Times New Roman"/>
        </w:rPr>
        <w:t xml:space="preserve">assess </w:t>
      </w:r>
      <w:r w:rsidR="006C31E7">
        <w:rPr>
          <w:rFonts w:ascii="Times New Roman" w:hAnsi="Times New Roman" w:cs="Times New Roman"/>
        </w:rPr>
        <w:t>the extent to which</w:t>
      </w:r>
      <w:r w:rsidR="00041DE5">
        <w:rPr>
          <w:rFonts w:ascii="Times New Roman" w:hAnsi="Times New Roman" w:cs="Times New Roman"/>
        </w:rPr>
        <w:t xml:space="preserve"> the</w:t>
      </w:r>
      <w:r w:rsidR="006C31E7">
        <w:rPr>
          <w:rFonts w:ascii="Times New Roman" w:hAnsi="Times New Roman" w:cs="Times New Roman"/>
        </w:rPr>
        <w:t xml:space="preserve"> market-level</w:t>
      </w:r>
      <w:r w:rsidR="00041DE5">
        <w:rPr>
          <w:rFonts w:ascii="Times New Roman" w:hAnsi="Times New Roman" w:cs="Times New Roman"/>
        </w:rPr>
        <w:t xml:space="preserve"> mispricing results are due to isolated cases, we </w:t>
      </w:r>
      <w:proofErr w:type="gramStart"/>
      <w:r w:rsidR="006C31E7">
        <w:rPr>
          <w:rFonts w:ascii="Times New Roman" w:hAnsi="Times New Roman" w:cs="Times New Roman"/>
        </w:rPr>
        <w:t>look into</w:t>
      </w:r>
      <w:proofErr w:type="gramEnd"/>
      <w:r w:rsidR="006C31E7">
        <w:rPr>
          <w:rFonts w:ascii="Times New Roman" w:hAnsi="Times New Roman" w:cs="Times New Roman"/>
        </w:rPr>
        <w:t xml:space="preserve"> extreme bids and </w:t>
      </w:r>
      <w:proofErr w:type="gramStart"/>
      <w:r w:rsidR="006C31E7">
        <w:rPr>
          <w:rFonts w:ascii="Times New Roman" w:hAnsi="Times New Roman" w:cs="Times New Roman"/>
        </w:rPr>
        <w:t>asks</w:t>
      </w:r>
      <w:proofErr w:type="gramEnd"/>
      <w:r w:rsidR="006C31E7">
        <w:rPr>
          <w:rFonts w:ascii="Times New Roman" w:hAnsi="Times New Roman" w:cs="Times New Roman"/>
        </w:rPr>
        <w:t xml:space="preserve"> that </w:t>
      </w:r>
      <w:proofErr w:type="gramStart"/>
      <w:r w:rsidR="006C31E7">
        <w:rPr>
          <w:rFonts w:ascii="Times New Roman" w:hAnsi="Times New Roman" w:cs="Times New Roman"/>
        </w:rPr>
        <w:t>deviated</w:t>
      </w:r>
      <w:proofErr w:type="gramEnd"/>
      <w:r w:rsidR="006C31E7">
        <w:rPr>
          <w:rFonts w:ascii="Times New Roman" w:hAnsi="Times New Roman" w:cs="Times New Roman"/>
        </w:rPr>
        <w:t xml:space="preserve"> greatly from the AI advice</w:t>
      </w:r>
      <w:r>
        <w:rPr>
          <w:rFonts w:ascii="Times New Roman" w:hAnsi="Times New Roman" w:cs="Times New Roman"/>
        </w:rPr>
        <w:t>.</w:t>
      </w:r>
      <w:r w:rsidRPr="00436377">
        <w:rPr>
          <w:rFonts w:ascii="Times New Roman" w:hAnsi="Times New Roman" w:cs="Times New Roman"/>
        </w:rPr>
        <w:t xml:space="preserve"> We refer to the observation of a buyer or seller in a transaction as a participant-transaction observation. </w:t>
      </w:r>
      <w:r w:rsidRPr="001E6AF4">
        <w:rPr>
          <w:rFonts w:ascii="Times New Roman" w:hAnsi="Times New Roman" w:cs="Times New Roman"/>
        </w:rPr>
        <w:t>Furthermore, we isolate cases of extreme non-compliance by flagging submitted offers that deviate sharply from the reference value promoted by the AI (FV in GAI and BV in BAI)</w:t>
      </w:r>
      <w:r>
        <w:rPr>
          <w:rFonts w:ascii="Times New Roman" w:hAnsi="Times New Roman" w:cs="Times New Roman"/>
        </w:rPr>
        <w:t>.</w:t>
      </w:r>
      <w:r w:rsidRPr="00436377">
        <w:rPr>
          <w:rFonts w:ascii="Times New Roman" w:hAnsi="Times New Roman" w:cs="Times New Roman"/>
        </w:rPr>
        <w:t xml:space="preserve"> </w:t>
      </w:r>
      <w:r>
        <w:rPr>
          <w:rFonts w:ascii="Times New Roman" w:hAnsi="Times New Roman" w:cs="Times New Roman"/>
        </w:rPr>
        <w:t xml:space="preserve">Table </w:t>
      </w:r>
      <w:r w:rsidR="00D83E53">
        <w:rPr>
          <w:rFonts w:ascii="Times New Roman" w:hAnsi="Times New Roman" w:cs="Times New Roman"/>
        </w:rPr>
        <w:t>7</w:t>
      </w:r>
      <w:r>
        <w:rPr>
          <w:rFonts w:ascii="Times New Roman" w:hAnsi="Times New Roman" w:cs="Times New Roman"/>
          <w:i/>
          <w:iCs/>
          <w:color w:val="000000" w:themeColor="text1"/>
        </w:rPr>
        <w:t xml:space="preserve"> </w:t>
      </w:r>
      <w:r w:rsidRPr="00436377">
        <w:rPr>
          <w:rFonts w:ascii="Times New Roman" w:hAnsi="Times New Roman" w:cs="Times New Roman"/>
        </w:rPr>
        <w:t>shows the sample composition and its breakdown by AI interaction.</w:t>
      </w:r>
    </w:p>
    <w:p w14:paraId="2D85525B" w14:textId="60973F1A" w:rsidR="00935A18" w:rsidRDefault="00935A18" w:rsidP="00FD3EAD">
      <w:pPr>
        <w:spacing w:line="360" w:lineRule="auto"/>
        <w:ind w:firstLine="720"/>
        <w:jc w:val="both"/>
        <w:rPr>
          <w:rFonts w:ascii="Times New Roman" w:hAnsi="Times New Roman" w:cs="Times New Roman"/>
          <w:color w:val="000000"/>
        </w:rPr>
      </w:pPr>
      <w:r w:rsidRPr="002A6642">
        <w:rPr>
          <w:rFonts w:ascii="Times New Roman" w:hAnsi="Times New Roman" w:cs="Times New Roman"/>
          <w:color w:val="000000"/>
        </w:rPr>
        <w:t xml:space="preserve">In the GAI treatment, we reviewed in detail the offers that deviated </w:t>
      </w:r>
      <w:r w:rsidR="006632F5">
        <w:rPr>
          <w:rFonts w:ascii="Times New Roman" w:hAnsi="Times New Roman" w:cs="Times New Roman"/>
          <w:color w:val="000000"/>
        </w:rPr>
        <w:t>by 75% or more from FV</w:t>
      </w:r>
      <w:r w:rsidRPr="002A6642">
        <w:rPr>
          <w:rFonts w:ascii="Times New Roman" w:hAnsi="Times New Roman" w:cs="Times New Roman"/>
          <w:color w:val="000000"/>
        </w:rPr>
        <w:t xml:space="preserve">. We observed that these offers were made by a small number of participants, most of whom consulted AI. Notably, one participant was responsible for nine of these offers. When analyzing all the advice participants received up to the point of making an offer, we noted that only one participant received advice not fully aligned with the </w:t>
      </w:r>
      <w:r>
        <w:rPr>
          <w:rFonts w:ascii="Times New Roman" w:hAnsi="Times New Roman" w:cs="Times New Roman"/>
          <w:color w:val="000000"/>
        </w:rPr>
        <w:t>FV</w:t>
      </w:r>
      <w:r w:rsidRPr="002A6642">
        <w:rPr>
          <w:rFonts w:ascii="Times New Roman" w:hAnsi="Times New Roman" w:cs="Times New Roman"/>
          <w:color w:val="000000"/>
        </w:rPr>
        <w:t xml:space="preserve">. Therefore, in most cases, </w:t>
      </w:r>
      <w:r w:rsidR="00C97D0D">
        <w:rPr>
          <w:rFonts w:ascii="Times New Roman" w:hAnsi="Times New Roman" w:cs="Times New Roman"/>
          <w:color w:val="000000"/>
        </w:rPr>
        <w:t>participants who posted extreme offers received advice aligned with the FV but</w:t>
      </w:r>
      <w:r w:rsidRPr="002A6642">
        <w:rPr>
          <w:rFonts w:ascii="Times New Roman" w:hAnsi="Times New Roman" w:cs="Times New Roman"/>
          <w:color w:val="000000"/>
        </w:rPr>
        <w:t xml:space="preserve"> d</w:t>
      </w:r>
      <w:r>
        <w:rPr>
          <w:rFonts w:ascii="Times New Roman" w:hAnsi="Times New Roman" w:cs="Times New Roman"/>
          <w:color w:val="000000"/>
        </w:rPr>
        <w:t>i</w:t>
      </w:r>
      <w:r w:rsidRPr="002A6642">
        <w:rPr>
          <w:rFonts w:ascii="Times New Roman" w:hAnsi="Times New Roman" w:cs="Times New Roman"/>
          <w:color w:val="000000"/>
        </w:rPr>
        <w:t xml:space="preserve">d not follow it. This can be explained by </w:t>
      </w:r>
      <w:r w:rsidR="00C97D0D">
        <w:rPr>
          <w:rFonts w:ascii="Times New Roman" w:hAnsi="Times New Roman" w:cs="Times New Roman"/>
          <w:color w:val="000000"/>
        </w:rPr>
        <w:t>participants' comments about the usefulness of the advice, with some indicating</w:t>
      </w:r>
      <w:r w:rsidRPr="002A6642">
        <w:rPr>
          <w:rFonts w:ascii="Times New Roman" w:hAnsi="Times New Roman" w:cs="Times New Roman"/>
          <w:color w:val="000000"/>
        </w:rPr>
        <w:t xml:space="preserve"> a lack of understanding. In other cases, the participants' initial behavior suggests a lack of understanding that was corrected in subsequent periods after continued interaction with AI. It should be noted that the participant who made the most offers in this category initially requested guidance</w:t>
      </w:r>
      <w:r w:rsidR="007B59CD">
        <w:rPr>
          <w:rFonts w:ascii="Times New Roman" w:hAnsi="Times New Roman" w:cs="Times New Roman"/>
          <w:color w:val="000000"/>
        </w:rPr>
        <w:t xml:space="preserve">, received a recommendation consistent with the FV, but indicated that they did not understand the advice </w:t>
      </w:r>
      <w:r w:rsidRPr="002A6642">
        <w:rPr>
          <w:rFonts w:ascii="Times New Roman" w:hAnsi="Times New Roman" w:cs="Times New Roman"/>
          <w:color w:val="000000"/>
        </w:rPr>
        <w:t xml:space="preserve">and decided not to consult AI </w:t>
      </w:r>
      <w:r>
        <w:rPr>
          <w:rFonts w:ascii="Times New Roman" w:hAnsi="Times New Roman" w:cs="Times New Roman"/>
          <w:color w:val="000000"/>
        </w:rPr>
        <w:t>again</w:t>
      </w:r>
      <w:r w:rsidRPr="002A6642">
        <w:rPr>
          <w:rFonts w:ascii="Times New Roman" w:hAnsi="Times New Roman" w:cs="Times New Roman"/>
          <w:color w:val="000000"/>
        </w:rPr>
        <w:t>.</w:t>
      </w:r>
    </w:p>
    <w:p w14:paraId="1C09316E" w14:textId="77777777" w:rsidR="00423BA1" w:rsidRDefault="00423BA1" w:rsidP="00FD3EAD">
      <w:pPr>
        <w:spacing w:line="360" w:lineRule="auto"/>
        <w:ind w:firstLine="720"/>
        <w:jc w:val="both"/>
        <w:rPr>
          <w:rFonts w:ascii="Times New Roman" w:hAnsi="Times New Roman" w:cs="Times New Roman"/>
          <w:color w:val="000000"/>
        </w:rPr>
      </w:pPr>
    </w:p>
    <w:p w14:paraId="25276596" w14:textId="77777777" w:rsidR="00423BA1" w:rsidRPr="007517D0" w:rsidRDefault="00423BA1" w:rsidP="00FD3EAD">
      <w:pPr>
        <w:spacing w:line="360" w:lineRule="auto"/>
        <w:ind w:firstLine="720"/>
        <w:jc w:val="both"/>
        <w:rPr>
          <w:rFonts w:ascii="Times New Roman" w:hAnsi="Times New Roman" w:cs="Times New Roman"/>
          <w:color w:val="000000"/>
          <w:highlight w:val="yellow"/>
        </w:rPr>
      </w:pPr>
    </w:p>
    <w:p w14:paraId="3DD53F38" w14:textId="2FB9A01E" w:rsidR="00562B4D" w:rsidRPr="00DE77B6" w:rsidRDefault="00562B4D" w:rsidP="003D39B1">
      <w:pPr>
        <w:pStyle w:val="Caption"/>
        <w:keepNext/>
        <w:jc w:val="center"/>
        <w:rPr>
          <w:rFonts w:ascii="Times New Roman" w:hAnsi="Times New Roman" w:cs="Times New Roman"/>
          <w:i w:val="0"/>
          <w:iCs w:val="0"/>
          <w:color w:val="000000" w:themeColor="text1"/>
          <w:sz w:val="22"/>
          <w:szCs w:val="22"/>
        </w:rPr>
      </w:pPr>
      <w:r w:rsidRPr="00DE77B6">
        <w:rPr>
          <w:rFonts w:ascii="Times New Roman" w:hAnsi="Times New Roman" w:cs="Times New Roman"/>
          <w:i w:val="0"/>
          <w:iCs w:val="0"/>
          <w:color w:val="000000" w:themeColor="text1"/>
          <w:sz w:val="22"/>
          <w:szCs w:val="22"/>
        </w:rPr>
        <w:lastRenderedPageBreak/>
        <w:t xml:space="preserve">Table </w:t>
      </w:r>
      <w:r w:rsidR="00D83E53" w:rsidRPr="00DE77B6">
        <w:rPr>
          <w:rFonts w:ascii="Times New Roman" w:hAnsi="Times New Roman" w:cs="Times New Roman"/>
          <w:i w:val="0"/>
          <w:iCs w:val="0"/>
          <w:color w:val="000000" w:themeColor="text1"/>
          <w:sz w:val="22"/>
          <w:szCs w:val="22"/>
        </w:rPr>
        <w:t>7</w:t>
      </w:r>
      <w:r w:rsidRPr="00DE77B6">
        <w:rPr>
          <w:rFonts w:ascii="Times New Roman" w:hAnsi="Times New Roman" w:cs="Times New Roman"/>
          <w:i w:val="0"/>
          <w:iCs w:val="0"/>
          <w:color w:val="000000" w:themeColor="text1"/>
          <w:sz w:val="22"/>
          <w:szCs w:val="22"/>
        </w:rPr>
        <w:t>. Sample composition and participant-transaction observations by treatment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4"/>
        <w:gridCol w:w="1298"/>
        <w:gridCol w:w="1164"/>
      </w:tblGrid>
      <w:tr w:rsidR="00562B4D" w:rsidRPr="001D4F25" w14:paraId="6A269F2D" w14:textId="77777777" w:rsidTr="0051323E">
        <w:trPr>
          <w:jc w:val="center"/>
        </w:trPr>
        <w:tc>
          <w:tcPr>
            <w:tcW w:w="3636" w:type="pct"/>
            <w:tcBorders>
              <w:top w:val="single" w:sz="12" w:space="0" w:color="auto"/>
              <w:bottom w:val="single" w:sz="4" w:space="0" w:color="auto"/>
            </w:tcBorders>
            <w:vAlign w:val="center"/>
          </w:tcPr>
          <w:p w14:paraId="38E71D5D" w14:textId="77777777" w:rsidR="00562B4D" w:rsidRPr="001D4F25" w:rsidRDefault="00562B4D" w:rsidP="0051323E">
            <w:pPr>
              <w:jc w:val="center"/>
              <w:rPr>
                <w:rFonts w:ascii="Times New Roman" w:hAnsi="Times New Roman" w:cs="Times New Roman"/>
                <w:color w:val="000000"/>
              </w:rPr>
            </w:pPr>
            <w:r>
              <w:rPr>
                <w:rFonts w:ascii="Times New Roman" w:hAnsi="Times New Roman" w:cs="Times New Roman"/>
                <w:color w:val="000000"/>
              </w:rPr>
              <w:t>Category</w:t>
            </w:r>
          </w:p>
        </w:tc>
        <w:tc>
          <w:tcPr>
            <w:tcW w:w="719" w:type="pct"/>
            <w:tcBorders>
              <w:top w:val="single" w:sz="12" w:space="0" w:color="auto"/>
              <w:bottom w:val="single" w:sz="4" w:space="0" w:color="auto"/>
            </w:tcBorders>
            <w:vAlign w:val="center"/>
          </w:tcPr>
          <w:p w14:paraId="155E4058" w14:textId="77777777" w:rsidR="00562B4D" w:rsidRPr="001D4F25" w:rsidRDefault="00562B4D" w:rsidP="0051323E">
            <w:pPr>
              <w:jc w:val="center"/>
              <w:rPr>
                <w:rFonts w:ascii="Times New Roman" w:hAnsi="Times New Roman" w:cs="Times New Roman"/>
                <w:color w:val="000000"/>
              </w:rPr>
            </w:pPr>
            <w:r w:rsidRPr="001D4F25">
              <w:rPr>
                <w:rFonts w:ascii="Times New Roman" w:hAnsi="Times New Roman" w:cs="Times New Roman"/>
                <w:color w:val="000000"/>
              </w:rPr>
              <w:t>GAI</w:t>
            </w:r>
          </w:p>
        </w:tc>
        <w:tc>
          <w:tcPr>
            <w:tcW w:w="645" w:type="pct"/>
            <w:tcBorders>
              <w:top w:val="single" w:sz="12" w:space="0" w:color="auto"/>
              <w:bottom w:val="single" w:sz="4" w:space="0" w:color="auto"/>
            </w:tcBorders>
            <w:vAlign w:val="center"/>
          </w:tcPr>
          <w:p w14:paraId="5BD7355A" w14:textId="77777777" w:rsidR="00562B4D" w:rsidRPr="001D4F25" w:rsidRDefault="00562B4D" w:rsidP="0051323E">
            <w:pPr>
              <w:jc w:val="center"/>
              <w:rPr>
                <w:rFonts w:ascii="Times New Roman" w:hAnsi="Times New Roman" w:cs="Times New Roman"/>
                <w:color w:val="000000"/>
              </w:rPr>
            </w:pPr>
            <w:r w:rsidRPr="001D4F25">
              <w:rPr>
                <w:rFonts w:ascii="Times New Roman" w:hAnsi="Times New Roman" w:cs="Times New Roman"/>
                <w:color w:val="000000"/>
              </w:rPr>
              <w:t>BAI</w:t>
            </w:r>
          </w:p>
        </w:tc>
      </w:tr>
      <w:tr w:rsidR="00562B4D" w:rsidRPr="001D4F25" w14:paraId="0283F430" w14:textId="77777777" w:rsidTr="0051323E">
        <w:trPr>
          <w:jc w:val="center"/>
        </w:trPr>
        <w:tc>
          <w:tcPr>
            <w:tcW w:w="3636" w:type="pct"/>
            <w:tcBorders>
              <w:top w:val="single" w:sz="4" w:space="0" w:color="auto"/>
            </w:tcBorders>
            <w:vAlign w:val="center"/>
          </w:tcPr>
          <w:p w14:paraId="66B56740" w14:textId="77777777" w:rsidR="00562B4D" w:rsidRPr="001D4F25" w:rsidRDefault="00562B4D" w:rsidP="0051323E">
            <w:pPr>
              <w:rPr>
                <w:rFonts w:ascii="Times New Roman" w:hAnsi="Times New Roman" w:cs="Times New Roman"/>
                <w:color w:val="000000"/>
              </w:rPr>
            </w:pPr>
            <w:r w:rsidRPr="001D4F25">
              <w:rPr>
                <w:rFonts w:ascii="Times New Roman" w:hAnsi="Times New Roman" w:cs="Times New Roman"/>
                <w:color w:val="000000"/>
              </w:rPr>
              <w:t>Total participants</w:t>
            </w:r>
          </w:p>
        </w:tc>
        <w:tc>
          <w:tcPr>
            <w:tcW w:w="719" w:type="pct"/>
            <w:tcBorders>
              <w:top w:val="single" w:sz="4" w:space="0" w:color="auto"/>
            </w:tcBorders>
            <w:vAlign w:val="center"/>
          </w:tcPr>
          <w:p w14:paraId="5846DD49" w14:textId="77777777" w:rsidR="00562B4D" w:rsidRPr="001D4F25" w:rsidDel="005825BB" w:rsidRDefault="00562B4D" w:rsidP="0051323E">
            <w:pPr>
              <w:jc w:val="center"/>
              <w:rPr>
                <w:rFonts w:ascii="Times New Roman" w:hAnsi="Times New Roman" w:cs="Times New Roman"/>
                <w:color w:val="000000"/>
              </w:rPr>
            </w:pPr>
            <w:r>
              <w:rPr>
                <w:rFonts w:ascii="Times New Roman" w:hAnsi="Times New Roman" w:cs="Times New Roman"/>
                <w:color w:val="000000"/>
              </w:rPr>
              <w:t>80</w:t>
            </w:r>
          </w:p>
        </w:tc>
        <w:tc>
          <w:tcPr>
            <w:tcW w:w="645" w:type="pct"/>
            <w:tcBorders>
              <w:top w:val="single" w:sz="4" w:space="0" w:color="auto"/>
            </w:tcBorders>
            <w:vAlign w:val="center"/>
          </w:tcPr>
          <w:p w14:paraId="31A42DF6" w14:textId="77777777" w:rsidR="00562B4D" w:rsidRPr="001D4F25" w:rsidDel="005825BB" w:rsidRDefault="00562B4D" w:rsidP="0051323E">
            <w:pPr>
              <w:jc w:val="center"/>
              <w:rPr>
                <w:rFonts w:ascii="Times New Roman" w:hAnsi="Times New Roman" w:cs="Times New Roman"/>
                <w:color w:val="000000"/>
              </w:rPr>
            </w:pPr>
            <w:r>
              <w:rPr>
                <w:rFonts w:ascii="Times New Roman" w:hAnsi="Times New Roman" w:cs="Times New Roman"/>
                <w:color w:val="000000"/>
              </w:rPr>
              <w:t>79</w:t>
            </w:r>
          </w:p>
        </w:tc>
      </w:tr>
      <w:tr w:rsidR="00562B4D" w:rsidRPr="001D4F25" w14:paraId="3E42B143" w14:textId="77777777" w:rsidTr="0051323E">
        <w:trPr>
          <w:jc w:val="center"/>
        </w:trPr>
        <w:tc>
          <w:tcPr>
            <w:tcW w:w="3636" w:type="pct"/>
            <w:vAlign w:val="center"/>
          </w:tcPr>
          <w:p w14:paraId="1B3B834C" w14:textId="77777777" w:rsidR="00562B4D" w:rsidRPr="001D4F25" w:rsidRDefault="00562B4D" w:rsidP="0051323E">
            <w:pPr>
              <w:rPr>
                <w:rFonts w:ascii="Times New Roman" w:hAnsi="Times New Roman" w:cs="Times New Roman"/>
                <w:color w:val="000000"/>
              </w:rPr>
            </w:pPr>
            <w:r w:rsidRPr="00490437">
              <w:rPr>
                <w:rFonts w:ascii="Times New Roman" w:hAnsi="Times New Roman" w:cs="Times New Roman" w:hint="eastAsia"/>
                <w:color w:val="000000"/>
              </w:rPr>
              <w:t xml:space="preserve">Participants make </w:t>
            </w:r>
            <w:r w:rsidRPr="00490437">
              <w:rPr>
                <w:rFonts w:ascii="Times New Roman" w:hAnsi="Times New Roman" w:cs="Times New Roman" w:hint="eastAsia"/>
                <w:color w:val="000000"/>
              </w:rPr>
              <w:t>≥</w:t>
            </w:r>
            <w:r w:rsidRPr="00490437">
              <w:rPr>
                <w:rFonts w:ascii="Times New Roman" w:hAnsi="Times New Roman" w:cs="Times New Roman" w:hint="eastAsia"/>
                <w:color w:val="000000"/>
              </w:rPr>
              <w:t>1 transaction</w:t>
            </w:r>
          </w:p>
        </w:tc>
        <w:tc>
          <w:tcPr>
            <w:tcW w:w="719" w:type="pct"/>
            <w:vAlign w:val="center"/>
          </w:tcPr>
          <w:p w14:paraId="5528B461" w14:textId="77777777" w:rsidR="00562B4D" w:rsidRPr="001D4F25" w:rsidDel="005825BB" w:rsidRDefault="00562B4D" w:rsidP="0051323E">
            <w:pPr>
              <w:jc w:val="center"/>
              <w:rPr>
                <w:rFonts w:ascii="Times New Roman" w:hAnsi="Times New Roman" w:cs="Times New Roman"/>
                <w:color w:val="000000"/>
              </w:rPr>
            </w:pPr>
            <w:r>
              <w:rPr>
                <w:rFonts w:ascii="Times New Roman" w:hAnsi="Times New Roman" w:cs="Times New Roman"/>
                <w:color w:val="000000"/>
              </w:rPr>
              <w:t>74</w:t>
            </w:r>
          </w:p>
        </w:tc>
        <w:tc>
          <w:tcPr>
            <w:tcW w:w="645" w:type="pct"/>
            <w:vAlign w:val="center"/>
          </w:tcPr>
          <w:p w14:paraId="159CDFCE" w14:textId="77777777" w:rsidR="00562B4D" w:rsidRPr="001D4F25" w:rsidDel="005825BB" w:rsidRDefault="00562B4D" w:rsidP="0051323E">
            <w:pPr>
              <w:jc w:val="center"/>
              <w:rPr>
                <w:rFonts w:ascii="Times New Roman" w:hAnsi="Times New Roman" w:cs="Times New Roman"/>
                <w:color w:val="000000"/>
              </w:rPr>
            </w:pPr>
            <w:r>
              <w:rPr>
                <w:rFonts w:ascii="Times New Roman" w:hAnsi="Times New Roman" w:cs="Times New Roman"/>
                <w:color w:val="000000"/>
              </w:rPr>
              <w:t>74</w:t>
            </w:r>
          </w:p>
        </w:tc>
      </w:tr>
      <w:tr w:rsidR="00562B4D" w:rsidRPr="001D4F25" w14:paraId="391D31A5" w14:textId="77777777" w:rsidTr="0051323E">
        <w:trPr>
          <w:jc w:val="center"/>
        </w:trPr>
        <w:tc>
          <w:tcPr>
            <w:tcW w:w="3636" w:type="pct"/>
            <w:vAlign w:val="center"/>
          </w:tcPr>
          <w:p w14:paraId="1F971F80" w14:textId="77777777" w:rsidR="00562B4D" w:rsidRPr="001D4F25" w:rsidRDefault="00562B4D" w:rsidP="0051323E">
            <w:pPr>
              <w:rPr>
                <w:rFonts w:ascii="Times New Roman" w:hAnsi="Times New Roman" w:cs="Times New Roman"/>
                <w:color w:val="000000"/>
              </w:rPr>
            </w:pPr>
            <w:r w:rsidRPr="001D4F25">
              <w:rPr>
                <w:rFonts w:ascii="Times New Roman" w:hAnsi="Times New Roman" w:cs="Times New Roman"/>
                <w:color w:val="000000"/>
              </w:rPr>
              <w:t>Total transactions</w:t>
            </w:r>
          </w:p>
        </w:tc>
        <w:tc>
          <w:tcPr>
            <w:tcW w:w="719" w:type="pct"/>
            <w:vAlign w:val="center"/>
          </w:tcPr>
          <w:p w14:paraId="03A021E8" w14:textId="77777777" w:rsidR="00562B4D" w:rsidRPr="001D4F25" w:rsidRDefault="00562B4D" w:rsidP="0051323E">
            <w:pPr>
              <w:jc w:val="center"/>
              <w:rPr>
                <w:rFonts w:ascii="Times New Roman" w:hAnsi="Times New Roman" w:cs="Times New Roman"/>
                <w:color w:val="000000"/>
              </w:rPr>
            </w:pPr>
            <w:r w:rsidRPr="001D4F25">
              <w:rPr>
                <w:rFonts w:ascii="Times New Roman" w:hAnsi="Times New Roman" w:cs="Times New Roman"/>
                <w:color w:val="000000"/>
              </w:rPr>
              <w:t>171</w:t>
            </w:r>
          </w:p>
        </w:tc>
        <w:tc>
          <w:tcPr>
            <w:tcW w:w="645" w:type="pct"/>
            <w:vAlign w:val="center"/>
          </w:tcPr>
          <w:p w14:paraId="314181CC" w14:textId="77777777" w:rsidR="00562B4D" w:rsidRPr="001D4F25" w:rsidRDefault="00562B4D" w:rsidP="0051323E">
            <w:pPr>
              <w:jc w:val="center"/>
              <w:rPr>
                <w:rFonts w:ascii="Times New Roman" w:hAnsi="Times New Roman" w:cs="Times New Roman"/>
                <w:color w:val="000000"/>
              </w:rPr>
            </w:pPr>
            <w:r w:rsidRPr="001D4F25">
              <w:rPr>
                <w:rFonts w:ascii="Times New Roman" w:hAnsi="Times New Roman" w:cs="Times New Roman"/>
                <w:color w:val="000000"/>
              </w:rPr>
              <w:t>212</w:t>
            </w:r>
          </w:p>
        </w:tc>
      </w:tr>
      <w:tr w:rsidR="00562B4D" w:rsidRPr="001D4F25" w14:paraId="5C10FE54" w14:textId="77777777" w:rsidTr="0051323E">
        <w:trPr>
          <w:jc w:val="center"/>
        </w:trPr>
        <w:tc>
          <w:tcPr>
            <w:tcW w:w="3636" w:type="pct"/>
            <w:tcBorders>
              <w:bottom w:val="single" w:sz="4" w:space="0" w:color="auto"/>
            </w:tcBorders>
            <w:vAlign w:val="center"/>
          </w:tcPr>
          <w:p w14:paraId="30066C2C" w14:textId="77777777" w:rsidR="00562B4D" w:rsidRPr="00495859" w:rsidRDefault="00562B4D" w:rsidP="0051323E">
            <w:pPr>
              <w:rPr>
                <w:rFonts w:ascii="Times New Roman" w:hAnsi="Times New Roman" w:cs="Times New Roman"/>
                <w:color w:val="000000"/>
              </w:rPr>
            </w:pPr>
            <w:r w:rsidRPr="00495859">
              <w:rPr>
                <w:rFonts w:ascii="Times New Roman" w:hAnsi="Times New Roman" w:cs="Times New Roman"/>
                <w:color w:val="000000"/>
              </w:rPr>
              <w:t>Participant-transaction observations</w:t>
            </w:r>
          </w:p>
        </w:tc>
        <w:tc>
          <w:tcPr>
            <w:tcW w:w="719" w:type="pct"/>
            <w:tcBorders>
              <w:bottom w:val="single" w:sz="4" w:space="0" w:color="auto"/>
            </w:tcBorders>
            <w:vAlign w:val="center"/>
          </w:tcPr>
          <w:p w14:paraId="017096AD" w14:textId="77777777" w:rsidR="00562B4D" w:rsidRPr="001D4F25" w:rsidRDefault="00562B4D" w:rsidP="0051323E">
            <w:pPr>
              <w:jc w:val="center"/>
              <w:rPr>
                <w:rFonts w:ascii="Times New Roman" w:hAnsi="Times New Roman" w:cs="Times New Roman"/>
                <w:color w:val="000000"/>
              </w:rPr>
            </w:pPr>
            <w:r w:rsidRPr="001D4F25">
              <w:rPr>
                <w:rFonts w:ascii="Times New Roman" w:hAnsi="Times New Roman" w:cs="Times New Roman"/>
                <w:color w:val="000000"/>
              </w:rPr>
              <w:t>263</w:t>
            </w:r>
          </w:p>
        </w:tc>
        <w:tc>
          <w:tcPr>
            <w:tcW w:w="645" w:type="pct"/>
            <w:tcBorders>
              <w:bottom w:val="single" w:sz="4" w:space="0" w:color="auto"/>
            </w:tcBorders>
            <w:vAlign w:val="center"/>
          </w:tcPr>
          <w:p w14:paraId="57511149" w14:textId="77777777" w:rsidR="00562B4D" w:rsidRPr="001D4F25" w:rsidRDefault="00562B4D" w:rsidP="0051323E">
            <w:pPr>
              <w:jc w:val="center"/>
              <w:rPr>
                <w:rFonts w:ascii="Times New Roman" w:hAnsi="Times New Roman" w:cs="Times New Roman"/>
                <w:color w:val="000000"/>
              </w:rPr>
            </w:pPr>
            <w:r w:rsidRPr="001D4F25">
              <w:rPr>
                <w:rFonts w:ascii="Times New Roman" w:hAnsi="Times New Roman" w:cs="Times New Roman"/>
                <w:color w:val="000000"/>
              </w:rPr>
              <w:t>326</w:t>
            </w:r>
          </w:p>
        </w:tc>
      </w:tr>
      <w:tr w:rsidR="00562B4D" w:rsidRPr="001D4F25" w14:paraId="383E7126" w14:textId="77777777" w:rsidTr="0051323E">
        <w:trPr>
          <w:jc w:val="center"/>
        </w:trPr>
        <w:tc>
          <w:tcPr>
            <w:tcW w:w="3636" w:type="pct"/>
            <w:tcBorders>
              <w:top w:val="single" w:sz="4" w:space="0" w:color="auto"/>
            </w:tcBorders>
            <w:vAlign w:val="center"/>
          </w:tcPr>
          <w:p w14:paraId="12F9B589" w14:textId="77777777" w:rsidR="00562B4D" w:rsidRPr="00B5784A" w:rsidRDefault="00562B4D" w:rsidP="0051323E">
            <w:pPr>
              <w:rPr>
                <w:rFonts w:ascii="Times New Roman" w:hAnsi="Times New Roman" w:cs="Times New Roman"/>
                <w:color w:val="000000"/>
                <w:vertAlign w:val="superscript"/>
              </w:rPr>
            </w:pPr>
            <w:r w:rsidRPr="001E6AF4">
              <w:rPr>
                <w:rFonts w:ascii="Times New Roman" w:hAnsi="Times New Roman" w:cs="Times New Roman"/>
                <w:color w:val="000000"/>
              </w:rPr>
              <w:t>Observations with offers deviating from the reference value</w:t>
            </w:r>
            <w:r>
              <w:rPr>
                <w:rFonts w:ascii="Times New Roman" w:hAnsi="Times New Roman" w:cs="Times New Roman"/>
                <w:color w:val="000000"/>
                <w:vertAlign w:val="superscript"/>
              </w:rPr>
              <w:t>1</w:t>
            </w:r>
          </w:p>
        </w:tc>
        <w:tc>
          <w:tcPr>
            <w:tcW w:w="719" w:type="pct"/>
            <w:tcBorders>
              <w:top w:val="single" w:sz="4" w:space="0" w:color="auto"/>
            </w:tcBorders>
            <w:vAlign w:val="center"/>
          </w:tcPr>
          <w:p w14:paraId="10B5F428" w14:textId="77777777" w:rsidR="00562B4D" w:rsidRPr="001D4F25" w:rsidRDefault="00562B4D" w:rsidP="0051323E">
            <w:pPr>
              <w:jc w:val="center"/>
              <w:rPr>
                <w:rFonts w:ascii="Times New Roman" w:hAnsi="Times New Roman" w:cs="Times New Roman"/>
                <w:color w:val="000000"/>
              </w:rPr>
            </w:pPr>
            <w:r>
              <w:rPr>
                <w:rFonts w:ascii="Times New Roman" w:hAnsi="Times New Roman" w:cs="Times New Roman"/>
                <w:color w:val="000000"/>
              </w:rPr>
              <w:t>142(56)</w:t>
            </w:r>
          </w:p>
        </w:tc>
        <w:tc>
          <w:tcPr>
            <w:tcW w:w="645" w:type="pct"/>
            <w:tcBorders>
              <w:top w:val="single" w:sz="4" w:space="0" w:color="auto"/>
            </w:tcBorders>
            <w:vAlign w:val="center"/>
          </w:tcPr>
          <w:p w14:paraId="2F645C87" w14:textId="77777777" w:rsidR="00562B4D" w:rsidRPr="001D4F25" w:rsidRDefault="00562B4D" w:rsidP="0051323E">
            <w:pPr>
              <w:jc w:val="center"/>
              <w:rPr>
                <w:rFonts w:ascii="Times New Roman" w:hAnsi="Times New Roman" w:cs="Times New Roman"/>
                <w:color w:val="000000"/>
              </w:rPr>
            </w:pPr>
            <w:r>
              <w:rPr>
                <w:rFonts w:ascii="Times New Roman" w:hAnsi="Times New Roman" w:cs="Times New Roman"/>
                <w:color w:val="000000"/>
              </w:rPr>
              <w:t>213(67)</w:t>
            </w:r>
          </w:p>
        </w:tc>
      </w:tr>
      <w:tr w:rsidR="00562B4D" w:rsidRPr="001D4F25" w14:paraId="7E85C9B7" w14:textId="77777777" w:rsidTr="0051323E">
        <w:trPr>
          <w:jc w:val="center"/>
        </w:trPr>
        <w:tc>
          <w:tcPr>
            <w:tcW w:w="3636" w:type="pct"/>
            <w:vAlign w:val="center"/>
          </w:tcPr>
          <w:p w14:paraId="4E878AEE" w14:textId="77777777" w:rsidR="00562B4D" w:rsidRPr="00B5784A" w:rsidRDefault="00562B4D" w:rsidP="0051323E">
            <w:pPr>
              <w:pStyle w:val="ListParagraph"/>
              <w:rPr>
                <w:rFonts w:ascii="Times New Roman" w:hAnsi="Times New Roman" w:cs="Times New Roman"/>
                <w:color w:val="000000"/>
              </w:rPr>
            </w:pPr>
            <w:r w:rsidRPr="00B5784A">
              <w:rPr>
                <w:rFonts w:ascii="Times New Roman" w:hAnsi="Times New Roman" w:cs="Times New Roman"/>
                <w:color w:val="000000"/>
              </w:rPr>
              <w:t>Asked AI in the same period</w:t>
            </w:r>
          </w:p>
        </w:tc>
        <w:tc>
          <w:tcPr>
            <w:tcW w:w="719" w:type="pct"/>
            <w:vAlign w:val="center"/>
          </w:tcPr>
          <w:p w14:paraId="40E9BB48"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33</w:t>
            </w:r>
          </w:p>
        </w:tc>
        <w:tc>
          <w:tcPr>
            <w:tcW w:w="645" w:type="pct"/>
            <w:vAlign w:val="center"/>
          </w:tcPr>
          <w:p w14:paraId="61C2856E"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71</w:t>
            </w:r>
          </w:p>
        </w:tc>
      </w:tr>
      <w:tr w:rsidR="00562B4D" w:rsidRPr="001D4F25" w14:paraId="3A78E0E2" w14:textId="77777777" w:rsidTr="0051323E">
        <w:trPr>
          <w:jc w:val="center"/>
        </w:trPr>
        <w:tc>
          <w:tcPr>
            <w:tcW w:w="3636" w:type="pct"/>
            <w:vAlign w:val="center"/>
          </w:tcPr>
          <w:p w14:paraId="6D985BE0" w14:textId="77777777" w:rsidR="00562B4D" w:rsidRPr="00B5784A" w:rsidRDefault="00562B4D" w:rsidP="0051323E">
            <w:pPr>
              <w:pStyle w:val="ListParagraph"/>
              <w:rPr>
                <w:rFonts w:ascii="Times New Roman" w:hAnsi="Times New Roman" w:cs="Times New Roman"/>
                <w:color w:val="000000"/>
              </w:rPr>
            </w:pPr>
            <w:r w:rsidRPr="00B5784A">
              <w:rPr>
                <w:rFonts w:ascii="Times New Roman" w:hAnsi="Times New Roman" w:cs="Times New Roman"/>
                <w:color w:val="000000"/>
              </w:rPr>
              <w:t>Asked AI in a previous period</w:t>
            </w:r>
          </w:p>
        </w:tc>
        <w:tc>
          <w:tcPr>
            <w:tcW w:w="719" w:type="pct"/>
            <w:vAlign w:val="center"/>
          </w:tcPr>
          <w:p w14:paraId="09099DE2"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96</w:t>
            </w:r>
          </w:p>
        </w:tc>
        <w:tc>
          <w:tcPr>
            <w:tcW w:w="645" w:type="pct"/>
            <w:vAlign w:val="center"/>
          </w:tcPr>
          <w:p w14:paraId="50FAA42B"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115</w:t>
            </w:r>
          </w:p>
        </w:tc>
      </w:tr>
      <w:tr w:rsidR="00562B4D" w:rsidRPr="001D4F25" w14:paraId="369B340C" w14:textId="77777777" w:rsidTr="0051323E">
        <w:trPr>
          <w:jc w:val="center"/>
        </w:trPr>
        <w:tc>
          <w:tcPr>
            <w:tcW w:w="3636" w:type="pct"/>
            <w:vAlign w:val="center"/>
          </w:tcPr>
          <w:p w14:paraId="4A582115" w14:textId="77777777" w:rsidR="00562B4D" w:rsidRPr="00B5784A" w:rsidRDefault="00562B4D" w:rsidP="0051323E">
            <w:pPr>
              <w:pStyle w:val="ListParagraph"/>
              <w:rPr>
                <w:rFonts w:ascii="Times New Roman" w:hAnsi="Times New Roman" w:cs="Times New Roman"/>
                <w:color w:val="000000"/>
              </w:rPr>
            </w:pPr>
            <w:r w:rsidRPr="00B5784A">
              <w:rPr>
                <w:rFonts w:ascii="Times New Roman" w:hAnsi="Times New Roman" w:cs="Times New Roman"/>
                <w:color w:val="000000"/>
              </w:rPr>
              <w:t>No prior AI interaction</w:t>
            </w:r>
          </w:p>
        </w:tc>
        <w:tc>
          <w:tcPr>
            <w:tcW w:w="719" w:type="pct"/>
            <w:vAlign w:val="center"/>
          </w:tcPr>
          <w:p w14:paraId="31F9FA72"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13</w:t>
            </w:r>
          </w:p>
        </w:tc>
        <w:tc>
          <w:tcPr>
            <w:tcW w:w="645" w:type="pct"/>
            <w:vAlign w:val="center"/>
          </w:tcPr>
          <w:p w14:paraId="5E09BCC2"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27</w:t>
            </w:r>
          </w:p>
        </w:tc>
      </w:tr>
      <w:tr w:rsidR="00562B4D" w:rsidRPr="001D4F25" w14:paraId="7985EBCA" w14:textId="77777777" w:rsidTr="0051323E">
        <w:trPr>
          <w:jc w:val="center"/>
        </w:trPr>
        <w:tc>
          <w:tcPr>
            <w:tcW w:w="3636" w:type="pct"/>
            <w:vAlign w:val="center"/>
          </w:tcPr>
          <w:p w14:paraId="7B287477" w14:textId="77777777" w:rsidR="00562B4D" w:rsidRPr="001D4F25" w:rsidRDefault="00562B4D" w:rsidP="0051323E">
            <w:pPr>
              <w:rPr>
                <w:rFonts w:ascii="Times New Roman" w:hAnsi="Times New Roman" w:cs="Times New Roman"/>
                <w:color w:val="000000"/>
              </w:rPr>
            </w:pPr>
            <w:r w:rsidRPr="001E6AF4">
              <w:rPr>
                <w:rFonts w:ascii="Times New Roman" w:hAnsi="Times New Roman" w:cs="Times New Roman"/>
                <w:color w:val="000000"/>
              </w:rPr>
              <w:t>Observations with extreme deviations (&gt;90%) from the reference value</w:t>
            </w:r>
          </w:p>
        </w:tc>
        <w:tc>
          <w:tcPr>
            <w:tcW w:w="719" w:type="pct"/>
            <w:vAlign w:val="center"/>
          </w:tcPr>
          <w:p w14:paraId="5A08FDB4"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17(6)</w:t>
            </w:r>
          </w:p>
        </w:tc>
        <w:tc>
          <w:tcPr>
            <w:tcW w:w="645" w:type="pct"/>
            <w:vAlign w:val="center"/>
          </w:tcPr>
          <w:p w14:paraId="25F9C1A0"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87(43)</w:t>
            </w:r>
          </w:p>
        </w:tc>
      </w:tr>
      <w:tr w:rsidR="00562B4D" w:rsidRPr="001D4F25" w14:paraId="21EDC6C8" w14:textId="77777777" w:rsidTr="0051323E">
        <w:trPr>
          <w:jc w:val="center"/>
        </w:trPr>
        <w:tc>
          <w:tcPr>
            <w:tcW w:w="3636" w:type="pct"/>
            <w:vAlign w:val="center"/>
          </w:tcPr>
          <w:p w14:paraId="21B3AE54" w14:textId="77777777" w:rsidR="00562B4D" w:rsidRPr="0000663E" w:rsidRDefault="00562B4D" w:rsidP="0051323E">
            <w:pPr>
              <w:pStyle w:val="ListParagraph"/>
              <w:rPr>
                <w:rFonts w:ascii="Times New Roman" w:hAnsi="Times New Roman" w:cs="Times New Roman"/>
                <w:color w:val="000000"/>
              </w:rPr>
            </w:pPr>
            <w:r w:rsidRPr="0000663E">
              <w:rPr>
                <w:rFonts w:ascii="Times New Roman" w:hAnsi="Times New Roman" w:cs="Times New Roman"/>
                <w:color w:val="000000"/>
              </w:rPr>
              <w:t>Asked AI in the same period</w:t>
            </w:r>
          </w:p>
        </w:tc>
        <w:tc>
          <w:tcPr>
            <w:tcW w:w="719" w:type="pct"/>
            <w:vAlign w:val="center"/>
          </w:tcPr>
          <w:p w14:paraId="05338F6E" w14:textId="77777777" w:rsidR="00562B4D" w:rsidRDefault="00562B4D" w:rsidP="0051323E">
            <w:pPr>
              <w:jc w:val="center"/>
              <w:rPr>
                <w:rFonts w:ascii="Times New Roman" w:hAnsi="Times New Roman" w:cs="Times New Roman"/>
                <w:color w:val="000000"/>
              </w:rPr>
            </w:pPr>
          </w:p>
        </w:tc>
        <w:tc>
          <w:tcPr>
            <w:tcW w:w="645" w:type="pct"/>
            <w:vAlign w:val="center"/>
          </w:tcPr>
          <w:p w14:paraId="26122A4E"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39(26)</w:t>
            </w:r>
          </w:p>
        </w:tc>
      </w:tr>
      <w:tr w:rsidR="00562B4D" w:rsidRPr="001D4F25" w14:paraId="778187DE" w14:textId="77777777" w:rsidTr="0051323E">
        <w:trPr>
          <w:jc w:val="center"/>
        </w:trPr>
        <w:tc>
          <w:tcPr>
            <w:tcW w:w="3636" w:type="pct"/>
            <w:vAlign w:val="center"/>
          </w:tcPr>
          <w:p w14:paraId="39EFB555" w14:textId="77777777" w:rsidR="00562B4D" w:rsidRPr="0000663E" w:rsidRDefault="00562B4D" w:rsidP="0051323E">
            <w:pPr>
              <w:pStyle w:val="ListParagraph"/>
              <w:rPr>
                <w:rFonts w:ascii="Times New Roman" w:hAnsi="Times New Roman" w:cs="Times New Roman"/>
                <w:color w:val="000000"/>
              </w:rPr>
            </w:pPr>
            <w:r w:rsidRPr="0000663E">
              <w:rPr>
                <w:rFonts w:ascii="Times New Roman" w:hAnsi="Times New Roman" w:cs="Times New Roman"/>
                <w:color w:val="000000"/>
              </w:rPr>
              <w:t>Asked AI in a previous period</w:t>
            </w:r>
          </w:p>
        </w:tc>
        <w:tc>
          <w:tcPr>
            <w:tcW w:w="719" w:type="pct"/>
            <w:vAlign w:val="center"/>
          </w:tcPr>
          <w:p w14:paraId="3C0C4D14" w14:textId="77777777" w:rsidR="00562B4D" w:rsidRDefault="00562B4D" w:rsidP="0051323E">
            <w:pPr>
              <w:jc w:val="center"/>
              <w:rPr>
                <w:rFonts w:ascii="Times New Roman" w:hAnsi="Times New Roman" w:cs="Times New Roman"/>
                <w:color w:val="000000"/>
              </w:rPr>
            </w:pPr>
          </w:p>
        </w:tc>
        <w:tc>
          <w:tcPr>
            <w:tcW w:w="645" w:type="pct"/>
            <w:vAlign w:val="center"/>
          </w:tcPr>
          <w:p w14:paraId="3EF5D1E1"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36(25)</w:t>
            </w:r>
          </w:p>
        </w:tc>
      </w:tr>
      <w:tr w:rsidR="00562B4D" w:rsidRPr="001D4F25" w14:paraId="59EF5710" w14:textId="77777777" w:rsidTr="0051323E">
        <w:trPr>
          <w:jc w:val="center"/>
        </w:trPr>
        <w:tc>
          <w:tcPr>
            <w:tcW w:w="3636" w:type="pct"/>
            <w:vAlign w:val="center"/>
          </w:tcPr>
          <w:p w14:paraId="3F463567" w14:textId="77777777" w:rsidR="00562B4D" w:rsidRPr="0000663E" w:rsidRDefault="00562B4D" w:rsidP="0051323E">
            <w:pPr>
              <w:pStyle w:val="ListParagraph"/>
              <w:rPr>
                <w:rFonts w:ascii="Times New Roman" w:hAnsi="Times New Roman" w:cs="Times New Roman"/>
                <w:color w:val="000000"/>
              </w:rPr>
            </w:pPr>
            <w:r w:rsidRPr="0000663E">
              <w:rPr>
                <w:rFonts w:ascii="Times New Roman" w:hAnsi="Times New Roman" w:cs="Times New Roman"/>
                <w:color w:val="000000"/>
              </w:rPr>
              <w:t>No prior AI interaction</w:t>
            </w:r>
          </w:p>
        </w:tc>
        <w:tc>
          <w:tcPr>
            <w:tcW w:w="719" w:type="pct"/>
            <w:vAlign w:val="center"/>
          </w:tcPr>
          <w:p w14:paraId="037B7DAC" w14:textId="77777777" w:rsidR="00562B4D" w:rsidRDefault="00562B4D" w:rsidP="0051323E">
            <w:pPr>
              <w:jc w:val="center"/>
              <w:rPr>
                <w:rFonts w:ascii="Times New Roman" w:hAnsi="Times New Roman" w:cs="Times New Roman"/>
                <w:color w:val="000000"/>
              </w:rPr>
            </w:pPr>
          </w:p>
        </w:tc>
        <w:tc>
          <w:tcPr>
            <w:tcW w:w="645" w:type="pct"/>
            <w:vAlign w:val="center"/>
          </w:tcPr>
          <w:p w14:paraId="3390ED60"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12(6)</w:t>
            </w:r>
          </w:p>
        </w:tc>
      </w:tr>
      <w:tr w:rsidR="00562B4D" w:rsidRPr="001D4F25" w14:paraId="09E50EE5" w14:textId="77777777" w:rsidTr="0051323E">
        <w:trPr>
          <w:jc w:val="center"/>
        </w:trPr>
        <w:tc>
          <w:tcPr>
            <w:tcW w:w="3636" w:type="pct"/>
            <w:vAlign w:val="center"/>
          </w:tcPr>
          <w:p w14:paraId="4DEBDCD3" w14:textId="77777777" w:rsidR="00562B4D" w:rsidRPr="003C1790" w:rsidRDefault="00562B4D" w:rsidP="0051323E">
            <w:pPr>
              <w:rPr>
                <w:rFonts w:ascii="Times New Roman" w:hAnsi="Times New Roman" w:cs="Times New Roman"/>
                <w:color w:val="000000"/>
              </w:rPr>
            </w:pPr>
            <w:r w:rsidRPr="001E6AF4">
              <w:rPr>
                <w:rFonts w:ascii="Times New Roman" w:hAnsi="Times New Roman" w:cs="Times New Roman"/>
                <w:color w:val="000000"/>
              </w:rPr>
              <w:t>Observations with extreme deviations (&gt;75%) from the reference value</w:t>
            </w:r>
          </w:p>
        </w:tc>
        <w:tc>
          <w:tcPr>
            <w:tcW w:w="719" w:type="pct"/>
            <w:vAlign w:val="center"/>
          </w:tcPr>
          <w:p w14:paraId="6C836696"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25(11)</w:t>
            </w:r>
          </w:p>
        </w:tc>
        <w:tc>
          <w:tcPr>
            <w:tcW w:w="645" w:type="pct"/>
            <w:vAlign w:val="center"/>
          </w:tcPr>
          <w:p w14:paraId="080383D4" w14:textId="77777777" w:rsidR="00562B4D" w:rsidRDefault="00562B4D" w:rsidP="0051323E">
            <w:pPr>
              <w:jc w:val="center"/>
              <w:rPr>
                <w:rFonts w:ascii="Times New Roman" w:hAnsi="Times New Roman" w:cs="Times New Roman"/>
                <w:color w:val="000000"/>
              </w:rPr>
            </w:pPr>
          </w:p>
        </w:tc>
      </w:tr>
      <w:tr w:rsidR="00562B4D" w:rsidRPr="001D4F25" w14:paraId="274AEB9D" w14:textId="77777777" w:rsidTr="0051323E">
        <w:trPr>
          <w:jc w:val="center"/>
        </w:trPr>
        <w:tc>
          <w:tcPr>
            <w:tcW w:w="3636" w:type="pct"/>
            <w:vAlign w:val="center"/>
          </w:tcPr>
          <w:p w14:paraId="3379277B" w14:textId="77777777" w:rsidR="00562B4D" w:rsidRPr="002A6642" w:rsidRDefault="00562B4D" w:rsidP="0051323E">
            <w:pPr>
              <w:pStyle w:val="ListParagraph"/>
              <w:rPr>
                <w:rFonts w:ascii="Times New Roman" w:hAnsi="Times New Roman" w:cs="Times New Roman"/>
                <w:color w:val="000000"/>
              </w:rPr>
            </w:pPr>
            <w:r w:rsidRPr="00B5784A">
              <w:rPr>
                <w:rFonts w:ascii="Times New Roman" w:hAnsi="Times New Roman" w:cs="Times New Roman"/>
                <w:color w:val="000000"/>
              </w:rPr>
              <w:t>Asked AI in the same period</w:t>
            </w:r>
          </w:p>
        </w:tc>
        <w:tc>
          <w:tcPr>
            <w:tcW w:w="719" w:type="pct"/>
            <w:vAlign w:val="center"/>
          </w:tcPr>
          <w:p w14:paraId="49EC6DAE"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6(5)</w:t>
            </w:r>
          </w:p>
        </w:tc>
        <w:tc>
          <w:tcPr>
            <w:tcW w:w="645" w:type="pct"/>
            <w:vAlign w:val="center"/>
          </w:tcPr>
          <w:p w14:paraId="0E387771" w14:textId="77777777" w:rsidR="00562B4D" w:rsidRDefault="00562B4D" w:rsidP="0051323E">
            <w:pPr>
              <w:jc w:val="center"/>
              <w:rPr>
                <w:rFonts w:ascii="Times New Roman" w:hAnsi="Times New Roman" w:cs="Times New Roman"/>
                <w:color w:val="000000"/>
              </w:rPr>
            </w:pPr>
          </w:p>
        </w:tc>
      </w:tr>
      <w:tr w:rsidR="00562B4D" w:rsidRPr="001D4F25" w14:paraId="4E12B2AB" w14:textId="77777777" w:rsidTr="0051323E">
        <w:trPr>
          <w:trHeight w:val="146"/>
          <w:jc w:val="center"/>
        </w:trPr>
        <w:tc>
          <w:tcPr>
            <w:tcW w:w="3636" w:type="pct"/>
            <w:vAlign w:val="center"/>
          </w:tcPr>
          <w:p w14:paraId="003DBD68" w14:textId="77777777" w:rsidR="00562B4D" w:rsidRPr="002A6642" w:rsidRDefault="00562B4D" w:rsidP="0051323E">
            <w:pPr>
              <w:pStyle w:val="ListParagraph"/>
              <w:rPr>
                <w:rFonts w:ascii="Times New Roman" w:hAnsi="Times New Roman" w:cs="Times New Roman"/>
                <w:color w:val="000000"/>
              </w:rPr>
            </w:pPr>
            <w:r w:rsidRPr="002A6642">
              <w:rPr>
                <w:rFonts w:ascii="Times New Roman" w:hAnsi="Times New Roman" w:cs="Times New Roman"/>
                <w:color w:val="000000"/>
              </w:rPr>
              <w:t>Asked AI in a previous period</w:t>
            </w:r>
          </w:p>
        </w:tc>
        <w:tc>
          <w:tcPr>
            <w:tcW w:w="719" w:type="pct"/>
            <w:vAlign w:val="center"/>
          </w:tcPr>
          <w:p w14:paraId="5B97EA50"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17(7)</w:t>
            </w:r>
          </w:p>
        </w:tc>
        <w:tc>
          <w:tcPr>
            <w:tcW w:w="645" w:type="pct"/>
            <w:vAlign w:val="center"/>
          </w:tcPr>
          <w:p w14:paraId="6E04ED5B" w14:textId="77777777" w:rsidR="00562B4D" w:rsidRDefault="00562B4D" w:rsidP="0051323E">
            <w:pPr>
              <w:jc w:val="center"/>
              <w:rPr>
                <w:rFonts w:ascii="Times New Roman" w:hAnsi="Times New Roman" w:cs="Times New Roman"/>
                <w:color w:val="000000"/>
              </w:rPr>
            </w:pPr>
          </w:p>
        </w:tc>
      </w:tr>
      <w:tr w:rsidR="00562B4D" w:rsidRPr="001D4F25" w14:paraId="0C1F975F" w14:textId="77777777" w:rsidTr="0051323E">
        <w:trPr>
          <w:jc w:val="center"/>
        </w:trPr>
        <w:tc>
          <w:tcPr>
            <w:tcW w:w="3636" w:type="pct"/>
            <w:tcBorders>
              <w:bottom w:val="single" w:sz="12" w:space="0" w:color="auto"/>
            </w:tcBorders>
            <w:vAlign w:val="center"/>
          </w:tcPr>
          <w:p w14:paraId="3E5D38A4" w14:textId="77777777" w:rsidR="00562B4D" w:rsidRPr="002A6642" w:rsidRDefault="00562B4D" w:rsidP="0051323E">
            <w:pPr>
              <w:pStyle w:val="ListParagraph"/>
              <w:rPr>
                <w:rFonts w:ascii="Times New Roman" w:hAnsi="Times New Roman" w:cs="Times New Roman"/>
                <w:color w:val="000000"/>
              </w:rPr>
            </w:pPr>
            <w:r w:rsidRPr="0000663E">
              <w:rPr>
                <w:rFonts w:ascii="Times New Roman" w:hAnsi="Times New Roman" w:cs="Times New Roman"/>
                <w:color w:val="000000"/>
              </w:rPr>
              <w:t>No prior AI interaction</w:t>
            </w:r>
          </w:p>
        </w:tc>
        <w:tc>
          <w:tcPr>
            <w:tcW w:w="719" w:type="pct"/>
            <w:tcBorders>
              <w:bottom w:val="single" w:sz="12" w:space="0" w:color="auto"/>
            </w:tcBorders>
            <w:vAlign w:val="center"/>
          </w:tcPr>
          <w:p w14:paraId="1952C259" w14:textId="77777777" w:rsidR="00562B4D" w:rsidRDefault="00562B4D" w:rsidP="0051323E">
            <w:pPr>
              <w:jc w:val="center"/>
              <w:rPr>
                <w:rFonts w:ascii="Times New Roman" w:hAnsi="Times New Roman" w:cs="Times New Roman"/>
                <w:color w:val="000000"/>
              </w:rPr>
            </w:pPr>
            <w:r>
              <w:rPr>
                <w:rFonts w:ascii="Times New Roman" w:hAnsi="Times New Roman" w:cs="Times New Roman"/>
                <w:color w:val="000000"/>
              </w:rPr>
              <w:t>2(2)</w:t>
            </w:r>
          </w:p>
        </w:tc>
        <w:tc>
          <w:tcPr>
            <w:tcW w:w="645" w:type="pct"/>
            <w:tcBorders>
              <w:bottom w:val="single" w:sz="12" w:space="0" w:color="auto"/>
            </w:tcBorders>
            <w:vAlign w:val="center"/>
          </w:tcPr>
          <w:p w14:paraId="16F690D9" w14:textId="77777777" w:rsidR="00562B4D" w:rsidRDefault="00562B4D" w:rsidP="0051323E">
            <w:pPr>
              <w:jc w:val="center"/>
              <w:rPr>
                <w:rFonts w:ascii="Times New Roman" w:hAnsi="Times New Roman" w:cs="Times New Roman"/>
                <w:color w:val="000000"/>
              </w:rPr>
            </w:pPr>
          </w:p>
        </w:tc>
      </w:tr>
      <w:tr w:rsidR="00562B4D" w:rsidRPr="001D4F25" w14:paraId="757309EC" w14:textId="77777777" w:rsidTr="0051323E">
        <w:trPr>
          <w:jc w:val="center"/>
        </w:trPr>
        <w:tc>
          <w:tcPr>
            <w:tcW w:w="5000" w:type="pct"/>
            <w:gridSpan w:val="3"/>
            <w:tcBorders>
              <w:top w:val="single" w:sz="12" w:space="0" w:color="auto"/>
            </w:tcBorders>
            <w:vAlign w:val="center"/>
          </w:tcPr>
          <w:p w14:paraId="32FED661" w14:textId="77777777" w:rsidR="00562B4D" w:rsidRPr="00495859" w:rsidRDefault="00562B4D" w:rsidP="00423BA1">
            <w:pPr>
              <w:spacing w:after="160"/>
              <w:jc w:val="both"/>
              <w:rPr>
                <w:rFonts w:ascii="Times New Roman" w:hAnsi="Times New Roman" w:cs="Times New Roman"/>
                <w:color w:val="000000"/>
              </w:rPr>
            </w:pPr>
            <w:r w:rsidRPr="00423BA1">
              <w:rPr>
                <w:rFonts w:ascii="Times New Roman" w:eastAsia="Times New Roman" w:hAnsi="Times New Roman" w:cs="Times New Roman"/>
                <w:kern w:val="0"/>
                <w:sz w:val="20"/>
                <w:szCs w:val="20"/>
                <w:vertAlign w:val="superscript"/>
                <w:lang w:eastAsia="es-CL"/>
                <w14:ligatures w14:val="none"/>
              </w:rPr>
              <w:t>1</w:t>
            </w:r>
            <w:r w:rsidRPr="00423BA1">
              <w:rPr>
                <w:rFonts w:ascii="Times New Roman" w:eastAsia="Times New Roman" w:hAnsi="Times New Roman" w:cs="Times New Roman"/>
                <w:kern w:val="0"/>
                <w:sz w:val="20"/>
                <w:szCs w:val="20"/>
                <w:lang w:eastAsia="es-CL"/>
                <w14:ligatures w14:val="none"/>
              </w:rPr>
              <w:t xml:space="preserve"> The reference value is FV in GAI and BV in BAI. The values ​​represent participant-transaction observations. The number of participants generating these observations is included in parentheses.</w:t>
            </w:r>
          </w:p>
        </w:tc>
      </w:tr>
    </w:tbl>
    <w:p w14:paraId="03937971" w14:textId="27688F42" w:rsidR="00562B4D" w:rsidRPr="007517D0" w:rsidRDefault="00562B4D" w:rsidP="00FD3EAD">
      <w:pPr>
        <w:spacing w:line="360" w:lineRule="auto"/>
        <w:ind w:firstLine="720"/>
        <w:jc w:val="both"/>
        <w:rPr>
          <w:rFonts w:ascii="Times New Roman" w:hAnsi="Times New Roman" w:cs="Times New Roman"/>
          <w:color w:val="000000"/>
          <w:highlight w:val="yellow"/>
        </w:rPr>
      </w:pPr>
      <w:r w:rsidRPr="00452DA7">
        <w:rPr>
          <w:rFonts w:ascii="Times New Roman" w:hAnsi="Times New Roman" w:cs="Times New Roman"/>
          <w:color w:val="000000"/>
        </w:rPr>
        <w:t>In the BAI treatment, we examined offers that deviated from the BV by more than 90%.</w:t>
      </w:r>
      <w:r w:rsidR="002F2113">
        <w:rPr>
          <w:rStyle w:val="FootnoteReference"/>
          <w:rFonts w:ascii="Times New Roman" w:hAnsi="Times New Roman" w:cs="Times New Roman"/>
          <w:color w:val="000000"/>
        </w:rPr>
        <w:footnoteReference w:id="13"/>
      </w:r>
      <w:r w:rsidRPr="00452DA7">
        <w:rPr>
          <w:rFonts w:ascii="Times New Roman" w:hAnsi="Times New Roman" w:cs="Times New Roman"/>
          <w:color w:val="000000"/>
        </w:rPr>
        <w:t xml:space="preserve"> This generated a considerably larger number of observations than </w:t>
      </w:r>
      <w:r>
        <w:rPr>
          <w:rFonts w:ascii="Times New Roman" w:hAnsi="Times New Roman" w:cs="Times New Roman"/>
          <w:color w:val="000000"/>
        </w:rPr>
        <w:t>in GAI, even though a wider</w:t>
      </w:r>
      <w:r w:rsidRPr="00452DA7">
        <w:rPr>
          <w:rFonts w:ascii="Times New Roman" w:hAnsi="Times New Roman" w:cs="Times New Roman"/>
          <w:color w:val="000000"/>
        </w:rPr>
        <w:t xml:space="preserve"> deviation range was considered. These offers were mostly made by participants who had previously consulted AI and were primarily </w:t>
      </w:r>
      <w:proofErr w:type="gramStart"/>
      <w:r>
        <w:rPr>
          <w:rFonts w:ascii="Times New Roman" w:hAnsi="Times New Roman" w:cs="Times New Roman"/>
          <w:color w:val="000000"/>
        </w:rPr>
        <w:t>buy</w:t>
      </w:r>
      <w:proofErr w:type="gramEnd"/>
      <w:r w:rsidRPr="00452DA7">
        <w:rPr>
          <w:rFonts w:ascii="Times New Roman" w:hAnsi="Times New Roman" w:cs="Times New Roman"/>
          <w:color w:val="000000"/>
        </w:rPr>
        <w:t xml:space="preserve"> offers, with only 5 being sell offers. Analysis of the advice received showed that all the sell offers received advice consistent with the BV, which was not followed. In contrast, the advice received by </w:t>
      </w:r>
      <w:proofErr w:type="gramStart"/>
      <w:r w:rsidRPr="00452DA7">
        <w:rPr>
          <w:rFonts w:ascii="Times New Roman" w:hAnsi="Times New Roman" w:cs="Times New Roman"/>
          <w:color w:val="000000"/>
        </w:rPr>
        <w:t>participants</w:t>
      </w:r>
      <w:proofErr w:type="gramEnd"/>
      <w:r w:rsidRPr="00452DA7">
        <w:rPr>
          <w:rFonts w:ascii="Times New Roman" w:hAnsi="Times New Roman" w:cs="Times New Roman"/>
          <w:color w:val="000000"/>
        </w:rPr>
        <w:t xml:space="preserve"> making their </w:t>
      </w:r>
      <w:proofErr w:type="gramStart"/>
      <w:r>
        <w:rPr>
          <w:rFonts w:ascii="Times New Roman" w:hAnsi="Times New Roman" w:cs="Times New Roman"/>
          <w:color w:val="000000"/>
        </w:rPr>
        <w:t>buy</w:t>
      </w:r>
      <w:proofErr w:type="gramEnd"/>
      <w:r w:rsidRPr="00452DA7">
        <w:rPr>
          <w:rFonts w:ascii="Times New Roman" w:hAnsi="Times New Roman" w:cs="Times New Roman"/>
          <w:color w:val="000000"/>
        </w:rPr>
        <w:t xml:space="preserve"> offers was diverse. Approximately a quarter of the offers received advice only associated with the BV, while the majority received advice associated with the "other" category, either by not including references, including references to both FV and BV, or presenting contradictory advice.</w:t>
      </w:r>
      <w:r w:rsidRPr="00A31B4D">
        <w:t xml:space="preserve"> </w:t>
      </w:r>
      <w:r w:rsidRPr="00A31B4D">
        <w:rPr>
          <w:rFonts w:ascii="Times New Roman" w:hAnsi="Times New Roman" w:cs="Times New Roman"/>
          <w:color w:val="000000"/>
        </w:rPr>
        <w:t xml:space="preserve">Finally, a smaller fraction received </w:t>
      </w:r>
      <w:r>
        <w:rPr>
          <w:rFonts w:ascii="Times New Roman" w:hAnsi="Times New Roman" w:cs="Times New Roman"/>
          <w:color w:val="000000"/>
        </w:rPr>
        <w:t>advice</w:t>
      </w:r>
      <w:r w:rsidRPr="00A31B4D">
        <w:rPr>
          <w:rFonts w:ascii="Times New Roman" w:hAnsi="Times New Roman" w:cs="Times New Roman"/>
          <w:color w:val="000000"/>
        </w:rPr>
        <w:t xml:space="preserve"> aligned with the FV, which </w:t>
      </w:r>
      <w:r w:rsidR="006632F5">
        <w:rPr>
          <w:rFonts w:ascii="Times New Roman" w:hAnsi="Times New Roman" w:cs="Times New Roman"/>
          <w:color w:val="000000"/>
        </w:rPr>
        <w:t>was</w:t>
      </w:r>
      <w:r w:rsidRPr="00A31B4D">
        <w:rPr>
          <w:rFonts w:ascii="Times New Roman" w:hAnsi="Times New Roman" w:cs="Times New Roman"/>
          <w:color w:val="000000"/>
        </w:rPr>
        <w:t xml:space="preserve"> followed.</w:t>
      </w:r>
    </w:p>
    <w:p w14:paraId="4BA69235" w14:textId="42A98DBE" w:rsidR="00562B4D" w:rsidRPr="00A31B4D" w:rsidRDefault="00562B4D" w:rsidP="00FD3EAD">
      <w:pPr>
        <w:spacing w:line="360" w:lineRule="auto"/>
        <w:ind w:firstLine="360"/>
        <w:jc w:val="both"/>
        <w:rPr>
          <w:rFonts w:ascii="Times New Roman" w:hAnsi="Times New Roman" w:cs="Times New Roman"/>
          <w:color w:val="000000"/>
        </w:rPr>
      </w:pPr>
      <w:r w:rsidRPr="00A31B4D">
        <w:rPr>
          <w:rFonts w:ascii="Times New Roman" w:hAnsi="Times New Roman" w:cs="Times New Roman"/>
          <w:color w:val="000000"/>
        </w:rPr>
        <w:t xml:space="preserve">Overall, the evidence indicates that extreme deviations from the </w:t>
      </w:r>
      <w:r w:rsidR="006632F5">
        <w:rPr>
          <w:rFonts w:ascii="Times New Roman" w:hAnsi="Times New Roman" w:cs="Times New Roman"/>
          <w:color w:val="000000"/>
        </w:rPr>
        <w:t>reference</w:t>
      </w:r>
      <w:r w:rsidRPr="00A31B4D">
        <w:rPr>
          <w:rFonts w:ascii="Times New Roman" w:hAnsi="Times New Roman" w:cs="Times New Roman"/>
          <w:color w:val="000000"/>
        </w:rPr>
        <w:t xml:space="preserve"> value were more frequent and more widely distributed among participants in the BAI treatment group than in the GAI group. While in GAI these deviations were concentrated in a small group of individuals and were mainly associated with a lack of adherence to or understanding of advice consistent with the FV, in BAI they were considerably more </w:t>
      </w:r>
      <w:r w:rsidR="005B0DD2">
        <w:rPr>
          <w:rFonts w:ascii="Times New Roman" w:hAnsi="Times New Roman" w:cs="Times New Roman"/>
          <w:color w:val="000000"/>
        </w:rPr>
        <w:t>frequent</w:t>
      </w:r>
      <w:r w:rsidRPr="00A31B4D">
        <w:rPr>
          <w:rFonts w:ascii="Times New Roman" w:hAnsi="Times New Roman" w:cs="Times New Roman"/>
          <w:color w:val="000000"/>
        </w:rPr>
        <w:t xml:space="preserve"> and involved a larger group of </w:t>
      </w:r>
      <w:r w:rsidRPr="00A31B4D">
        <w:rPr>
          <w:rFonts w:ascii="Times New Roman" w:hAnsi="Times New Roman" w:cs="Times New Roman"/>
          <w:color w:val="000000"/>
        </w:rPr>
        <w:lastRenderedPageBreak/>
        <w:t>participants</w:t>
      </w:r>
      <w:r>
        <w:rPr>
          <w:rFonts w:ascii="Times New Roman" w:hAnsi="Times New Roman" w:cs="Times New Roman"/>
          <w:color w:val="000000"/>
        </w:rPr>
        <w:t xml:space="preserve">, as shown in Table </w:t>
      </w:r>
      <w:r w:rsidR="00D83E53">
        <w:rPr>
          <w:rFonts w:ascii="Times New Roman" w:hAnsi="Times New Roman" w:cs="Times New Roman"/>
          <w:color w:val="000000"/>
        </w:rPr>
        <w:t>7</w:t>
      </w:r>
      <w:r>
        <w:rPr>
          <w:rFonts w:ascii="Times New Roman" w:hAnsi="Times New Roman" w:cs="Times New Roman"/>
          <w:color w:val="000000"/>
        </w:rPr>
        <w:t>.</w:t>
      </w:r>
      <w:r w:rsidR="005B0DD2">
        <w:rPr>
          <w:rFonts w:ascii="Times New Roman" w:hAnsi="Times New Roman" w:cs="Times New Roman"/>
          <w:color w:val="000000"/>
        </w:rPr>
        <w:t xml:space="preserve"> These results explain why prices in BAI are not significantly different from those in GAI.</w:t>
      </w:r>
    </w:p>
    <w:bookmarkEnd w:id="7"/>
    <w:p w14:paraId="5043D0E5" w14:textId="77777777" w:rsidR="00562B4D" w:rsidRDefault="00562B4D" w:rsidP="00FD3EAD">
      <w:pPr>
        <w:pStyle w:val="ListParagraph"/>
        <w:numPr>
          <w:ilvl w:val="0"/>
          <w:numId w:val="1"/>
        </w:numPr>
        <w:spacing w:line="360" w:lineRule="auto"/>
        <w:jc w:val="both"/>
        <w:rPr>
          <w:rFonts w:ascii="Times New Roman" w:hAnsi="Times New Roman" w:cs="Times New Roman"/>
          <w:b/>
        </w:rPr>
      </w:pPr>
      <w:r w:rsidRPr="007517D0">
        <w:rPr>
          <w:rFonts w:ascii="Times New Roman" w:hAnsi="Times New Roman" w:cs="Times New Roman"/>
          <w:b/>
        </w:rPr>
        <w:t>Discussion</w:t>
      </w:r>
      <w:r>
        <w:rPr>
          <w:rFonts w:ascii="Times New Roman" w:hAnsi="Times New Roman" w:cs="Times New Roman"/>
          <w:b/>
        </w:rPr>
        <w:t xml:space="preserve"> and conclusion</w:t>
      </w:r>
    </w:p>
    <w:p w14:paraId="54B1D2A2" w14:textId="6D371067" w:rsidR="00562B4D" w:rsidRDefault="00562B4D" w:rsidP="00DE77B6">
      <w:pPr>
        <w:spacing w:line="360" w:lineRule="auto"/>
        <w:jc w:val="both"/>
        <w:rPr>
          <w:rFonts w:ascii="Times New Roman" w:hAnsi="Times New Roman" w:cs="Times New Roman"/>
          <w:bCs/>
          <w:lang w:eastAsia="zh-CN"/>
        </w:rPr>
      </w:pPr>
      <w:r>
        <w:rPr>
          <w:rFonts w:ascii="Times New Roman" w:hAnsi="Times New Roman" w:cs="Times New Roman"/>
          <w:bCs/>
        </w:rPr>
        <w:t>In this paper, w</w:t>
      </w:r>
      <w:r w:rsidRPr="00850C0B">
        <w:rPr>
          <w:rFonts w:ascii="Times New Roman" w:hAnsi="Times New Roman" w:cs="Times New Roman"/>
          <w:bCs/>
        </w:rPr>
        <w:t xml:space="preserve">e </w:t>
      </w:r>
      <w:proofErr w:type="gramStart"/>
      <w:r>
        <w:rPr>
          <w:rFonts w:ascii="Times New Roman" w:hAnsi="Times New Roman" w:cs="Times New Roman"/>
          <w:bCs/>
        </w:rPr>
        <w:t>report</w:t>
      </w:r>
      <w:proofErr w:type="gramEnd"/>
      <w:r>
        <w:rPr>
          <w:rFonts w:ascii="Times New Roman" w:hAnsi="Times New Roman" w:cs="Times New Roman"/>
          <w:bCs/>
        </w:rPr>
        <w:t xml:space="preserve"> a</w:t>
      </w:r>
      <w:r w:rsidRPr="00850C0B">
        <w:rPr>
          <w:rFonts w:ascii="Times New Roman" w:hAnsi="Times New Roman" w:cs="Times New Roman"/>
          <w:bCs/>
        </w:rPr>
        <w:t xml:space="preserve"> controlled asset market experiment to study the causal impact of AI advice on price discovery and liquidity. By introducing AI advisors </w:t>
      </w:r>
      <w:r>
        <w:rPr>
          <w:rFonts w:ascii="Times New Roman" w:hAnsi="Times New Roman" w:cs="Times New Roman"/>
          <w:bCs/>
        </w:rPr>
        <w:t>with varying levels of accuracy into a</w:t>
      </w:r>
      <w:r>
        <w:rPr>
          <w:rFonts w:ascii="Times New Roman" w:hAnsi="Times New Roman" w:cs="Times New Roman" w:hint="eastAsia"/>
          <w:bCs/>
          <w:lang w:eastAsia="zh-CN"/>
        </w:rPr>
        <w:t xml:space="preserve"> </w:t>
      </w:r>
      <w:r>
        <w:rPr>
          <w:rFonts w:ascii="Times New Roman" w:hAnsi="Times New Roman" w:cs="Times New Roman"/>
          <w:bCs/>
          <w:lang w:eastAsia="zh-CN"/>
        </w:rPr>
        <w:t xml:space="preserve">market </w:t>
      </w:r>
      <w:r>
        <w:rPr>
          <w:rFonts w:ascii="Times New Roman" w:hAnsi="Times New Roman" w:cs="Times New Roman"/>
          <w:bCs/>
        </w:rPr>
        <w:t>environment, we aim to study whether traders follow good or bad advice without exercising critical thinking.  We</w:t>
      </w:r>
      <w:r w:rsidRPr="00850C0B">
        <w:rPr>
          <w:rFonts w:ascii="Times New Roman" w:hAnsi="Times New Roman" w:cs="Times New Roman"/>
          <w:bCs/>
        </w:rPr>
        <w:t xml:space="preserve"> observed severe overpricing in the baseline condition without AI. </w:t>
      </w:r>
      <w:r>
        <w:rPr>
          <w:rFonts w:ascii="Times New Roman" w:hAnsi="Times New Roman" w:cs="Times New Roman"/>
          <w:bCs/>
        </w:rPr>
        <w:t>With t</w:t>
      </w:r>
      <w:r w:rsidRPr="008D005B">
        <w:rPr>
          <w:rFonts w:ascii="Times New Roman" w:hAnsi="Times New Roman" w:cs="Times New Roman"/>
          <w:bCs/>
        </w:rPr>
        <w:t xml:space="preserve">he presence of </w:t>
      </w:r>
      <w:r>
        <w:rPr>
          <w:rFonts w:ascii="Times New Roman" w:hAnsi="Times New Roman" w:cs="Times New Roman"/>
          <w:bCs/>
        </w:rPr>
        <w:t xml:space="preserve">an </w:t>
      </w:r>
      <w:r w:rsidRPr="008D005B">
        <w:rPr>
          <w:rFonts w:ascii="Times New Roman" w:hAnsi="Times New Roman" w:cs="Times New Roman"/>
          <w:bCs/>
        </w:rPr>
        <w:t>AI</w:t>
      </w:r>
      <w:r>
        <w:rPr>
          <w:rFonts w:ascii="Times New Roman" w:hAnsi="Times New Roman" w:cs="Times New Roman"/>
          <w:bCs/>
        </w:rPr>
        <w:t xml:space="preserve"> advisor</w:t>
      </w:r>
      <w:r w:rsidRPr="008D005B">
        <w:rPr>
          <w:rFonts w:ascii="Times New Roman" w:hAnsi="Times New Roman" w:cs="Times New Roman"/>
          <w:bCs/>
        </w:rPr>
        <w:t xml:space="preserve">, regardless of its </w:t>
      </w:r>
      <w:r>
        <w:rPr>
          <w:rFonts w:ascii="Times New Roman" w:hAnsi="Times New Roman" w:cs="Times New Roman"/>
          <w:bCs/>
        </w:rPr>
        <w:t>quality</w:t>
      </w:r>
      <w:r w:rsidRPr="008D005B">
        <w:rPr>
          <w:rFonts w:ascii="Times New Roman" w:hAnsi="Times New Roman" w:cs="Times New Roman"/>
          <w:bCs/>
        </w:rPr>
        <w:t>,</w:t>
      </w:r>
      <w:r>
        <w:rPr>
          <w:rFonts w:ascii="Times New Roman" w:hAnsi="Times New Roman" w:cs="Times New Roman"/>
          <w:bCs/>
        </w:rPr>
        <w:t xml:space="preserve"> the market is </w:t>
      </w:r>
      <w:r w:rsidR="00496E83">
        <w:rPr>
          <w:rFonts w:ascii="Times New Roman" w:hAnsi="Times New Roman" w:cs="Times New Roman"/>
          <w:bCs/>
        </w:rPr>
        <w:t>initially</w:t>
      </w:r>
      <w:r>
        <w:rPr>
          <w:rFonts w:ascii="Times New Roman" w:hAnsi="Times New Roman" w:cs="Times New Roman"/>
          <w:bCs/>
        </w:rPr>
        <w:t xml:space="preserve"> </w:t>
      </w:r>
      <w:r w:rsidR="002F2113">
        <w:rPr>
          <w:rFonts w:ascii="Times New Roman" w:hAnsi="Times New Roman" w:cs="Times New Roman"/>
          <w:bCs/>
        </w:rPr>
        <w:t>slightly</w:t>
      </w:r>
      <w:r>
        <w:rPr>
          <w:rFonts w:ascii="Times New Roman" w:hAnsi="Times New Roman" w:cs="Times New Roman"/>
          <w:bCs/>
        </w:rPr>
        <w:t xml:space="preserve"> underpriced and</w:t>
      </w:r>
      <w:r w:rsidRPr="008D005B">
        <w:rPr>
          <w:rFonts w:ascii="Times New Roman" w:hAnsi="Times New Roman" w:cs="Times New Roman"/>
          <w:bCs/>
        </w:rPr>
        <w:t xml:space="preserve"> </w:t>
      </w:r>
      <w:r>
        <w:rPr>
          <w:rFonts w:ascii="Times New Roman" w:hAnsi="Times New Roman" w:cs="Times New Roman"/>
          <w:bCs/>
        </w:rPr>
        <w:t xml:space="preserve">appears to </w:t>
      </w:r>
      <w:r w:rsidRPr="008D005B">
        <w:rPr>
          <w:rFonts w:ascii="Times New Roman" w:hAnsi="Times New Roman" w:cs="Times New Roman"/>
          <w:bCs/>
        </w:rPr>
        <w:t xml:space="preserve">successfully </w:t>
      </w:r>
      <w:r>
        <w:rPr>
          <w:rFonts w:ascii="Times New Roman" w:hAnsi="Times New Roman" w:cs="Times New Roman"/>
          <w:bCs/>
        </w:rPr>
        <w:t>mitigate</w:t>
      </w:r>
      <w:r w:rsidRPr="008D005B">
        <w:rPr>
          <w:rFonts w:ascii="Times New Roman" w:hAnsi="Times New Roman" w:cs="Times New Roman"/>
          <w:bCs/>
        </w:rPr>
        <w:t xml:space="preserve"> </w:t>
      </w:r>
      <w:r>
        <w:rPr>
          <w:rFonts w:ascii="Times New Roman" w:hAnsi="Times New Roman" w:cs="Times New Roman"/>
          <w:bCs/>
        </w:rPr>
        <w:t xml:space="preserve">mispricing by the midpoint of the market. </w:t>
      </w:r>
      <w:r w:rsidRPr="006207E1">
        <w:rPr>
          <w:rFonts w:ascii="Times New Roman" w:hAnsi="Times New Roman" w:cs="Times New Roman"/>
          <w:bCs/>
        </w:rPr>
        <w:t>Th</w:t>
      </w:r>
      <w:r>
        <w:rPr>
          <w:rFonts w:ascii="Times New Roman" w:hAnsi="Times New Roman" w:cs="Times New Roman"/>
          <w:bCs/>
        </w:rPr>
        <w:t xml:space="preserve">e similarity of AI treatments </w:t>
      </w:r>
      <w:r w:rsidRPr="006207E1">
        <w:rPr>
          <w:rFonts w:ascii="Times New Roman" w:hAnsi="Times New Roman" w:cs="Times New Roman"/>
          <w:bCs/>
        </w:rPr>
        <w:t>emerges despite stark differences in the quality of the advice provided. In the GAI treatment, the advice predominantly anchored participants to the Fundamental Value (FV). Conversely, the BAI provided a noisy mix of advice, heavily weighted toward the incorrect Buyout Value (BV)</w:t>
      </w:r>
      <w:r>
        <w:rPr>
          <w:rFonts w:ascii="Times New Roman" w:hAnsi="Times New Roman" w:cs="Times New Roman"/>
          <w:bCs/>
        </w:rPr>
        <w:t xml:space="preserve"> and irrelevant information (categorized as Other)</w:t>
      </w:r>
      <w:r w:rsidRPr="006207E1">
        <w:rPr>
          <w:rFonts w:ascii="Times New Roman" w:hAnsi="Times New Roman" w:cs="Times New Roman"/>
          <w:bCs/>
        </w:rPr>
        <w:t>.</w:t>
      </w:r>
      <w:r>
        <w:rPr>
          <w:rFonts w:ascii="Times New Roman" w:hAnsi="Times New Roman" w:cs="Times New Roman" w:hint="eastAsia"/>
          <w:bCs/>
          <w:lang w:eastAsia="zh-CN"/>
        </w:rPr>
        <w:t xml:space="preserve"> </w:t>
      </w:r>
    </w:p>
    <w:p w14:paraId="44EA6AD7" w14:textId="62D12410" w:rsidR="00562B4D" w:rsidRDefault="00562B4D" w:rsidP="00FD3EAD">
      <w:pPr>
        <w:spacing w:line="360" w:lineRule="auto"/>
        <w:ind w:firstLine="720"/>
        <w:jc w:val="both"/>
        <w:rPr>
          <w:rFonts w:ascii="Times New Roman" w:hAnsi="Times New Roman" w:cs="Times New Roman"/>
          <w:bCs/>
        </w:rPr>
      </w:pPr>
      <w:r w:rsidRPr="006207E1">
        <w:rPr>
          <w:rFonts w:ascii="Times New Roman" w:hAnsi="Times New Roman" w:cs="Times New Roman"/>
          <w:bCs/>
        </w:rPr>
        <w:t xml:space="preserve">The lack of divergence in aggregate mispricing stems from participants' </w:t>
      </w:r>
      <w:r>
        <w:rPr>
          <w:rFonts w:ascii="Times New Roman" w:hAnsi="Times New Roman" w:cs="Times New Roman"/>
          <w:bCs/>
        </w:rPr>
        <w:t xml:space="preserve">heterogeneous </w:t>
      </w:r>
      <w:r w:rsidRPr="006207E1">
        <w:rPr>
          <w:rFonts w:ascii="Times New Roman" w:hAnsi="Times New Roman" w:cs="Times New Roman"/>
          <w:bCs/>
        </w:rPr>
        <w:t xml:space="preserve">adherence behaviors. While </w:t>
      </w:r>
      <w:r>
        <w:rPr>
          <w:rFonts w:ascii="Times New Roman" w:hAnsi="Times New Roman" w:cs="Times New Roman"/>
          <w:bCs/>
        </w:rPr>
        <w:t>traders</w:t>
      </w:r>
      <w:r w:rsidRPr="006207E1">
        <w:rPr>
          <w:rFonts w:ascii="Times New Roman" w:hAnsi="Times New Roman" w:cs="Times New Roman"/>
          <w:bCs/>
        </w:rPr>
        <w:t xml:space="preserve"> </w:t>
      </w:r>
      <w:r>
        <w:rPr>
          <w:rFonts w:ascii="Times New Roman" w:hAnsi="Times New Roman" w:cs="Times New Roman"/>
          <w:bCs/>
        </w:rPr>
        <w:t>generally followed</w:t>
      </w:r>
      <w:r w:rsidRPr="006207E1">
        <w:rPr>
          <w:rFonts w:ascii="Times New Roman" w:hAnsi="Times New Roman" w:cs="Times New Roman"/>
          <w:bCs/>
        </w:rPr>
        <w:t xml:space="preserve"> AI recommendations, their compliance was notably higher when the advice aligned with the true FV. Consequently, participants in the BAI treatment actively filtered out a portion of the poor advice, preventing the market from fully degrading to the BV anchor.</w:t>
      </w:r>
      <w:r>
        <w:rPr>
          <w:rFonts w:ascii="Times New Roman" w:hAnsi="Times New Roman" w:cs="Times New Roman" w:hint="eastAsia"/>
          <w:bCs/>
          <w:lang w:eastAsia="zh-CN"/>
        </w:rPr>
        <w:t xml:space="preserve"> </w:t>
      </w:r>
      <w:r w:rsidRPr="006207E1">
        <w:rPr>
          <w:rFonts w:ascii="Times New Roman" w:hAnsi="Times New Roman" w:cs="Times New Roman"/>
          <w:bCs/>
        </w:rPr>
        <w:t>Notably, extreme deviations from reference values in our participant-transaction data were predominantly driven by traders explicitly ignoring the AI</w:t>
      </w:r>
      <w:r>
        <w:rPr>
          <w:rFonts w:ascii="Times New Roman" w:hAnsi="Times New Roman" w:cs="Times New Roman"/>
          <w:bCs/>
        </w:rPr>
        <w:t xml:space="preserve"> (e.g., because of a lack of understanding)</w:t>
      </w:r>
      <w:r w:rsidRPr="006207E1">
        <w:rPr>
          <w:rFonts w:ascii="Times New Roman" w:hAnsi="Times New Roman" w:cs="Times New Roman"/>
          <w:bCs/>
        </w:rPr>
        <w:t>, rather than blindly following poor recommendations.</w:t>
      </w:r>
      <w:r>
        <w:rPr>
          <w:rFonts w:ascii="Times New Roman" w:hAnsi="Times New Roman" w:cs="Times New Roman"/>
          <w:bCs/>
        </w:rPr>
        <w:t xml:space="preserve"> </w:t>
      </w:r>
      <w:r>
        <w:rPr>
          <w:rFonts w:ascii="Times New Roman" w:hAnsi="Times New Roman" w:cs="Times New Roman"/>
          <w:bCs/>
          <w:lang w:eastAsia="zh-CN"/>
        </w:rPr>
        <w:t xml:space="preserve">The discussion with AI might have encouraged the traders to consider the fundamentals of the </w:t>
      </w:r>
      <w:proofErr w:type="gramStart"/>
      <w:r>
        <w:rPr>
          <w:rFonts w:ascii="Times New Roman" w:hAnsi="Times New Roman" w:cs="Times New Roman"/>
          <w:bCs/>
          <w:lang w:eastAsia="zh-CN"/>
        </w:rPr>
        <w:t>asset</w:t>
      </w:r>
      <w:proofErr w:type="gramEnd"/>
      <w:r>
        <w:rPr>
          <w:rFonts w:ascii="Times New Roman" w:hAnsi="Times New Roman" w:cs="Times New Roman"/>
          <w:bCs/>
          <w:lang w:eastAsia="zh-CN"/>
        </w:rPr>
        <w:t xml:space="preserve"> more, instead of solely focusing on the price momentum. Moreover, the repeated reiterations of AI on either the fundamental value or the end-of-period value of the asset provide another anchor that draws attention away from the price </w:t>
      </w:r>
      <w:proofErr w:type="gramStart"/>
      <w:r>
        <w:rPr>
          <w:rFonts w:ascii="Times New Roman" w:hAnsi="Times New Roman" w:cs="Times New Roman"/>
          <w:bCs/>
          <w:lang w:eastAsia="zh-CN"/>
        </w:rPr>
        <w:t>momentum, and</w:t>
      </w:r>
      <w:proofErr w:type="gramEnd"/>
      <w:r>
        <w:rPr>
          <w:rFonts w:ascii="Times New Roman" w:hAnsi="Times New Roman" w:cs="Times New Roman"/>
          <w:bCs/>
          <w:lang w:eastAsia="zh-CN"/>
        </w:rPr>
        <w:t xml:space="preserve"> thus attenuates bubbles. O</w:t>
      </w:r>
      <w:r w:rsidRPr="00E6132B">
        <w:rPr>
          <w:rFonts w:ascii="Times New Roman" w:hAnsi="Times New Roman" w:cs="Times New Roman"/>
          <w:bCs/>
          <w:lang w:eastAsia="zh-CN"/>
        </w:rPr>
        <w:t xml:space="preserve">ur findings </w:t>
      </w:r>
      <w:r>
        <w:rPr>
          <w:rFonts w:ascii="Times New Roman" w:hAnsi="Times New Roman" w:cs="Times New Roman"/>
          <w:bCs/>
          <w:lang w:eastAsia="zh-CN"/>
        </w:rPr>
        <w:t>demonstrate</w:t>
      </w:r>
      <w:r w:rsidRPr="00E6132B">
        <w:rPr>
          <w:rFonts w:ascii="Times New Roman" w:hAnsi="Times New Roman" w:cs="Times New Roman"/>
          <w:bCs/>
          <w:lang w:eastAsia="zh-CN"/>
        </w:rPr>
        <w:t xml:space="preserve"> the necessity of examining not just the </w:t>
      </w:r>
      <w:r>
        <w:rPr>
          <w:rFonts w:ascii="Times New Roman" w:hAnsi="Times New Roman" w:cs="Times New Roman"/>
          <w:bCs/>
          <w:lang w:eastAsia="zh-CN"/>
        </w:rPr>
        <w:t>output</w:t>
      </w:r>
      <w:r w:rsidRPr="00E6132B">
        <w:rPr>
          <w:rFonts w:ascii="Times New Roman" w:hAnsi="Times New Roman" w:cs="Times New Roman"/>
          <w:bCs/>
          <w:lang w:eastAsia="zh-CN"/>
        </w:rPr>
        <w:t xml:space="preserve"> accuracy of these</w:t>
      </w:r>
      <w:r>
        <w:rPr>
          <w:rFonts w:ascii="Times New Roman" w:hAnsi="Times New Roman" w:cs="Times New Roman"/>
          <w:bCs/>
          <w:lang w:eastAsia="zh-CN"/>
        </w:rPr>
        <w:t xml:space="preserve"> AI</w:t>
      </w:r>
      <w:r w:rsidRPr="00E6132B">
        <w:rPr>
          <w:rFonts w:ascii="Times New Roman" w:hAnsi="Times New Roman" w:cs="Times New Roman"/>
          <w:bCs/>
          <w:lang w:eastAsia="zh-CN"/>
        </w:rPr>
        <w:t xml:space="preserve"> systems, but the human-AI interaction paradigm that translates </w:t>
      </w:r>
      <w:r>
        <w:rPr>
          <w:rFonts w:ascii="Times New Roman" w:hAnsi="Times New Roman" w:cs="Times New Roman"/>
          <w:bCs/>
          <w:lang w:eastAsia="zh-CN"/>
        </w:rPr>
        <w:t>AI</w:t>
      </w:r>
      <w:r w:rsidRPr="00E6132B">
        <w:rPr>
          <w:rFonts w:ascii="Times New Roman" w:hAnsi="Times New Roman" w:cs="Times New Roman"/>
          <w:bCs/>
          <w:lang w:eastAsia="zh-CN"/>
        </w:rPr>
        <w:t xml:space="preserve"> outputs into executed trades</w:t>
      </w:r>
      <w:r>
        <w:rPr>
          <w:rFonts w:ascii="Times New Roman" w:hAnsi="Times New Roman" w:cs="Times New Roman"/>
          <w:bCs/>
          <w:lang w:eastAsia="zh-CN"/>
        </w:rPr>
        <w:t xml:space="preserve"> </w:t>
      </w:r>
      <w:r w:rsidR="001E5147" w:rsidRPr="001E5147">
        <w:rPr>
          <w:rFonts w:ascii="Times New Roman" w:hAnsi="Times New Roman" w:cs="Times New Roman"/>
          <w:bCs/>
          <w:lang w:eastAsia="zh-CN"/>
        </w:rPr>
        <w:t>(Caro et al., 2026)</w:t>
      </w:r>
      <w:r w:rsidRPr="00E6132B">
        <w:rPr>
          <w:rFonts w:ascii="Times New Roman" w:hAnsi="Times New Roman" w:cs="Times New Roman"/>
          <w:bCs/>
          <w:lang w:eastAsia="zh-CN"/>
        </w:rPr>
        <w:t>.</w:t>
      </w:r>
      <w:r w:rsidR="001E5147">
        <w:rPr>
          <w:rFonts w:ascii="Times New Roman" w:hAnsi="Times New Roman" w:cs="Times New Roman"/>
          <w:bCs/>
          <w:lang w:eastAsia="zh-CN"/>
        </w:rPr>
        <w:t xml:space="preserve"> </w:t>
      </w:r>
      <w:r w:rsidRPr="00FB5EE4">
        <w:rPr>
          <w:rFonts w:ascii="Times New Roman" w:hAnsi="Times New Roman" w:cs="Times New Roman"/>
          <w:bCs/>
        </w:rPr>
        <w:t xml:space="preserve">While mispricing magnitudes were similar, AI quality </w:t>
      </w:r>
      <w:r>
        <w:rPr>
          <w:rFonts w:ascii="Times New Roman" w:hAnsi="Times New Roman" w:cs="Times New Roman"/>
          <w:bCs/>
        </w:rPr>
        <w:t>strongly</w:t>
      </w:r>
      <w:r w:rsidRPr="00FB5EE4">
        <w:rPr>
          <w:rFonts w:ascii="Times New Roman" w:hAnsi="Times New Roman" w:cs="Times New Roman"/>
          <w:bCs/>
        </w:rPr>
        <w:t xml:space="preserve"> </w:t>
      </w:r>
      <w:r>
        <w:rPr>
          <w:rFonts w:ascii="Times New Roman" w:hAnsi="Times New Roman" w:cs="Times New Roman"/>
          <w:bCs/>
        </w:rPr>
        <w:t>affects</w:t>
      </w:r>
      <w:r w:rsidRPr="00FB5EE4">
        <w:rPr>
          <w:rFonts w:ascii="Times New Roman" w:hAnsi="Times New Roman" w:cs="Times New Roman"/>
          <w:bCs/>
        </w:rPr>
        <w:t xml:space="preserve"> market liquidity. Turnover was systematically lower in the GAI treatment compared to the BAI treatment. This aligns with foundational theoretical frameworks regarding trading volume. The consistent, FV-aligned advice in the GAI treatment harmonized investor expectations, thereby reducing the motive to trade. In contrast, the contradictory and varied </w:t>
      </w:r>
      <w:r w:rsidRPr="00FB5EE4">
        <w:rPr>
          <w:rFonts w:ascii="Times New Roman" w:hAnsi="Times New Roman" w:cs="Times New Roman"/>
          <w:bCs/>
        </w:rPr>
        <w:lastRenderedPageBreak/>
        <w:t xml:space="preserve">advice generated by the BAI system fostered dispersed expectations among participants. As established by </w:t>
      </w:r>
      <w:r w:rsidR="00A46399" w:rsidRPr="00A46399">
        <w:rPr>
          <w:rFonts w:ascii="Times New Roman" w:hAnsi="Times New Roman" w:cs="Times New Roman"/>
          <w:bCs/>
        </w:rPr>
        <w:t>Harris and Raviv (1993)</w:t>
      </w:r>
      <w:r w:rsidRPr="00FB5EE4">
        <w:rPr>
          <w:rFonts w:ascii="Times New Roman" w:hAnsi="Times New Roman" w:cs="Times New Roman"/>
          <w:bCs/>
        </w:rPr>
        <w:t xml:space="preserve"> and </w:t>
      </w:r>
      <w:r w:rsidR="00A46399" w:rsidRPr="00A46399">
        <w:rPr>
          <w:rFonts w:ascii="Times New Roman" w:hAnsi="Times New Roman" w:cs="Times New Roman"/>
          <w:bCs/>
        </w:rPr>
        <w:t>Kandel and Pearson (1995)</w:t>
      </w:r>
      <w:r w:rsidRPr="00FB5EE4">
        <w:rPr>
          <w:rFonts w:ascii="Times New Roman" w:hAnsi="Times New Roman" w:cs="Times New Roman"/>
          <w:bCs/>
        </w:rPr>
        <w:t xml:space="preserve">, increased heterogeneity in trader beliefs and the differential interpretation of signals directly drive trading volume. Thus, the lower-quality AI inadvertently stimulated </w:t>
      </w:r>
      <w:r>
        <w:rPr>
          <w:rFonts w:ascii="Times New Roman" w:hAnsi="Times New Roman" w:cs="Times New Roman"/>
          <w:bCs/>
        </w:rPr>
        <w:t>trade</w:t>
      </w:r>
      <w:r w:rsidRPr="00FB5EE4">
        <w:rPr>
          <w:rFonts w:ascii="Times New Roman" w:hAnsi="Times New Roman" w:cs="Times New Roman"/>
          <w:bCs/>
        </w:rPr>
        <w:t xml:space="preserve"> by acting as a shock to belief dispersion.</w:t>
      </w:r>
    </w:p>
    <w:p w14:paraId="6E42D2A0" w14:textId="2A4B2347" w:rsidR="00562B4D" w:rsidRDefault="00562B4D" w:rsidP="00FD3EAD">
      <w:pPr>
        <w:spacing w:line="360" w:lineRule="auto"/>
        <w:ind w:firstLine="720"/>
        <w:jc w:val="both"/>
        <w:rPr>
          <w:rFonts w:ascii="Times New Roman" w:hAnsi="Times New Roman" w:cs="Times New Roman"/>
          <w:bCs/>
        </w:rPr>
      </w:pPr>
      <w:r w:rsidRPr="00FB5EE4">
        <w:rPr>
          <w:rFonts w:ascii="Times New Roman" w:hAnsi="Times New Roman" w:cs="Times New Roman"/>
          <w:bCs/>
        </w:rPr>
        <w:t xml:space="preserve">Our findings contribute to the literature on </w:t>
      </w:r>
      <w:r>
        <w:rPr>
          <w:rFonts w:ascii="Times New Roman" w:hAnsi="Times New Roman" w:cs="Times New Roman"/>
          <w:bCs/>
        </w:rPr>
        <w:t xml:space="preserve">financial advice. </w:t>
      </w:r>
      <w:r w:rsidRPr="00FB5EE4">
        <w:rPr>
          <w:rFonts w:ascii="Times New Roman" w:hAnsi="Times New Roman" w:cs="Times New Roman"/>
          <w:bCs/>
        </w:rPr>
        <w:t>Previous experimental work highlights that access to advice can act as a substitute for endogenous expertise, mitigating price deviations and enhancing market efficiency</w:t>
      </w:r>
      <w:r>
        <w:rPr>
          <w:rFonts w:ascii="Times New Roman" w:hAnsi="Times New Roman" w:cs="Times New Roman"/>
          <w:bCs/>
        </w:rPr>
        <w:t xml:space="preserve"> </w:t>
      </w:r>
      <w:r w:rsidR="00A46399" w:rsidRPr="00A46399">
        <w:rPr>
          <w:rFonts w:ascii="Times New Roman" w:hAnsi="Times New Roman" w:cs="Times New Roman"/>
          <w:bCs/>
        </w:rPr>
        <w:t>(</w:t>
      </w:r>
      <w:proofErr w:type="spellStart"/>
      <w:r w:rsidR="00A46399" w:rsidRPr="00A46399">
        <w:rPr>
          <w:rFonts w:ascii="Times New Roman" w:hAnsi="Times New Roman" w:cs="Times New Roman"/>
          <w:bCs/>
        </w:rPr>
        <w:t>Alevy</w:t>
      </w:r>
      <w:proofErr w:type="spellEnd"/>
      <w:r w:rsidR="00A46399" w:rsidRPr="00A46399">
        <w:rPr>
          <w:rFonts w:ascii="Times New Roman" w:hAnsi="Times New Roman" w:cs="Times New Roman"/>
          <w:bCs/>
        </w:rPr>
        <w:t xml:space="preserve"> </w:t>
      </w:r>
      <w:r w:rsidR="006E3194">
        <w:rPr>
          <w:rFonts w:asciiTheme="majorBidi" w:hAnsiTheme="majorBidi" w:cstheme="majorBidi"/>
          <w:lang w:val="en-NZ" w:eastAsia="zh-CN"/>
        </w:rPr>
        <w:t>and</w:t>
      </w:r>
      <w:r w:rsidR="00A46399" w:rsidRPr="00A46399">
        <w:rPr>
          <w:rFonts w:ascii="Times New Roman" w:hAnsi="Times New Roman" w:cs="Times New Roman"/>
          <w:bCs/>
        </w:rPr>
        <w:t xml:space="preserve"> Price, 2017)</w:t>
      </w:r>
      <w:r w:rsidRPr="00FB5EE4">
        <w:rPr>
          <w:rFonts w:ascii="Times New Roman" w:hAnsi="Times New Roman" w:cs="Times New Roman"/>
          <w:bCs/>
        </w:rPr>
        <w:t>. Our baseline versus AI</w:t>
      </w:r>
      <w:r>
        <w:rPr>
          <w:rFonts w:ascii="Times New Roman" w:hAnsi="Times New Roman" w:cs="Times New Roman"/>
          <w:bCs/>
        </w:rPr>
        <w:t xml:space="preserve">-based advice </w:t>
      </w:r>
      <w:r w:rsidRPr="00FB5EE4">
        <w:rPr>
          <w:rFonts w:ascii="Times New Roman" w:hAnsi="Times New Roman" w:cs="Times New Roman"/>
          <w:bCs/>
        </w:rPr>
        <w:t xml:space="preserve">results strongly </w:t>
      </w:r>
      <w:proofErr w:type="gramStart"/>
      <w:r w:rsidRPr="00FB5EE4">
        <w:rPr>
          <w:rFonts w:ascii="Times New Roman" w:hAnsi="Times New Roman" w:cs="Times New Roman"/>
          <w:bCs/>
        </w:rPr>
        <w:t>corroborate</w:t>
      </w:r>
      <w:proofErr w:type="gramEnd"/>
      <w:r w:rsidRPr="00FB5EE4">
        <w:rPr>
          <w:rFonts w:ascii="Times New Roman" w:hAnsi="Times New Roman" w:cs="Times New Roman"/>
          <w:bCs/>
        </w:rPr>
        <w:t xml:space="preserve"> this mechanism.</w:t>
      </w:r>
      <w:r>
        <w:rPr>
          <w:rFonts w:ascii="Times New Roman" w:hAnsi="Times New Roman" w:cs="Times New Roman"/>
          <w:bCs/>
        </w:rPr>
        <w:t xml:space="preserve"> </w:t>
      </w:r>
      <w:r w:rsidRPr="00FB5EE4">
        <w:rPr>
          <w:rFonts w:ascii="Times New Roman" w:hAnsi="Times New Roman" w:cs="Times New Roman"/>
          <w:bCs/>
        </w:rPr>
        <w:t xml:space="preserve">However, our results also expose the vulnerabilities associated with </w:t>
      </w:r>
      <w:r>
        <w:rPr>
          <w:rFonts w:ascii="Times New Roman" w:hAnsi="Times New Roman" w:cs="Times New Roman"/>
          <w:bCs/>
        </w:rPr>
        <w:t>AI</w:t>
      </w:r>
      <w:r w:rsidRPr="00FB5EE4">
        <w:rPr>
          <w:rFonts w:ascii="Times New Roman" w:hAnsi="Times New Roman" w:cs="Times New Roman"/>
          <w:bCs/>
        </w:rPr>
        <w:t xml:space="preserve"> reliance. The </w:t>
      </w:r>
      <w:r>
        <w:rPr>
          <w:rFonts w:ascii="Times New Roman" w:hAnsi="Times New Roman" w:cs="Times New Roman"/>
          <w:bCs/>
        </w:rPr>
        <w:t>high tendency of</w:t>
      </w:r>
      <w:r w:rsidRPr="00FB5EE4">
        <w:rPr>
          <w:rFonts w:ascii="Times New Roman" w:hAnsi="Times New Roman" w:cs="Times New Roman"/>
          <w:bCs/>
        </w:rPr>
        <w:t xml:space="preserve"> adherence to AI advice, even when it deviated from fundamentals in the BAI treatment, echoes findings on confidence bias, wherein </w:t>
      </w:r>
      <w:proofErr w:type="gramStart"/>
      <w:r w:rsidRPr="00FB5EE4">
        <w:rPr>
          <w:rFonts w:ascii="Times New Roman" w:hAnsi="Times New Roman" w:cs="Times New Roman"/>
          <w:bCs/>
        </w:rPr>
        <w:t>individuals</w:t>
      </w:r>
      <w:proofErr w:type="gramEnd"/>
      <w:r w:rsidRPr="00FB5EE4">
        <w:rPr>
          <w:rFonts w:ascii="Times New Roman" w:hAnsi="Times New Roman" w:cs="Times New Roman"/>
          <w:bCs/>
        </w:rPr>
        <w:t xml:space="preserve"> overweight guidance from seemingly authoritative or confident sources </w:t>
      </w:r>
      <w:r w:rsidR="00A46399" w:rsidRPr="00A46399">
        <w:rPr>
          <w:rFonts w:ascii="Times New Roman" w:hAnsi="Times New Roman" w:cs="Times New Roman"/>
          <w:bCs/>
        </w:rPr>
        <w:t xml:space="preserve">(Price </w:t>
      </w:r>
      <w:r w:rsidR="006E3194">
        <w:rPr>
          <w:rFonts w:asciiTheme="majorBidi" w:hAnsiTheme="majorBidi" w:cstheme="majorBidi"/>
          <w:lang w:val="en-NZ" w:eastAsia="zh-CN"/>
        </w:rPr>
        <w:t>and</w:t>
      </w:r>
      <w:r w:rsidR="00A46399" w:rsidRPr="00A46399">
        <w:rPr>
          <w:rFonts w:ascii="Times New Roman" w:hAnsi="Times New Roman" w:cs="Times New Roman"/>
          <w:bCs/>
        </w:rPr>
        <w:t xml:space="preserve"> Stone, 2004)</w:t>
      </w:r>
      <w:r>
        <w:rPr>
          <w:rFonts w:ascii="Times New Roman" w:hAnsi="Times New Roman" w:cs="Times New Roman"/>
          <w:bCs/>
        </w:rPr>
        <w:t xml:space="preserve"> in the context of financial advice</w:t>
      </w:r>
      <w:r w:rsidRPr="00FB5EE4">
        <w:rPr>
          <w:rFonts w:ascii="Times New Roman" w:hAnsi="Times New Roman" w:cs="Times New Roman"/>
          <w:bCs/>
        </w:rPr>
        <w:t xml:space="preserve">. The difficulty participants </w:t>
      </w:r>
      <w:r>
        <w:rPr>
          <w:rFonts w:ascii="Times New Roman" w:hAnsi="Times New Roman" w:cs="Times New Roman"/>
          <w:bCs/>
        </w:rPr>
        <w:t xml:space="preserve">had in independently assessing </w:t>
      </w:r>
      <w:proofErr w:type="gramStart"/>
      <w:r>
        <w:rPr>
          <w:rFonts w:ascii="Times New Roman" w:hAnsi="Times New Roman" w:cs="Times New Roman"/>
          <w:bCs/>
        </w:rPr>
        <w:t>the AI's</w:t>
      </w:r>
      <w:proofErr w:type="gramEnd"/>
      <w:r>
        <w:rPr>
          <w:rFonts w:ascii="Times New Roman" w:hAnsi="Times New Roman" w:cs="Times New Roman"/>
          <w:bCs/>
        </w:rPr>
        <w:t xml:space="preserve"> accuracy highlights a critical friction point </w:t>
      </w:r>
      <w:r w:rsidRPr="00FB5EE4">
        <w:rPr>
          <w:rFonts w:ascii="Times New Roman" w:hAnsi="Times New Roman" w:cs="Times New Roman"/>
          <w:bCs/>
        </w:rPr>
        <w:t>in human-</w:t>
      </w:r>
      <w:r>
        <w:rPr>
          <w:rFonts w:ascii="Times New Roman" w:hAnsi="Times New Roman" w:cs="Times New Roman"/>
          <w:bCs/>
        </w:rPr>
        <w:t>AI</w:t>
      </w:r>
      <w:r w:rsidRPr="00FB5EE4">
        <w:rPr>
          <w:rFonts w:ascii="Times New Roman" w:hAnsi="Times New Roman" w:cs="Times New Roman"/>
          <w:bCs/>
        </w:rPr>
        <w:t xml:space="preserve"> interaction within complex financial markets</w:t>
      </w:r>
      <w:r>
        <w:rPr>
          <w:rFonts w:ascii="Times New Roman" w:hAnsi="Times New Roman" w:cs="Times New Roman"/>
          <w:bCs/>
        </w:rPr>
        <w:t>, or any complex environment in general</w:t>
      </w:r>
      <w:r w:rsidRPr="00FB5EE4">
        <w:rPr>
          <w:rFonts w:ascii="Times New Roman" w:hAnsi="Times New Roman" w:cs="Times New Roman"/>
          <w:bCs/>
        </w:rPr>
        <w:t>.</w:t>
      </w:r>
      <w:r>
        <w:rPr>
          <w:rFonts w:ascii="Times New Roman" w:hAnsi="Times New Roman" w:cs="Times New Roman"/>
          <w:bCs/>
        </w:rPr>
        <w:t xml:space="preserve"> </w:t>
      </w:r>
    </w:p>
    <w:p w14:paraId="1497398A" w14:textId="361A7DAE" w:rsidR="00562B4D" w:rsidRPr="0071704A" w:rsidRDefault="00562B4D" w:rsidP="00FD3EAD">
      <w:pPr>
        <w:spacing w:line="360" w:lineRule="auto"/>
        <w:ind w:firstLine="720"/>
        <w:jc w:val="both"/>
        <w:rPr>
          <w:rFonts w:ascii="Times New Roman" w:hAnsi="Times New Roman" w:cs="Times New Roman"/>
          <w:bCs/>
        </w:rPr>
      </w:pPr>
      <w:r>
        <w:rPr>
          <w:rFonts w:ascii="Times New Roman" w:hAnsi="Times New Roman" w:cs="Times New Roman"/>
          <w:bCs/>
        </w:rPr>
        <w:t>The design of our experiment also makes methodological contributions. First, s</w:t>
      </w:r>
      <w:r w:rsidRPr="0071704A">
        <w:rPr>
          <w:rFonts w:ascii="Times New Roman" w:hAnsi="Times New Roman" w:cs="Times New Roman"/>
          <w:bCs/>
        </w:rPr>
        <w:t>ince the seminal work of</w:t>
      </w:r>
      <w:r>
        <w:rPr>
          <w:rFonts w:ascii="Times New Roman" w:hAnsi="Times New Roman" w:cs="Times New Roman"/>
          <w:bCs/>
        </w:rPr>
        <w:t xml:space="preserve"> </w:t>
      </w:r>
      <w:r w:rsidR="00A46399" w:rsidRPr="00A46399">
        <w:rPr>
          <w:rFonts w:ascii="Times New Roman" w:hAnsi="Times New Roman" w:cs="Times New Roman"/>
          <w:bCs/>
        </w:rPr>
        <w:t>Smith et al. (1988)</w:t>
      </w:r>
      <w:r w:rsidRPr="0071704A">
        <w:rPr>
          <w:rFonts w:ascii="Times New Roman" w:hAnsi="Times New Roman" w:cs="Times New Roman"/>
          <w:bCs/>
        </w:rPr>
        <w:t xml:space="preserve">, experimental markets have frequently employed deterministically declining fundamental values, which reliably generate price bubbles. </w:t>
      </w:r>
      <w:r w:rsidRPr="00850C0B">
        <w:rPr>
          <w:rFonts w:ascii="Times New Roman" w:hAnsi="Times New Roman" w:cs="Times New Roman"/>
          <w:bCs/>
        </w:rPr>
        <w:t xml:space="preserve">However, subsequent literature </w:t>
      </w:r>
      <w:r w:rsidR="00E34760" w:rsidRPr="00E34760">
        <w:rPr>
          <w:rFonts w:ascii="Times New Roman" w:hAnsi="Times New Roman" w:cs="Times New Roman"/>
          <w:bCs/>
        </w:rPr>
        <w:t xml:space="preserve">(e.g., Huber et al., 2008; </w:t>
      </w:r>
      <w:proofErr w:type="spellStart"/>
      <w:r w:rsidR="00E34760" w:rsidRPr="00E34760">
        <w:rPr>
          <w:rFonts w:ascii="Times New Roman" w:hAnsi="Times New Roman" w:cs="Times New Roman"/>
          <w:bCs/>
        </w:rPr>
        <w:t>Kirchler</w:t>
      </w:r>
      <w:proofErr w:type="spellEnd"/>
      <w:r w:rsidR="00E34760" w:rsidRPr="00E34760">
        <w:rPr>
          <w:rFonts w:ascii="Times New Roman" w:hAnsi="Times New Roman" w:cs="Times New Roman"/>
          <w:bCs/>
        </w:rPr>
        <w:t xml:space="preserve"> </w:t>
      </w:r>
      <w:r w:rsidR="006E3194">
        <w:rPr>
          <w:rFonts w:asciiTheme="majorBidi" w:hAnsiTheme="majorBidi" w:cstheme="majorBidi"/>
          <w:lang w:val="en-NZ" w:eastAsia="zh-CN"/>
        </w:rPr>
        <w:t>and</w:t>
      </w:r>
      <w:r w:rsidR="00E34760" w:rsidRPr="00E34760">
        <w:rPr>
          <w:rFonts w:ascii="Times New Roman" w:hAnsi="Times New Roman" w:cs="Times New Roman"/>
          <w:bCs/>
        </w:rPr>
        <w:t xml:space="preserve"> Huber, 2007; </w:t>
      </w:r>
      <w:proofErr w:type="spellStart"/>
      <w:r w:rsidR="00E34760" w:rsidRPr="00E34760">
        <w:rPr>
          <w:rFonts w:ascii="Times New Roman" w:hAnsi="Times New Roman" w:cs="Times New Roman"/>
          <w:bCs/>
        </w:rPr>
        <w:t>Kirchler</w:t>
      </w:r>
      <w:proofErr w:type="spellEnd"/>
      <w:r w:rsidR="00E34760" w:rsidRPr="00E34760">
        <w:rPr>
          <w:rFonts w:ascii="Times New Roman" w:hAnsi="Times New Roman" w:cs="Times New Roman"/>
          <w:bCs/>
        </w:rPr>
        <w:t xml:space="preserve"> et al., 2012;</w:t>
      </w:r>
      <w:r w:rsidR="00AB0115">
        <w:rPr>
          <w:rFonts w:ascii="Times New Roman" w:hAnsi="Times New Roman" w:cs="Times New Roman"/>
          <w:bCs/>
        </w:rPr>
        <w:t xml:space="preserve"> </w:t>
      </w:r>
      <w:r w:rsidR="00AB0115" w:rsidRPr="00AB0115">
        <w:rPr>
          <w:rFonts w:ascii="Times New Roman" w:hAnsi="Times New Roman" w:cs="Times New Roman"/>
          <w:bCs/>
        </w:rPr>
        <w:t>Lambrecht</w:t>
      </w:r>
      <w:r w:rsidR="00AB0115">
        <w:rPr>
          <w:rFonts w:ascii="Times New Roman" w:hAnsi="Times New Roman" w:cs="Times New Roman"/>
          <w:bCs/>
        </w:rPr>
        <w:t xml:space="preserve"> et al., 2025;</w:t>
      </w:r>
      <w:r w:rsidR="00E34760" w:rsidRPr="00E34760">
        <w:rPr>
          <w:rFonts w:ascii="Times New Roman" w:hAnsi="Times New Roman" w:cs="Times New Roman"/>
          <w:bCs/>
        </w:rPr>
        <w:t xml:space="preserve"> </w:t>
      </w:r>
      <w:proofErr w:type="spellStart"/>
      <w:r w:rsidR="00E34760" w:rsidRPr="00E34760">
        <w:rPr>
          <w:rFonts w:ascii="Times New Roman" w:hAnsi="Times New Roman" w:cs="Times New Roman"/>
          <w:bCs/>
        </w:rPr>
        <w:t>Noussair</w:t>
      </w:r>
      <w:proofErr w:type="spellEnd"/>
      <w:r w:rsidR="00E34760" w:rsidRPr="00E34760">
        <w:rPr>
          <w:rFonts w:ascii="Times New Roman" w:hAnsi="Times New Roman" w:cs="Times New Roman"/>
          <w:bCs/>
        </w:rPr>
        <w:t xml:space="preserve"> et al., 2022; Stöckl et al., 2015)</w:t>
      </w:r>
      <w:r w:rsidR="00E34760">
        <w:rPr>
          <w:rFonts w:ascii="Times New Roman" w:hAnsi="Times New Roman" w:cs="Times New Roman"/>
          <w:bCs/>
        </w:rPr>
        <w:t xml:space="preserve"> </w:t>
      </w:r>
      <w:r w:rsidRPr="0071704A">
        <w:rPr>
          <w:rFonts w:ascii="Times New Roman" w:hAnsi="Times New Roman" w:cs="Times New Roman"/>
          <w:bCs/>
        </w:rPr>
        <w:t xml:space="preserve">demonstrates that altering this process to a random walk or </w:t>
      </w:r>
      <w:r>
        <w:rPr>
          <w:rFonts w:ascii="Times New Roman" w:hAnsi="Times New Roman" w:cs="Times New Roman"/>
          <w:bCs/>
        </w:rPr>
        <w:t>to a constant fundamental value can significantly reduce or eliminate</w:t>
      </w:r>
      <w:r w:rsidRPr="0071704A">
        <w:rPr>
          <w:rFonts w:ascii="Times New Roman" w:hAnsi="Times New Roman" w:cs="Times New Roman"/>
          <w:bCs/>
        </w:rPr>
        <w:t xml:space="preserve"> bubble formation. </w:t>
      </w:r>
      <w:r>
        <w:rPr>
          <w:rFonts w:ascii="Times New Roman" w:hAnsi="Times New Roman" w:cs="Times New Roman"/>
          <w:bCs/>
        </w:rPr>
        <w:t xml:space="preserve">We show in a call market that the random walk (with a drift) process employed in our study can also reliably generate bubbles. </w:t>
      </w:r>
      <w:r w:rsidRPr="0013089D">
        <w:rPr>
          <w:rFonts w:ascii="Times New Roman" w:hAnsi="Times New Roman" w:cs="Times New Roman"/>
          <w:bCs/>
        </w:rPr>
        <w:t xml:space="preserve">In the baseline (NAI) condition, prices started below the FV but eventually rose significantly above </w:t>
      </w:r>
      <w:proofErr w:type="gramStart"/>
      <w:r w:rsidRPr="0013089D">
        <w:rPr>
          <w:rFonts w:ascii="Times New Roman" w:hAnsi="Times New Roman" w:cs="Times New Roman"/>
          <w:bCs/>
        </w:rPr>
        <w:t>it</w:t>
      </w:r>
      <w:proofErr w:type="gramEnd"/>
      <w:r w:rsidRPr="0013089D">
        <w:rPr>
          <w:rFonts w:ascii="Times New Roman" w:hAnsi="Times New Roman" w:cs="Times New Roman"/>
          <w:bCs/>
        </w:rPr>
        <w:t>, remaining at elevated levels.</w:t>
      </w:r>
      <w:r>
        <w:rPr>
          <w:rFonts w:ascii="Times New Roman" w:hAnsi="Times New Roman" w:cs="Times New Roman"/>
          <w:bCs/>
        </w:rPr>
        <w:t xml:space="preserve"> This provides an alternative framework to study bubbles and crashes in controlled lab environments. Furthermore, the market experiment framework can easily be expanded by incorporating more advanced AI models or a more complex trading institution, such as an open-book double-auction mechanism. </w:t>
      </w:r>
    </w:p>
    <w:p w14:paraId="08872EE4" w14:textId="77777777" w:rsidR="00562B4D" w:rsidRDefault="00562B4D" w:rsidP="00FD3EAD">
      <w:pPr>
        <w:spacing w:line="360" w:lineRule="auto"/>
        <w:ind w:firstLine="720"/>
        <w:jc w:val="both"/>
        <w:rPr>
          <w:rFonts w:ascii="Times New Roman" w:hAnsi="Times New Roman" w:cs="Times New Roman"/>
          <w:bCs/>
        </w:rPr>
      </w:pPr>
      <w:r>
        <w:rPr>
          <w:rFonts w:ascii="Times New Roman" w:hAnsi="Times New Roman" w:cs="Times New Roman"/>
          <w:bCs/>
        </w:rPr>
        <w:t>Our paper is a first step in understanding how AI affects trading and investment decisions in a market setting. As AI advice becomes ubiquitous in our lives, a deeper understanding of how human-AI interaction affects humans’ decisions is warranted.  S</w:t>
      </w:r>
      <w:r w:rsidRPr="00E6132B">
        <w:rPr>
          <w:rFonts w:ascii="Times New Roman" w:hAnsi="Times New Roman" w:cs="Times New Roman"/>
          <w:bCs/>
        </w:rPr>
        <w:t xml:space="preserve">everal </w:t>
      </w:r>
      <w:r w:rsidRPr="00E6132B">
        <w:rPr>
          <w:rFonts w:ascii="Times New Roman" w:hAnsi="Times New Roman" w:cs="Times New Roman"/>
          <w:bCs/>
        </w:rPr>
        <w:lastRenderedPageBreak/>
        <w:t xml:space="preserve">promising avenues for future research. First, while our study varied the underlying accuracy of the AI, future experiments could manipulate the </w:t>
      </w:r>
      <w:r>
        <w:rPr>
          <w:rFonts w:ascii="Times New Roman" w:hAnsi="Times New Roman" w:cs="Times New Roman"/>
          <w:bCs/>
        </w:rPr>
        <w:t>AI’s</w:t>
      </w:r>
      <w:r w:rsidRPr="00E6132B">
        <w:rPr>
          <w:rFonts w:ascii="Times New Roman" w:hAnsi="Times New Roman" w:cs="Times New Roman"/>
          <w:bCs/>
        </w:rPr>
        <w:t xml:space="preserve"> confidence or tone of the advice to isolate how presentation format affects investor compliance. </w:t>
      </w:r>
      <w:r>
        <w:rPr>
          <w:rFonts w:ascii="Times New Roman" w:hAnsi="Times New Roman" w:cs="Times New Roman"/>
          <w:bCs/>
        </w:rPr>
        <w:t>Second, it would be valuable to expand our call-market framework to a more competitive, dynamic trading environment, such as an open-book double-auction market, and observe how AI advisors influence human strategy with real-time market input. Finally</w:t>
      </w:r>
      <w:r w:rsidRPr="00E6132B">
        <w:rPr>
          <w:rFonts w:ascii="Times New Roman" w:hAnsi="Times New Roman" w:cs="Times New Roman"/>
          <w:bCs/>
        </w:rPr>
        <w:t xml:space="preserve">, investigating these dynamics with professional traders, rather than retail proxies, </w:t>
      </w:r>
      <w:r>
        <w:rPr>
          <w:rFonts w:ascii="Times New Roman" w:hAnsi="Times New Roman" w:cs="Times New Roman"/>
          <w:bCs/>
        </w:rPr>
        <w:t>may help</w:t>
      </w:r>
      <w:r w:rsidRPr="00E6132B">
        <w:rPr>
          <w:rFonts w:ascii="Times New Roman" w:hAnsi="Times New Roman" w:cs="Times New Roman"/>
          <w:bCs/>
        </w:rPr>
        <w:t xml:space="preserve"> clarify whether domain expertise</w:t>
      </w:r>
      <w:r>
        <w:rPr>
          <w:rFonts w:ascii="Times New Roman" w:hAnsi="Times New Roman" w:cs="Times New Roman"/>
          <w:bCs/>
        </w:rPr>
        <w:t xml:space="preserve"> leads to better questions and can more reliably assess the quality of the AI output</w:t>
      </w:r>
      <w:r w:rsidRPr="00E6132B">
        <w:rPr>
          <w:rFonts w:ascii="Times New Roman" w:hAnsi="Times New Roman" w:cs="Times New Roman"/>
          <w:bCs/>
        </w:rPr>
        <w:t xml:space="preserve">. </w:t>
      </w:r>
      <w:r>
        <w:rPr>
          <w:rFonts w:ascii="Times New Roman" w:hAnsi="Times New Roman" w:cs="Times New Roman"/>
          <w:bCs/>
        </w:rPr>
        <w:t xml:space="preserve">The AI tool may lead to very different outcomes when it is in the hands of people who know how to use it best. </w:t>
      </w:r>
    </w:p>
    <w:p w14:paraId="78E811F9" w14:textId="76B3E49E" w:rsidR="00855ABB" w:rsidRPr="006231F3" w:rsidRDefault="00855ABB" w:rsidP="00C457BC">
      <w:pPr>
        <w:spacing w:line="360" w:lineRule="auto"/>
        <w:jc w:val="both"/>
        <w:rPr>
          <w:rFonts w:ascii="Times New Roman" w:hAnsi="Times New Roman" w:cs="Times New Roman"/>
        </w:rPr>
      </w:pPr>
    </w:p>
    <w:p w14:paraId="52FC4F3F" w14:textId="19121EEC" w:rsidR="00855ABB" w:rsidRPr="00C417FC" w:rsidRDefault="00855ABB" w:rsidP="00C457BC">
      <w:pPr>
        <w:spacing w:before="240" w:line="360" w:lineRule="auto"/>
        <w:jc w:val="both"/>
        <w:rPr>
          <w:rFonts w:ascii="Times New Roman" w:hAnsi="Times New Roman" w:cs="Times New Roman"/>
          <w:b/>
        </w:rPr>
      </w:pPr>
      <w:r w:rsidRPr="00C417FC">
        <w:rPr>
          <w:rFonts w:ascii="Times New Roman" w:hAnsi="Times New Roman" w:cs="Times New Roman"/>
          <w:b/>
        </w:rPr>
        <w:t>References</w:t>
      </w:r>
    </w:p>
    <w:p w14:paraId="50CC1D05" w14:textId="2AAD09A2" w:rsidR="00A46399" w:rsidRPr="00C417FC" w:rsidRDefault="00A46399" w:rsidP="00DE77B6">
      <w:pPr>
        <w:spacing w:after="120" w:line="240" w:lineRule="auto"/>
        <w:ind w:left="720" w:hanging="720"/>
        <w:rPr>
          <w:rFonts w:ascii="Times New Roman" w:hAnsi="Times New Roman" w:cs="Times New Roman"/>
          <w:lang w:val="en-NZ" w:eastAsia="zh-CN"/>
        </w:rPr>
      </w:pPr>
      <w:r w:rsidRPr="00C417FC">
        <w:rPr>
          <w:rFonts w:asciiTheme="majorBidi" w:hAnsiTheme="majorBidi" w:cstheme="majorBidi"/>
          <w:lang w:val="en-NZ" w:eastAsia="zh-CN"/>
        </w:rPr>
        <w:t>Alevy</w:t>
      </w:r>
      <w:r w:rsidRPr="00C417FC">
        <w:rPr>
          <w:rFonts w:ascii="Times New Roman" w:hAnsi="Times New Roman" w:cs="Times New Roman"/>
          <w:lang w:val="en-NZ" w:eastAsia="zh-CN"/>
        </w:rPr>
        <w:t xml:space="preserve">, J. E., </w:t>
      </w:r>
      <w:r w:rsidR="006E3194" w:rsidRPr="00C417FC">
        <w:rPr>
          <w:rFonts w:ascii="Times New Roman" w:hAnsi="Times New Roman" w:cs="Times New Roman"/>
          <w:lang w:val="en-NZ" w:eastAsia="zh-CN"/>
        </w:rPr>
        <w:t>and</w:t>
      </w:r>
      <w:r w:rsidRPr="00C417FC">
        <w:rPr>
          <w:rFonts w:ascii="Times New Roman" w:hAnsi="Times New Roman" w:cs="Times New Roman"/>
          <w:lang w:val="en-NZ" w:eastAsia="zh-CN"/>
        </w:rPr>
        <w:t xml:space="preserve"> Price, M. K. (2017). Advice in the marketplace: A laboratory study. Experimental Economics, 20(1), 156-180. https://doi.org/10.1007/s10683-016-9480-5</w:t>
      </w:r>
    </w:p>
    <w:p w14:paraId="41823371" w14:textId="43E5985E"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Angerer, M.,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Szymczak, W. (2019). The impact of endogenous and exogenous cash inflows in experimental asset markets. Journal of Economic </w:t>
      </w:r>
      <w:proofErr w:type="spellStart"/>
      <w:r w:rsidRPr="00C417FC">
        <w:rPr>
          <w:rFonts w:asciiTheme="majorBidi" w:hAnsiTheme="majorBidi" w:cstheme="majorBidi"/>
          <w:lang w:val="en-NZ" w:eastAsia="zh-CN"/>
        </w:rPr>
        <w:t>Behavior</w:t>
      </w:r>
      <w:proofErr w:type="spellEnd"/>
      <w:r w:rsidRPr="00C417FC">
        <w:rPr>
          <w:rFonts w:asciiTheme="majorBidi" w:hAnsiTheme="majorBidi" w:cstheme="majorBidi"/>
          <w:lang w:val="en-NZ" w:eastAsia="zh-CN"/>
        </w:rPr>
        <w:t xml:space="preserve"> </w:t>
      </w:r>
      <w:r w:rsidR="00FF6709" w:rsidRPr="00C417FC">
        <w:rPr>
          <w:rFonts w:asciiTheme="majorBidi" w:hAnsiTheme="majorBidi" w:cstheme="majorBidi"/>
          <w:lang w:val="en-NZ" w:eastAsia="zh-CN"/>
        </w:rPr>
        <w:t>&amp;</w:t>
      </w:r>
      <w:r w:rsidRPr="00C417FC">
        <w:rPr>
          <w:rFonts w:asciiTheme="majorBidi" w:hAnsiTheme="majorBidi" w:cstheme="majorBidi"/>
          <w:lang w:val="en-NZ" w:eastAsia="zh-CN"/>
        </w:rPr>
        <w:t xml:space="preserve"> Organization, 166, 216-238. https://doi.org/10.1016/j.jebo.2019.08.009</w:t>
      </w:r>
    </w:p>
    <w:p w14:paraId="3AFC3BBC" w14:textId="11BC5FD3"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Bai, H., Voelkel, J. G., Muldowney, S., Eichstaedt, J. C.,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Willer, R. (2025). LLM-generated messages can persuade humans on policy issues. Nature Communications, 16(1), 6037. https://doi.org/10.1038/s41467-025-61345-5</w:t>
      </w:r>
    </w:p>
    <w:p w14:paraId="798C7249" w14:textId="787095E6"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Basu, S., Garimella, A., Han, W.,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Dennis, A. R. (2021). Human decision making in AI augmented systems: Evidence from the initial coin offering market. Proceedings of the 54th Annual Hawaii International Conference on System Sciences, HICSS 2021, 176-185. </w:t>
      </w:r>
      <w:r w:rsidR="00FF6709" w:rsidRPr="00C417FC">
        <w:rPr>
          <w:rFonts w:asciiTheme="majorBidi" w:hAnsiTheme="majorBidi" w:cstheme="majorBidi"/>
          <w:lang w:val="en-NZ" w:eastAsia="zh-CN"/>
        </w:rPr>
        <w:t>https://doi.org/10.24251/HICSS.2021.020</w:t>
      </w:r>
    </w:p>
    <w:p w14:paraId="1C09564E" w14:textId="380ED769"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Bianchi, M.,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t>
      </w:r>
      <w:proofErr w:type="spellStart"/>
      <w:r w:rsidRPr="00C417FC">
        <w:rPr>
          <w:rFonts w:asciiTheme="majorBidi" w:hAnsiTheme="majorBidi" w:cstheme="majorBidi"/>
          <w:lang w:val="en-NZ" w:eastAsia="zh-CN"/>
        </w:rPr>
        <w:t>Brière</w:t>
      </w:r>
      <w:proofErr w:type="spellEnd"/>
      <w:r w:rsidRPr="00C417FC">
        <w:rPr>
          <w:rFonts w:asciiTheme="majorBidi" w:hAnsiTheme="majorBidi" w:cstheme="majorBidi"/>
          <w:lang w:val="en-NZ" w:eastAsia="zh-CN"/>
        </w:rPr>
        <w:t>, M. (2026). Human-robot interactions in investment decisions. Management Science, 72(1), 14-31. https://doi.org/10.1287/mnsc.2022.03886</w:t>
      </w:r>
    </w:p>
    <w:p w14:paraId="2D40A483" w14:textId="17DE524A"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Caginalp</w:t>
      </w:r>
      <w:proofErr w:type="spellEnd"/>
      <w:r w:rsidRPr="00C417FC">
        <w:rPr>
          <w:rFonts w:asciiTheme="majorBidi" w:hAnsiTheme="majorBidi" w:cstheme="majorBidi"/>
          <w:lang w:val="en-NZ" w:eastAsia="zh-CN"/>
        </w:rPr>
        <w:t xml:space="preserve">, G., Porter, D.,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Smith, V. L. (1998). Initial cash/asset ratio and asset prices: An experimental study. Proceedings of the National Academy of Sciences of the United States of America, 95(2), 756-761. https://doi.org/10.1073/pnas.95.2.756</w:t>
      </w:r>
    </w:p>
    <w:p w14:paraId="23F3F595" w14:textId="231D4AFE"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Caro, F., </w:t>
      </w:r>
      <w:proofErr w:type="spellStart"/>
      <w:r w:rsidRPr="00C417FC">
        <w:rPr>
          <w:rFonts w:asciiTheme="majorBidi" w:hAnsiTheme="majorBidi" w:cstheme="majorBidi"/>
          <w:lang w:val="en-NZ" w:eastAsia="zh-CN"/>
        </w:rPr>
        <w:t>Colliard</w:t>
      </w:r>
      <w:proofErr w:type="spellEnd"/>
      <w:r w:rsidRPr="00C417FC">
        <w:rPr>
          <w:rFonts w:asciiTheme="majorBidi" w:hAnsiTheme="majorBidi" w:cstheme="majorBidi"/>
          <w:lang w:val="en-NZ" w:eastAsia="zh-CN"/>
        </w:rPr>
        <w:t xml:space="preserve">, J.-E., Katok, E., Ockenfels, A., Stier-Moses, N., Tucker, C.,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Wu, D. J. (2026). Introduction to the special issue on the human-algorithm connection. Management Science, 72(1), 1-13. https://doi.org/10.1287/mnsc.2023.intro.v72.n1</w:t>
      </w:r>
    </w:p>
    <w:p w14:paraId="61210D40" w14:textId="073883C1"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Cason, T. N.,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Friedman, D. (1997). Price formation in single call markets. </w:t>
      </w:r>
      <w:proofErr w:type="spellStart"/>
      <w:r w:rsidRPr="00C417FC">
        <w:rPr>
          <w:rFonts w:asciiTheme="majorBidi" w:hAnsiTheme="majorBidi" w:cstheme="majorBidi"/>
          <w:lang w:val="en-NZ" w:eastAsia="zh-CN"/>
        </w:rPr>
        <w:t>Econometrica</w:t>
      </w:r>
      <w:proofErr w:type="spellEnd"/>
      <w:r w:rsidRPr="00C417FC">
        <w:rPr>
          <w:rFonts w:asciiTheme="majorBidi" w:hAnsiTheme="majorBidi" w:cstheme="majorBidi"/>
          <w:lang w:val="en-NZ" w:eastAsia="zh-CN"/>
        </w:rPr>
        <w:t>, 65(2), 311-345. https://doi.org/10.2307/2171895</w:t>
      </w:r>
    </w:p>
    <w:p w14:paraId="4C062BF6" w14:textId="6D5BF3D5"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Castelo, N., Bos, M. W.,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Lehmann, D. R. (2019). Task-dependent algorithm aversion. Journal of Marketing Research, 56(5), 809-825. https://doi.org/10.1177/0022243719851788</w:t>
      </w:r>
    </w:p>
    <w:p w14:paraId="23D162CC" w14:textId="08D315FE"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Chen, D. L., </w:t>
      </w:r>
      <w:proofErr w:type="spellStart"/>
      <w:r w:rsidRPr="00C417FC">
        <w:rPr>
          <w:rFonts w:asciiTheme="majorBidi" w:hAnsiTheme="majorBidi" w:cstheme="majorBidi"/>
          <w:lang w:val="en-NZ" w:eastAsia="zh-CN"/>
        </w:rPr>
        <w:t>Schonger</w:t>
      </w:r>
      <w:proofErr w:type="spellEnd"/>
      <w:r w:rsidRPr="00C417FC">
        <w:rPr>
          <w:rFonts w:asciiTheme="majorBidi" w:hAnsiTheme="majorBidi" w:cstheme="majorBidi"/>
          <w:lang w:val="en-NZ" w:eastAsia="zh-CN"/>
        </w:rPr>
        <w:t xml:space="preserve">, M.,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Wickens, C. (2016). oTree: An open-source platform for laboratory, online, and field experiments. Journal of </w:t>
      </w:r>
      <w:proofErr w:type="spellStart"/>
      <w:r w:rsidRPr="00C417FC">
        <w:rPr>
          <w:rFonts w:asciiTheme="majorBidi" w:hAnsiTheme="majorBidi" w:cstheme="majorBidi"/>
          <w:lang w:val="en-NZ" w:eastAsia="zh-CN"/>
        </w:rPr>
        <w:t>Behavioral</w:t>
      </w:r>
      <w:proofErr w:type="spellEnd"/>
      <w:r w:rsidRPr="00C417FC">
        <w:rPr>
          <w:rFonts w:asciiTheme="majorBidi" w:hAnsiTheme="majorBidi" w:cstheme="majorBidi"/>
          <w:lang w:val="en-NZ" w:eastAsia="zh-CN"/>
        </w:rPr>
        <w:t xml:space="preserve"> and Experimental Finance, 9, 88-97. https://doi.org/10.1016/j.jbef.2015.12.001</w:t>
      </w:r>
    </w:p>
    <w:p w14:paraId="32C7EB33" w14:textId="50EA7C92"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lastRenderedPageBreak/>
        <w:t xml:space="preserve">Cheng, Q., Lin, P.,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Zhao, Y. (2025). Does generative AI facilitate investor trading? Early evidence from ChatGPT outages. Journal of Accounting and Economics, 80(2), 101821. https://doi.org/10.1016/j.jacceco.2025.101821</w:t>
      </w:r>
    </w:p>
    <w:p w14:paraId="3A96DB1F" w14:textId="79ED420B"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Davis, A. M., Mankad, S., Corbett, C. J.,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Katok, E. (2024). OM Forum: The best of both worlds: Machine learning and </w:t>
      </w:r>
      <w:proofErr w:type="spellStart"/>
      <w:r w:rsidRPr="00C417FC">
        <w:rPr>
          <w:rFonts w:asciiTheme="majorBidi" w:hAnsiTheme="majorBidi" w:cstheme="majorBidi"/>
          <w:lang w:val="en-NZ" w:eastAsia="zh-CN"/>
        </w:rPr>
        <w:t>behavioral</w:t>
      </w:r>
      <w:proofErr w:type="spellEnd"/>
      <w:r w:rsidRPr="00C417FC">
        <w:rPr>
          <w:rFonts w:asciiTheme="majorBidi" w:hAnsiTheme="majorBidi" w:cstheme="majorBidi"/>
          <w:lang w:val="en-NZ" w:eastAsia="zh-CN"/>
        </w:rPr>
        <w:t xml:space="preserve"> science in operations management. Manufacturing </w:t>
      </w:r>
      <w:r w:rsidR="00914466" w:rsidRPr="00C417FC">
        <w:rPr>
          <w:rFonts w:asciiTheme="majorBidi" w:hAnsiTheme="majorBidi" w:cstheme="majorBidi"/>
          <w:lang w:val="en-NZ" w:eastAsia="zh-CN"/>
        </w:rPr>
        <w:t>&amp;</w:t>
      </w:r>
      <w:r w:rsidRPr="00C417FC">
        <w:rPr>
          <w:rFonts w:asciiTheme="majorBidi" w:hAnsiTheme="majorBidi" w:cstheme="majorBidi"/>
          <w:lang w:val="en-NZ" w:eastAsia="zh-CN"/>
        </w:rPr>
        <w:t xml:space="preserve"> Service Operations Management, 26(5), 1605-1621. https://doi.org/10.1287/msom.2022.0553</w:t>
      </w:r>
    </w:p>
    <w:p w14:paraId="4860F4B3" w14:textId="395DEB1A"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Dietvorst</w:t>
      </w:r>
      <w:proofErr w:type="spellEnd"/>
      <w:r w:rsidRPr="00C417FC">
        <w:rPr>
          <w:rFonts w:asciiTheme="majorBidi" w:hAnsiTheme="majorBidi" w:cstheme="majorBidi"/>
          <w:lang w:val="en-NZ" w:eastAsia="zh-CN"/>
        </w:rPr>
        <w:t xml:space="preserve">, B. J., Simmons, J. P.,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Massey, C. (2015). Algorithm aversion: People erroneously avoid algorithms after seeing them err. Journal of Experimental Psychology: General, 144(1), 114-126. https://doi.org/10.1037/xge0000033</w:t>
      </w:r>
    </w:p>
    <w:p w14:paraId="4A9858F5" w14:textId="77777777"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eToro</w:t>
      </w:r>
      <w:proofErr w:type="spellEnd"/>
      <w:r w:rsidRPr="00C417FC">
        <w:rPr>
          <w:rFonts w:asciiTheme="majorBidi" w:hAnsiTheme="majorBidi" w:cstheme="majorBidi"/>
          <w:lang w:val="en-NZ" w:eastAsia="zh-CN"/>
        </w:rPr>
        <w:t>. (2025). US retail investors flock to AI tools, with usage surging 75% in one year. https://www.etoro.com/en-us/news-and-analysis/latest-news/press-release/us-retail-investors-flock-to-ai-tools-with-usage-surging-75-in-one-year/</w:t>
      </w:r>
    </w:p>
    <w:p w14:paraId="5199985A" w14:textId="77777777"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Friedman, D. (1993). How trading institutions affect financial market performance: Some laboratory evidence. Economic Inquiry, 31(3), 410-435. https://doi.org/10.1111/j.1465-7295.1993.tb01302.x</w:t>
      </w:r>
    </w:p>
    <w:p w14:paraId="0C769D60" w14:textId="5F6B9F4B" w:rsidR="00A46399" w:rsidRPr="00C417FC" w:rsidRDefault="00A46399" w:rsidP="00764A13">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Gillespie, N., Lockey, S., Curtis, C., Pool, J.,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Ali, A. (2023). Trust in artificial intelligence: A global study. The University of Queensland and KPMG Australia.</w:t>
      </w:r>
      <w:r w:rsidR="00764A13" w:rsidRPr="00C417FC">
        <w:rPr>
          <w:rFonts w:asciiTheme="majorBidi" w:hAnsiTheme="majorBidi" w:cstheme="majorBidi"/>
          <w:lang w:val="en-NZ" w:eastAsia="zh-CN"/>
        </w:rPr>
        <w:t xml:space="preserve"> https://doi.org/10.14264/00d3c94</w:t>
      </w:r>
    </w:p>
    <w:p w14:paraId="3D8015D6" w14:textId="77777777"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Greiner, B. (2015). Subject pool recruitment procedures: Organizing experiments with ORSEE. Journal of the Economic Science Association, 1(1), 114-125. https://doi.org/10.1007/s40881-015-0004-4</w:t>
      </w:r>
    </w:p>
    <w:p w14:paraId="75D281CA" w14:textId="67558215"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Hargreaves Heap, S. P.,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Zizzo, D. J. (2011). Emotions and chat in a financial markets experiment. SSRN Electronic Journal. https://doi.org/10.2139/ssrn.1783462</w:t>
      </w:r>
    </w:p>
    <w:p w14:paraId="27CA146D" w14:textId="70A9A843"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Harris, M.,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Raviv, A. (1993). Differences of opinion make a horse race. The Review of Financial Studies, 6(3), 473-506. https://doi.org/10.1093/rfs/6.3.473</w:t>
      </w:r>
    </w:p>
    <w:p w14:paraId="0E7E5EC3" w14:textId="027DC560"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Haruvy</w:t>
      </w:r>
      <w:proofErr w:type="spellEnd"/>
      <w:r w:rsidRPr="00C417FC">
        <w:rPr>
          <w:rFonts w:asciiTheme="majorBidi" w:hAnsiTheme="majorBidi" w:cstheme="majorBidi"/>
          <w:lang w:val="en-NZ" w:eastAsia="zh-CN"/>
        </w:rPr>
        <w:t xml:space="preserve">, E.,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t>
      </w:r>
      <w:proofErr w:type="spellStart"/>
      <w:r w:rsidRPr="00C417FC">
        <w:rPr>
          <w:rFonts w:asciiTheme="majorBidi" w:hAnsiTheme="majorBidi" w:cstheme="majorBidi"/>
          <w:lang w:val="en-NZ" w:eastAsia="zh-CN"/>
        </w:rPr>
        <w:t>Noussair</w:t>
      </w:r>
      <w:proofErr w:type="spellEnd"/>
      <w:r w:rsidRPr="00C417FC">
        <w:rPr>
          <w:rFonts w:asciiTheme="majorBidi" w:hAnsiTheme="majorBidi" w:cstheme="majorBidi"/>
          <w:lang w:val="en-NZ" w:eastAsia="zh-CN"/>
        </w:rPr>
        <w:t>, C. N. (2006). The effect of short selling on bubbles and crashes in experimental spot asset markets. The Journal of Finance, 61(3), 1119-1157. https://doi.org/10.1111/j.1540-6261.2006.00868.x</w:t>
      </w:r>
    </w:p>
    <w:p w14:paraId="2106050E" w14:textId="70B52A54"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Hazra, S.,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Serra-Garcia, M. (2025). Understanding trust in AI as an information source: Cross-country evidence (</w:t>
      </w:r>
      <w:proofErr w:type="spellStart"/>
      <w:r w:rsidRPr="00C417FC">
        <w:rPr>
          <w:rFonts w:asciiTheme="majorBidi" w:hAnsiTheme="majorBidi" w:cstheme="majorBidi"/>
          <w:lang w:val="en-NZ" w:eastAsia="zh-CN"/>
        </w:rPr>
        <w:t>CESifo</w:t>
      </w:r>
      <w:proofErr w:type="spellEnd"/>
      <w:r w:rsidRPr="00C417FC">
        <w:rPr>
          <w:rFonts w:asciiTheme="majorBidi" w:hAnsiTheme="majorBidi" w:cstheme="majorBidi"/>
          <w:lang w:val="en-NZ" w:eastAsia="zh-CN"/>
        </w:rPr>
        <w:t xml:space="preserve"> Working Paper No. 11954). https://doi.org/10.2139/ssrn.5327285</w:t>
      </w:r>
    </w:p>
    <w:p w14:paraId="7EFCB5FC" w14:textId="5E3B7042"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Huber, J., </w:t>
      </w:r>
      <w:proofErr w:type="spellStart"/>
      <w:r w:rsidRPr="00C417FC">
        <w:rPr>
          <w:rFonts w:asciiTheme="majorBidi" w:hAnsiTheme="majorBidi" w:cstheme="majorBidi"/>
          <w:lang w:val="en-NZ" w:eastAsia="zh-CN"/>
        </w:rPr>
        <w:t>Kirchler</w:t>
      </w:r>
      <w:proofErr w:type="spellEnd"/>
      <w:r w:rsidRPr="00C417FC">
        <w:rPr>
          <w:rFonts w:asciiTheme="majorBidi" w:hAnsiTheme="majorBidi" w:cstheme="majorBidi"/>
          <w:lang w:val="en-NZ" w:eastAsia="zh-CN"/>
        </w:rPr>
        <w:t xml:space="preserve">, M.,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Sutter, M. (2008). Is more information always better? Experimental financial markets with cumulative information. Journal of Economic </w:t>
      </w:r>
      <w:proofErr w:type="spellStart"/>
      <w:r w:rsidRPr="00C417FC">
        <w:rPr>
          <w:rFonts w:asciiTheme="majorBidi" w:hAnsiTheme="majorBidi" w:cstheme="majorBidi"/>
          <w:lang w:val="en-NZ" w:eastAsia="zh-CN"/>
        </w:rPr>
        <w:t>Behavior</w:t>
      </w:r>
      <w:proofErr w:type="spellEnd"/>
      <w:r w:rsidRPr="00C417FC">
        <w:rPr>
          <w:rFonts w:asciiTheme="majorBidi" w:hAnsiTheme="majorBidi" w:cstheme="majorBidi"/>
          <w:lang w:val="en-NZ" w:eastAsia="zh-CN"/>
        </w:rPr>
        <w:t xml:space="preserve"> </w:t>
      </w:r>
      <w:r w:rsidR="00764A13" w:rsidRPr="00C417FC">
        <w:rPr>
          <w:rFonts w:asciiTheme="majorBidi" w:hAnsiTheme="majorBidi" w:cstheme="majorBidi"/>
          <w:lang w:val="en-NZ" w:eastAsia="zh-CN"/>
        </w:rPr>
        <w:t>&amp;</w:t>
      </w:r>
      <w:r w:rsidRPr="00C417FC">
        <w:rPr>
          <w:rFonts w:asciiTheme="majorBidi" w:hAnsiTheme="majorBidi" w:cstheme="majorBidi"/>
          <w:lang w:val="en-NZ" w:eastAsia="zh-CN"/>
        </w:rPr>
        <w:t xml:space="preserve"> Organization, 65(1), 86-104. https://doi.org/10.1016/j.jebo.2005.05.012</w:t>
      </w:r>
    </w:p>
    <w:p w14:paraId="3FDE84D3" w14:textId="5B4D035D"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Kandel, E.,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Pearson, N. D. (1995). Differential interpretation of public signals and trade in speculative markets. Journal of Political Economy, 103(4), 831-872. https://doi.org/10.1086/262005</w:t>
      </w:r>
    </w:p>
    <w:p w14:paraId="569A6B4B" w14:textId="77777777"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Kirchler</w:t>
      </w:r>
      <w:proofErr w:type="spellEnd"/>
      <w:r w:rsidRPr="00C417FC">
        <w:rPr>
          <w:rFonts w:asciiTheme="majorBidi" w:hAnsiTheme="majorBidi" w:cstheme="majorBidi"/>
          <w:lang w:val="en-NZ" w:eastAsia="zh-CN"/>
        </w:rPr>
        <w:t>, M. (2009). Underreaction to fundamental information and asymmetry in mispricing between bullish and bearish markets: An experimental study. Journal of Economic Dynamics and Control, 33(2), 491-506. https://doi.org/10.1016/j.jedc.2008.08.002</w:t>
      </w:r>
    </w:p>
    <w:p w14:paraId="7D12F183" w14:textId="67D0DD47"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Kirchler</w:t>
      </w:r>
      <w:proofErr w:type="spellEnd"/>
      <w:r w:rsidRPr="00C417FC">
        <w:rPr>
          <w:rFonts w:asciiTheme="majorBidi" w:hAnsiTheme="majorBidi" w:cstheme="majorBidi"/>
          <w:lang w:val="en-NZ" w:eastAsia="zh-CN"/>
        </w:rPr>
        <w:t xml:space="preserve">, M.,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Huber, J. (2007). Fat tails and volatility clustering in experimental asset markets. Journal of Economic Dynamics and Control, 31(6), 1844-1874. https://doi.org/10.1016/j.jedc.2007.01.009</w:t>
      </w:r>
    </w:p>
    <w:p w14:paraId="5AC8238D" w14:textId="33A8A31D"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lastRenderedPageBreak/>
        <w:t>Kirchler</w:t>
      </w:r>
      <w:proofErr w:type="spellEnd"/>
      <w:r w:rsidRPr="00C417FC">
        <w:rPr>
          <w:rFonts w:asciiTheme="majorBidi" w:hAnsiTheme="majorBidi" w:cstheme="majorBidi"/>
          <w:lang w:val="en-NZ" w:eastAsia="zh-CN"/>
        </w:rPr>
        <w:t xml:space="preserve">, M., Huber, J.,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Stöckl, T. (2012). Thar she bursts: Reducing confusion reduces bubbles. American Economic Review, 102(2), 865-883. https://doi.org/10.1257/aer.102.2.865</w:t>
      </w:r>
    </w:p>
    <w:p w14:paraId="4B08C6E4" w14:textId="1B69A32B"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Lambrecht, M., Sofianos, A.,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Xu, Y. (2025). Does mining fuel bubbles? An experimental study on cryptocurrency markets. Management Science, 71(3), 1865-1888.</w:t>
      </w:r>
      <w:r w:rsidR="00CA036A" w:rsidRPr="00C417FC">
        <w:rPr>
          <w:rFonts w:asciiTheme="majorBidi" w:hAnsiTheme="majorBidi" w:cstheme="majorBidi"/>
          <w:lang w:val="en-NZ" w:eastAsia="zh-CN"/>
        </w:rPr>
        <w:t xml:space="preserve"> </w:t>
      </w:r>
      <w:r w:rsidR="00CA036A" w:rsidRPr="00C417FC">
        <w:rPr>
          <w:rFonts w:asciiTheme="majorBidi" w:hAnsiTheme="majorBidi" w:cstheme="majorBidi"/>
          <w:lang w:eastAsia="zh-CN"/>
        </w:rPr>
        <w:t>https://doi.org/10.1287/mnsc.2022.01238</w:t>
      </w:r>
    </w:p>
    <w:p w14:paraId="2AC2FD89" w14:textId="0D368723"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Logg, J. M., Minson, J. A.,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Moore, D. A. (2019). Algorithm appreciation: People prefer algorithmic to human judgment. Organizational </w:t>
      </w:r>
      <w:proofErr w:type="spellStart"/>
      <w:r w:rsidRPr="00C417FC">
        <w:rPr>
          <w:rFonts w:asciiTheme="majorBidi" w:hAnsiTheme="majorBidi" w:cstheme="majorBidi"/>
          <w:lang w:val="en-NZ" w:eastAsia="zh-CN"/>
        </w:rPr>
        <w:t>Behavior</w:t>
      </w:r>
      <w:proofErr w:type="spellEnd"/>
      <w:r w:rsidRPr="00C417FC">
        <w:rPr>
          <w:rFonts w:asciiTheme="majorBidi" w:hAnsiTheme="majorBidi" w:cstheme="majorBidi"/>
          <w:lang w:val="en-NZ" w:eastAsia="zh-CN"/>
        </w:rPr>
        <w:t xml:space="preserve"> and Human Decision Processes, 151, 90-103. https://doi.org/10.1016/j.obhdp.2018.12.005</w:t>
      </w:r>
    </w:p>
    <w:p w14:paraId="1585290B" w14:textId="2B4FD9AF" w:rsidR="00A46399" w:rsidRPr="00C417FC" w:rsidRDefault="00A46399" w:rsidP="00397CAB">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Lopez-Lira, A.,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Tang, Y. (2023). Can ChatGPT forecast stock price movements? Return predictability and large language models. </w:t>
      </w:r>
      <w:proofErr w:type="spellStart"/>
      <w:r w:rsidRPr="00C417FC">
        <w:rPr>
          <w:rFonts w:asciiTheme="majorBidi" w:hAnsiTheme="majorBidi" w:cstheme="majorBidi"/>
          <w:lang w:val="en-NZ" w:eastAsia="zh-CN"/>
        </w:rPr>
        <w:t>arXiv</w:t>
      </w:r>
      <w:proofErr w:type="spellEnd"/>
      <w:r w:rsidRPr="00C417FC">
        <w:rPr>
          <w:rFonts w:asciiTheme="majorBidi" w:hAnsiTheme="majorBidi" w:cstheme="majorBidi"/>
          <w:lang w:val="en-NZ" w:eastAsia="zh-CN"/>
        </w:rPr>
        <w:t>.</w:t>
      </w:r>
      <w:r w:rsidR="00397CAB" w:rsidRPr="00C417FC">
        <w:rPr>
          <w:rFonts w:asciiTheme="majorBidi" w:hAnsiTheme="majorBidi" w:cstheme="majorBidi"/>
          <w:lang w:val="en-NZ" w:eastAsia="zh-CN"/>
        </w:rPr>
        <w:t xml:space="preserve"> https://doi.org/10.48550/arXiv.2304.07619</w:t>
      </w:r>
    </w:p>
    <w:p w14:paraId="30844E48" w14:textId="77777777"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Nicholson-Messmer, E. (2025). Clients are turning to ChatGPT to double-check: “Is my </w:t>
      </w:r>
      <w:proofErr w:type="gramStart"/>
      <w:r w:rsidRPr="00C417FC">
        <w:rPr>
          <w:rFonts w:asciiTheme="majorBidi" w:hAnsiTheme="majorBidi" w:cstheme="majorBidi"/>
          <w:lang w:val="en-NZ" w:eastAsia="zh-CN"/>
        </w:rPr>
        <w:t>advisor</w:t>
      </w:r>
      <w:proofErr w:type="gramEnd"/>
      <w:r w:rsidRPr="00C417FC">
        <w:rPr>
          <w:rFonts w:asciiTheme="majorBidi" w:hAnsiTheme="majorBidi" w:cstheme="majorBidi"/>
          <w:lang w:val="en-NZ" w:eastAsia="zh-CN"/>
        </w:rPr>
        <w:t xml:space="preserve"> right?” Yahoo Finance. https://finance.yahoo.com/news/clients-turning-chatgpt-double-check-194427141.html</w:t>
      </w:r>
    </w:p>
    <w:p w14:paraId="5EBBFE57" w14:textId="45F8350F"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Noussair</w:t>
      </w:r>
      <w:proofErr w:type="spellEnd"/>
      <w:r w:rsidRPr="00C417FC">
        <w:rPr>
          <w:rFonts w:asciiTheme="majorBidi" w:hAnsiTheme="majorBidi" w:cstheme="majorBidi"/>
          <w:lang w:val="en-NZ" w:eastAsia="zh-CN"/>
        </w:rPr>
        <w:t xml:space="preserve">, C. N.,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Tucker, S. (2016). Cash inflows and bubbles in asset markets with constant fundamental values. Economic Inquiry, 54(3), 1596-1606. https://doi.org/10.1111/ecin.12320</w:t>
      </w:r>
    </w:p>
    <w:p w14:paraId="6D1935CE" w14:textId="39890E49"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Noussair</w:t>
      </w:r>
      <w:proofErr w:type="spellEnd"/>
      <w:r w:rsidRPr="00C417FC">
        <w:rPr>
          <w:rFonts w:asciiTheme="majorBidi" w:hAnsiTheme="majorBidi" w:cstheme="majorBidi"/>
          <w:lang w:val="en-NZ" w:eastAsia="zh-CN"/>
        </w:rPr>
        <w:t xml:space="preserve">, C., Tucker, S.,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Ryan, M. (2022). The effect of </w:t>
      </w:r>
      <w:proofErr w:type="spellStart"/>
      <w:r w:rsidRPr="00C417FC">
        <w:rPr>
          <w:rFonts w:asciiTheme="majorBidi" w:hAnsiTheme="majorBidi" w:cstheme="majorBidi"/>
          <w:lang w:val="en-NZ" w:eastAsia="zh-CN"/>
        </w:rPr>
        <w:t>favorable</w:t>
      </w:r>
      <w:proofErr w:type="spellEnd"/>
      <w:r w:rsidRPr="00C417FC">
        <w:rPr>
          <w:rFonts w:asciiTheme="majorBidi" w:hAnsiTheme="majorBidi" w:cstheme="majorBidi"/>
          <w:lang w:val="en-NZ" w:eastAsia="zh-CN"/>
        </w:rPr>
        <w:t xml:space="preserve"> and </w:t>
      </w:r>
      <w:proofErr w:type="spellStart"/>
      <w:r w:rsidRPr="00C417FC">
        <w:rPr>
          <w:rFonts w:asciiTheme="majorBidi" w:hAnsiTheme="majorBidi" w:cstheme="majorBidi"/>
          <w:lang w:val="en-NZ" w:eastAsia="zh-CN"/>
        </w:rPr>
        <w:t>unfavorable</w:t>
      </w:r>
      <w:proofErr w:type="spellEnd"/>
      <w:r w:rsidRPr="00C417FC">
        <w:rPr>
          <w:rFonts w:asciiTheme="majorBidi" w:hAnsiTheme="majorBidi" w:cstheme="majorBidi"/>
          <w:lang w:val="en-NZ" w:eastAsia="zh-CN"/>
        </w:rPr>
        <w:t xml:space="preserve"> information on asset prices. In S. </w:t>
      </w:r>
      <w:proofErr w:type="spellStart"/>
      <w:r w:rsidRPr="00C417FC">
        <w:rPr>
          <w:rFonts w:asciiTheme="majorBidi" w:hAnsiTheme="majorBidi" w:cstheme="majorBidi"/>
          <w:lang w:val="en-NZ" w:eastAsia="zh-CN"/>
        </w:rPr>
        <w:t>Füllbrunn</w:t>
      </w:r>
      <w:proofErr w:type="spellEnd"/>
      <w:r w:rsidRPr="00C417FC">
        <w:rPr>
          <w:rFonts w:asciiTheme="majorBidi" w:hAnsiTheme="majorBidi" w:cstheme="majorBidi"/>
          <w:lang w:val="en-NZ" w:eastAsia="zh-CN"/>
        </w:rPr>
        <w:t xml:space="preserve">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E. </w:t>
      </w:r>
      <w:proofErr w:type="spellStart"/>
      <w:r w:rsidRPr="00C417FC">
        <w:rPr>
          <w:rFonts w:asciiTheme="majorBidi" w:hAnsiTheme="majorBidi" w:cstheme="majorBidi"/>
          <w:lang w:val="en-NZ" w:eastAsia="zh-CN"/>
        </w:rPr>
        <w:t>Haruvy</w:t>
      </w:r>
      <w:proofErr w:type="spellEnd"/>
      <w:r w:rsidRPr="00C417FC">
        <w:rPr>
          <w:rFonts w:asciiTheme="majorBidi" w:hAnsiTheme="majorBidi" w:cstheme="majorBidi"/>
          <w:lang w:val="en-NZ" w:eastAsia="zh-CN"/>
        </w:rPr>
        <w:t xml:space="preserve"> (Eds.), Handbook of experimental finance (pp. 194-212). Edward Elgar Publishing.</w:t>
      </w:r>
      <w:r w:rsidR="000A2E8D" w:rsidRPr="00C417FC">
        <w:t xml:space="preserve"> </w:t>
      </w:r>
      <w:r w:rsidR="000A2E8D" w:rsidRPr="00C417FC">
        <w:rPr>
          <w:rFonts w:asciiTheme="majorBidi" w:hAnsiTheme="majorBidi" w:cstheme="majorBidi"/>
          <w:lang w:val="en-NZ" w:eastAsia="zh-CN"/>
        </w:rPr>
        <w:t>https://doi.org/10.4337/9781800372337.00024</w:t>
      </w:r>
    </w:p>
    <w:p w14:paraId="7B3216BE" w14:textId="306819AD" w:rsidR="00A46399" w:rsidRPr="00C417FC" w:rsidRDefault="00A46399" w:rsidP="00DE77B6">
      <w:pPr>
        <w:spacing w:after="120" w:line="240" w:lineRule="auto"/>
        <w:ind w:left="720" w:hanging="720"/>
        <w:rPr>
          <w:rFonts w:asciiTheme="majorBidi" w:hAnsiTheme="majorBidi" w:cstheme="majorBidi"/>
          <w:lang w:val="en-NZ" w:eastAsia="zh-CN"/>
        </w:rPr>
      </w:pPr>
      <w:proofErr w:type="spellStart"/>
      <w:r w:rsidRPr="00C417FC">
        <w:rPr>
          <w:rFonts w:asciiTheme="majorBidi" w:hAnsiTheme="majorBidi" w:cstheme="majorBidi"/>
          <w:lang w:val="en-NZ" w:eastAsia="zh-CN"/>
        </w:rPr>
        <w:t>Oechssler</w:t>
      </w:r>
      <w:proofErr w:type="spellEnd"/>
      <w:r w:rsidRPr="00C417FC">
        <w:rPr>
          <w:rFonts w:asciiTheme="majorBidi" w:hAnsiTheme="majorBidi" w:cstheme="majorBidi"/>
          <w:lang w:val="en-NZ" w:eastAsia="zh-CN"/>
        </w:rPr>
        <w:t xml:space="preserve">, J., Schmidt, C.,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Schnedler, W. (2011). On the ingredients for bubble formation: Informed traders and communication. Journal of Economic Dynamics and Control, 35(11), 1831-1851. https://doi.org/10.1016/j.jedc.2011.05.009</w:t>
      </w:r>
    </w:p>
    <w:p w14:paraId="4B9F816A" w14:textId="77777777"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Powell, O. (2016). Numeraire independence and the measurement of mispricing in experimental asset markets. Journal of </w:t>
      </w:r>
      <w:proofErr w:type="spellStart"/>
      <w:r w:rsidRPr="00C417FC">
        <w:rPr>
          <w:rFonts w:asciiTheme="majorBidi" w:hAnsiTheme="majorBidi" w:cstheme="majorBidi"/>
          <w:lang w:val="en-NZ" w:eastAsia="zh-CN"/>
        </w:rPr>
        <w:t>Behavioral</w:t>
      </w:r>
      <w:proofErr w:type="spellEnd"/>
      <w:r w:rsidRPr="00C417FC">
        <w:rPr>
          <w:rFonts w:asciiTheme="majorBidi" w:hAnsiTheme="majorBidi" w:cstheme="majorBidi"/>
          <w:lang w:val="en-NZ" w:eastAsia="zh-CN"/>
        </w:rPr>
        <w:t xml:space="preserve"> and Experimental Finance, 9, 56-62. https://doi.org/10.1016/j.jbef.2015.11.002</w:t>
      </w:r>
    </w:p>
    <w:p w14:paraId="4134AC3B" w14:textId="2869B94F"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Price, P. C.,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Stone, E. R. (2004). Intuitive evaluation of likelihood judgment producers: Evidence for a confidence heuristic. Journal of </w:t>
      </w:r>
      <w:proofErr w:type="spellStart"/>
      <w:r w:rsidRPr="00C417FC">
        <w:rPr>
          <w:rFonts w:asciiTheme="majorBidi" w:hAnsiTheme="majorBidi" w:cstheme="majorBidi"/>
          <w:lang w:val="en-NZ" w:eastAsia="zh-CN"/>
        </w:rPr>
        <w:t>Behavioral</w:t>
      </w:r>
      <w:proofErr w:type="spellEnd"/>
      <w:r w:rsidRPr="00C417FC">
        <w:rPr>
          <w:rFonts w:asciiTheme="majorBidi" w:hAnsiTheme="majorBidi" w:cstheme="majorBidi"/>
          <w:lang w:val="en-NZ" w:eastAsia="zh-CN"/>
        </w:rPr>
        <w:t xml:space="preserve"> Decision Making, 17(1), 39-57. https://doi.org/10.1002/bdm.460</w:t>
      </w:r>
    </w:p>
    <w:p w14:paraId="1CC01C6B" w14:textId="0887A227"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Smith, V. L., </w:t>
      </w:r>
      <w:r w:rsidR="00741182" w:rsidRPr="00C417FC">
        <w:rPr>
          <w:rFonts w:asciiTheme="majorBidi" w:hAnsiTheme="majorBidi" w:cstheme="majorBidi"/>
          <w:lang w:val="en-NZ" w:eastAsia="zh-CN"/>
        </w:rPr>
        <w:t>V</w:t>
      </w:r>
      <w:r w:rsidRPr="00C417FC">
        <w:rPr>
          <w:rFonts w:asciiTheme="majorBidi" w:hAnsiTheme="majorBidi" w:cstheme="majorBidi"/>
          <w:lang w:val="en-NZ" w:eastAsia="zh-CN"/>
        </w:rPr>
        <w:t xml:space="preserve">an Boening, M.,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Wellford, C. P. (2000). Dividend timing and </w:t>
      </w:r>
      <w:proofErr w:type="spellStart"/>
      <w:r w:rsidRPr="00C417FC">
        <w:rPr>
          <w:rFonts w:asciiTheme="majorBidi" w:hAnsiTheme="majorBidi" w:cstheme="majorBidi"/>
          <w:lang w:val="en-NZ" w:eastAsia="zh-CN"/>
        </w:rPr>
        <w:t>behavior</w:t>
      </w:r>
      <w:proofErr w:type="spellEnd"/>
      <w:r w:rsidRPr="00C417FC">
        <w:rPr>
          <w:rFonts w:asciiTheme="majorBidi" w:hAnsiTheme="majorBidi" w:cstheme="majorBidi"/>
          <w:lang w:val="en-NZ" w:eastAsia="zh-CN"/>
        </w:rPr>
        <w:t xml:space="preserve"> in laboratory asset markets. Economic Theory, 16(3), 567-583. https://doi.org/10.1007/PL00020943</w:t>
      </w:r>
    </w:p>
    <w:p w14:paraId="110EE534" w14:textId="29E777B5"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Smith, V. L., Suchanek, G. L.,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Williams, A. W. (1988). Bubbles, crashes, and endogenous expectations in experimental spot asset markets. </w:t>
      </w:r>
      <w:proofErr w:type="spellStart"/>
      <w:r w:rsidRPr="00C417FC">
        <w:rPr>
          <w:rFonts w:asciiTheme="majorBidi" w:hAnsiTheme="majorBidi" w:cstheme="majorBidi"/>
          <w:lang w:val="en-NZ" w:eastAsia="zh-CN"/>
        </w:rPr>
        <w:t>Econometrica</w:t>
      </w:r>
      <w:proofErr w:type="spellEnd"/>
      <w:r w:rsidRPr="00C417FC">
        <w:rPr>
          <w:rFonts w:asciiTheme="majorBidi" w:hAnsiTheme="majorBidi" w:cstheme="majorBidi"/>
          <w:lang w:val="en-NZ" w:eastAsia="zh-CN"/>
        </w:rPr>
        <w:t>, 56(5), 1119-1151. https://doi.org/10.2307/1911361</w:t>
      </w:r>
    </w:p>
    <w:p w14:paraId="037BB571" w14:textId="631B6F6A"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Steiger, S.,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Pelster, M. (2020). Social interactions and asset pricing bubbles. Journal of Economic </w:t>
      </w:r>
      <w:proofErr w:type="spellStart"/>
      <w:r w:rsidRPr="00C417FC">
        <w:rPr>
          <w:rFonts w:asciiTheme="majorBidi" w:hAnsiTheme="majorBidi" w:cstheme="majorBidi"/>
          <w:lang w:val="en-NZ" w:eastAsia="zh-CN"/>
        </w:rPr>
        <w:t>Behavior</w:t>
      </w:r>
      <w:proofErr w:type="spellEnd"/>
      <w:r w:rsidRPr="00C417FC">
        <w:rPr>
          <w:rFonts w:asciiTheme="majorBidi" w:hAnsiTheme="majorBidi" w:cstheme="majorBidi"/>
          <w:lang w:val="en-NZ" w:eastAsia="zh-CN"/>
        </w:rPr>
        <w:t xml:space="preserve"> </w:t>
      </w:r>
      <w:r w:rsidR="00F35349" w:rsidRPr="00C417FC">
        <w:rPr>
          <w:rFonts w:asciiTheme="majorBidi" w:hAnsiTheme="majorBidi" w:cstheme="majorBidi"/>
          <w:lang w:val="en-NZ" w:eastAsia="zh-CN"/>
        </w:rPr>
        <w:t>&amp;</w:t>
      </w:r>
      <w:r w:rsidRPr="00C417FC">
        <w:rPr>
          <w:rFonts w:asciiTheme="majorBidi" w:hAnsiTheme="majorBidi" w:cstheme="majorBidi"/>
          <w:lang w:val="en-NZ" w:eastAsia="zh-CN"/>
        </w:rPr>
        <w:t xml:space="preserve"> Organization, 179, 503-522. https://doi.org/10.1016/j.jebo.2020.09.020</w:t>
      </w:r>
    </w:p>
    <w:p w14:paraId="3BEC5058" w14:textId="177CAE48"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Stöckl, T., Huber, J.,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w:t>
      </w:r>
      <w:proofErr w:type="spellStart"/>
      <w:r w:rsidRPr="00C417FC">
        <w:rPr>
          <w:rFonts w:asciiTheme="majorBidi" w:hAnsiTheme="majorBidi" w:cstheme="majorBidi"/>
          <w:lang w:val="en-NZ" w:eastAsia="zh-CN"/>
        </w:rPr>
        <w:t>Kirchler</w:t>
      </w:r>
      <w:proofErr w:type="spellEnd"/>
      <w:r w:rsidRPr="00C417FC">
        <w:rPr>
          <w:rFonts w:asciiTheme="majorBidi" w:hAnsiTheme="majorBidi" w:cstheme="majorBidi"/>
          <w:lang w:val="en-NZ" w:eastAsia="zh-CN"/>
        </w:rPr>
        <w:t>, M. (2010). Bubble measures in experimental asset markets. Experimental Economics, 13(3), 284-298. https://doi.org/10.1007/s10683-010-9241-9</w:t>
      </w:r>
    </w:p>
    <w:p w14:paraId="73D324D2" w14:textId="4EF79847"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lastRenderedPageBreak/>
        <w:t xml:space="preserve">Stöckl, T., Huber, J., </w:t>
      </w:r>
      <w:r w:rsidR="006E3194" w:rsidRPr="00C417FC">
        <w:rPr>
          <w:rFonts w:asciiTheme="majorBidi" w:hAnsiTheme="majorBidi" w:cstheme="majorBidi"/>
          <w:lang w:val="en-NZ" w:eastAsia="zh-CN"/>
        </w:rPr>
        <w:t xml:space="preserve">and </w:t>
      </w:r>
      <w:proofErr w:type="spellStart"/>
      <w:r w:rsidRPr="00C417FC">
        <w:rPr>
          <w:rFonts w:asciiTheme="majorBidi" w:hAnsiTheme="majorBidi" w:cstheme="majorBidi"/>
          <w:lang w:val="en-NZ" w:eastAsia="zh-CN"/>
        </w:rPr>
        <w:t>Kirchler</w:t>
      </w:r>
      <w:proofErr w:type="spellEnd"/>
      <w:r w:rsidRPr="00C417FC">
        <w:rPr>
          <w:rFonts w:asciiTheme="majorBidi" w:hAnsiTheme="majorBidi" w:cstheme="majorBidi"/>
          <w:lang w:val="en-NZ" w:eastAsia="zh-CN"/>
        </w:rPr>
        <w:t>, M. (2015). Multi-period experimental asset markets with distinct fundamental value regimes. Experimental Economics, 18(2), 314-334. https://doi.org/10.1007/s10683-014-9404-1</w:t>
      </w:r>
    </w:p>
    <w:p w14:paraId="063878DD" w14:textId="174768DD"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Toplak, M. E., West, R. F.,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Stanovich, K. E. (2014). Assessing miserly information processing: An expansion of the Cognitive Reflection Test. Thinking </w:t>
      </w:r>
      <w:r w:rsidR="00F35349" w:rsidRPr="00C417FC">
        <w:rPr>
          <w:rFonts w:asciiTheme="majorBidi" w:hAnsiTheme="majorBidi" w:cstheme="majorBidi"/>
          <w:lang w:val="en-NZ" w:eastAsia="zh-CN"/>
        </w:rPr>
        <w:t>&amp;</w:t>
      </w:r>
      <w:r w:rsidRPr="00C417FC">
        <w:rPr>
          <w:rFonts w:asciiTheme="majorBidi" w:hAnsiTheme="majorBidi" w:cstheme="majorBidi"/>
          <w:lang w:val="en-NZ" w:eastAsia="zh-CN"/>
        </w:rPr>
        <w:t xml:space="preserve"> Reasoning, 20(2), 147-168. https://doi.org/10.1080/13546783.2013.844729</w:t>
      </w:r>
    </w:p>
    <w:p w14:paraId="3F817167" w14:textId="42AE71D1" w:rsidR="00A46399" w:rsidRPr="00C417FC" w:rsidRDefault="00B143F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V</w:t>
      </w:r>
      <w:r w:rsidR="00A46399" w:rsidRPr="00C417FC">
        <w:rPr>
          <w:rFonts w:asciiTheme="majorBidi" w:hAnsiTheme="majorBidi" w:cstheme="majorBidi"/>
          <w:lang w:val="en-NZ" w:eastAsia="zh-CN"/>
        </w:rPr>
        <w:t xml:space="preserve">an Boening, M. V., Williams, A. W., </w:t>
      </w:r>
      <w:r w:rsidR="006E3194" w:rsidRPr="00C417FC">
        <w:rPr>
          <w:rFonts w:asciiTheme="majorBidi" w:hAnsiTheme="majorBidi" w:cstheme="majorBidi"/>
          <w:lang w:val="en-NZ" w:eastAsia="zh-CN"/>
        </w:rPr>
        <w:t>and</w:t>
      </w:r>
      <w:r w:rsidR="00A46399" w:rsidRPr="00C417FC">
        <w:rPr>
          <w:rFonts w:asciiTheme="majorBidi" w:hAnsiTheme="majorBidi" w:cstheme="majorBidi"/>
          <w:lang w:val="en-NZ" w:eastAsia="zh-CN"/>
        </w:rPr>
        <w:t xml:space="preserve"> LaMaster, S. (1993). Price bubbles and crashes in experimental call markets. Economics Letters, 41(2), 179-185. https://doi.org/10.1016/0165-1765(93)90194-H</w:t>
      </w:r>
    </w:p>
    <w:p w14:paraId="63E86252" w14:textId="32E8E5BA"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Vasconcelos, H., </w:t>
      </w:r>
      <w:proofErr w:type="spellStart"/>
      <w:r w:rsidRPr="00C417FC">
        <w:rPr>
          <w:rFonts w:asciiTheme="majorBidi" w:hAnsiTheme="majorBidi" w:cstheme="majorBidi"/>
          <w:lang w:val="en-NZ" w:eastAsia="zh-CN"/>
        </w:rPr>
        <w:t>Jörke</w:t>
      </w:r>
      <w:proofErr w:type="spellEnd"/>
      <w:r w:rsidRPr="00C417FC">
        <w:rPr>
          <w:rFonts w:asciiTheme="majorBidi" w:hAnsiTheme="majorBidi" w:cstheme="majorBidi"/>
          <w:lang w:val="en-NZ" w:eastAsia="zh-CN"/>
        </w:rPr>
        <w:t xml:space="preserve">, M., </w:t>
      </w:r>
      <w:proofErr w:type="spellStart"/>
      <w:r w:rsidRPr="00C417FC">
        <w:rPr>
          <w:rFonts w:asciiTheme="majorBidi" w:hAnsiTheme="majorBidi" w:cstheme="majorBidi"/>
          <w:lang w:val="en-NZ" w:eastAsia="zh-CN"/>
        </w:rPr>
        <w:t>Grunde</w:t>
      </w:r>
      <w:proofErr w:type="spellEnd"/>
      <w:r w:rsidRPr="00C417FC">
        <w:rPr>
          <w:rFonts w:asciiTheme="majorBidi" w:hAnsiTheme="majorBidi" w:cstheme="majorBidi"/>
          <w:lang w:val="en-NZ" w:eastAsia="zh-CN"/>
        </w:rPr>
        <w:t xml:space="preserve">-McLaughlin, M., Gerstenberg, T., Bernstein, M. S.,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Krishna, R. (2023). Explanations can reduce overreliance on AI systems during decision-making. Proceedings of the ACM on Human-Computer Interaction, 7(CSCW1), Article 129. https://doi.org/10.1145/3579605</w:t>
      </w:r>
    </w:p>
    <w:p w14:paraId="6510BED3" w14:textId="60E8DBBA"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Wang, H., Zhang, Y.,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Lu, T. (2026). The power of disagreement: A field experiment to investigate human-algorithm collaboration in loan evaluations. Management Science, 72(1), 96-118. https://doi.org/10.1287/mnsc.2022.03844</w:t>
      </w:r>
    </w:p>
    <w:p w14:paraId="4E759917" w14:textId="2F1BC86D"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Weber, M., Duffy, J.,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Schram, A. (2018). An experimental study of bond market pricing. The Journal of Finance, 73(4), 1857-1892. https://doi.org/10.1111/jofi.12695</w:t>
      </w:r>
    </w:p>
    <w:p w14:paraId="107EEB8A" w14:textId="50B87008"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White, J., Fu, Q., Hays, S., Sandborn, M., Olea, C., Gilbert, H., </w:t>
      </w:r>
      <w:proofErr w:type="spellStart"/>
      <w:r w:rsidRPr="00C417FC">
        <w:rPr>
          <w:rFonts w:asciiTheme="majorBidi" w:hAnsiTheme="majorBidi" w:cstheme="majorBidi"/>
          <w:lang w:val="en-NZ" w:eastAsia="zh-CN"/>
        </w:rPr>
        <w:t>Elnashar</w:t>
      </w:r>
      <w:proofErr w:type="spellEnd"/>
      <w:r w:rsidRPr="00C417FC">
        <w:rPr>
          <w:rFonts w:asciiTheme="majorBidi" w:hAnsiTheme="majorBidi" w:cstheme="majorBidi"/>
          <w:lang w:val="en-NZ" w:eastAsia="zh-CN"/>
        </w:rPr>
        <w:t xml:space="preserve">, A., Spencer-Smith, J.,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Schmidt, D. C. (2023). A prompt pattern </w:t>
      </w:r>
      <w:proofErr w:type="spellStart"/>
      <w:r w:rsidRPr="00C417FC">
        <w:rPr>
          <w:rFonts w:asciiTheme="majorBidi" w:hAnsiTheme="majorBidi" w:cstheme="majorBidi"/>
          <w:lang w:val="en-NZ" w:eastAsia="zh-CN"/>
        </w:rPr>
        <w:t>catalog</w:t>
      </w:r>
      <w:proofErr w:type="spellEnd"/>
      <w:r w:rsidRPr="00C417FC">
        <w:rPr>
          <w:rFonts w:asciiTheme="majorBidi" w:hAnsiTheme="majorBidi" w:cstheme="majorBidi"/>
          <w:lang w:val="en-NZ" w:eastAsia="zh-CN"/>
        </w:rPr>
        <w:t xml:space="preserve"> to enhance prompt engineering with ChatGPT. </w:t>
      </w:r>
      <w:proofErr w:type="spellStart"/>
      <w:r w:rsidRPr="00C417FC">
        <w:rPr>
          <w:rFonts w:asciiTheme="majorBidi" w:hAnsiTheme="majorBidi" w:cstheme="majorBidi"/>
          <w:lang w:val="en-NZ" w:eastAsia="zh-CN"/>
        </w:rPr>
        <w:t>arXiv</w:t>
      </w:r>
      <w:proofErr w:type="spellEnd"/>
      <w:r w:rsidRPr="00C417FC">
        <w:rPr>
          <w:rFonts w:asciiTheme="majorBidi" w:hAnsiTheme="majorBidi" w:cstheme="majorBidi"/>
          <w:lang w:val="en-NZ" w:eastAsia="zh-CN"/>
        </w:rPr>
        <w:t>. https://doi.org/10.48550/arXiv.2302.11382</w:t>
      </w:r>
    </w:p>
    <w:p w14:paraId="701EBAFC" w14:textId="1DD55791"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Wu, T., He, S., Liu, J., Sun, S., Liu, K., Han, Q. L.,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Tang, Y. (2023). A brief overview of ChatGPT: The history, status quo and potential future development. IEEE/CAA Journal of </w:t>
      </w:r>
      <w:proofErr w:type="spellStart"/>
      <w:r w:rsidRPr="00C417FC">
        <w:rPr>
          <w:rFonts w:asciiTheme="majorBidi" w:hAnsiTheme="majorBidi" w:cstheme="majorBidi"/>
          <w:lang w:val="en-NZ" w:eastAsia="zh-CN"/>
        </w:rPr>
        <w:t>Automatica</w:t>
      </w:r>
      <w:proofErr w:type="spellEnd"/>
      <w:r w:rsidRPr="00C417FC">
        <w:rPr>
          <w:rFonts w:asciiTheme="majorBidi" w:hAnsiTheme="majorBidi" w:cstheme="majorBidi"/>
          <w:lang w:val="en-NZ" w:eastAsia="zh-CN"/>
        </w:rPr>
        <w:t xml:space="preserve"> Sinica, 10(5), 1122-1136. https://doi.org/10.1109/JAS.2023.123618</w:t>
      </w:r>
    </w:p>
    <w:p w14:paraId="65F85C0B" w14:textId="7924C207" w:rsidR="00A46399"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Yang, C., Bauer, K., Li, X.,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Hinz, O. (2026). My advisor, her AI, and me: Evidence from a field experiment on human-AI collaboration and investment decisions. Management Science, 72(1), 242-264. https://doi.org/10.1287/mnsc.2022.03918</w:t>
      </w:r>
    </w:p>
    <w:p w14:paraId="350CFDAD" w14:textId="101E2633" w:rsidR="003E7AB4" w:rsidRPr="00C417FC" w:rsidRDefault="00A46399" w:rsidP="00DE77B6">
      <w:pPr>
        <w:spacing w:after="120" w:line="240" w:lineRule="auto"/>
        <w:ind w:left="720" w:hanging="720"/>
        <w:rPr>
          <w:rFonts w:asciiTheme="majorBidi" w:hAnsiTheme="majorBidi" w:cstheme="majorBidi"/>
          <w:lang w:val="en-NZ" w:eastAsia="zh-CN"/>
        </w:rPr>
      </w:pPr>
      <w:r w:rsidRPr="00C417FC">
        <w:rPr>
          <w:rFonts w:asciiTheme="majorBidi" w:hAnsiTheme="majorBidi" w:cstheme="majorBidi"/>
          <w:lang w:val="en-NZ" w:eastAsia="zh-CN"/>
        </w:rPr>
        <w:t xml:space="preserve">Zhou, Y., Kim, K., </w:t>
      </w:r>
      <w:r w:rsidR="006E3194" w:rsidRPr="00C417FC">
        <w:rPr>
          <w:rFonts w:asciiTheme="majorBidi" w:hAnsiTheme="majorBidi" w:cstheme="majorBidi"/>
          <w:lang w:val="en-NZ" w:eastAsia="zh-CN"/>
        </w:rPr>
        <w:t>and</w:t>
      </w:r>
      <w:r w:rsidRPr="00C417FC">
        <w:rPr>
          <w:rFonts w:asciiTheme="majorBidi" w:hAnsiTheme="majorBidi" w:cstheme="majorBidi"/>
          <w:lang w:val="en-NZ" w:eastAsia="zh-CN"/>
        </w:rPr>
        <w:t xml:space="preserve"> Xue, L. (2024). How machine-generated ratings and social exposure affect human reviewers: Evidence from initial coin offerings. Proceedings of the 57th Hawaii International Conference on System Sciences, 4353-4362. </w:t>
      </w:r>
      <w:r w:rsidR="00BE0B9A" w:rsidRPr="00C417FC">
        <w:rPr>
          <w:rFonts w:asciiTheme="majorBidi" w:hAnsiTheme="majorBidi" w:cstheme="majorBidi"/>
          <w:lang w:val="en-NZ" w:eastAsia="zh-CN"/>
        </w:rPr>
        <w:t>https://doi.org/10.24251/HICSS.2024.524</w:t>
      </w:r>
    </w:p>
    <w:p w14:paraId="70AE0029" w14:textId="77777777" w:rsidR="007F2B4B" w:rsidRDefault="007F2B4B" w:rsidP="007616C3">
      <w:pPr>
        <w:spacing w:before="240" w:line="360" w:lineRule="auto"/>
        <w:jc w:val="both"/>
      </w:pPr>
    </w:p>
    <w:p w14:paraId="2F5995CC" w14:textId="77777777" w:rsidR="00C86705" w:rsidRDefault="00C86705" w:rsidP="007616C3">
      <w:pPr>
        <w:spacing w:before="240" w:line="360" w:lineRule="auto"/>
        <w:jc w:val="both"/>
      </w:pPr>
    </w:p>
    <w:p w14:paraId="638CC1D9" w14:textId="77777777" w:rsidR="00C86705" w:rsidRDefault="00C86705" w:rsidP="007616C3">
      <w:pPr>
        <w:spacing w:before="240" w:line="360" w:lineRule="auto"/>
        <w:jc w:val="both"/>
      </w:pPr>
    </w:p>
    <w:p w14:paraId="4E2552A6" w14:textId="77777777" w:rsidR="00C86705" w:rsidRDefault="00C86705" w:rsidP="007616C3">
      <w:pPr>
        <w:spacing w:before="240" w:line="360" w:lineRule="auto"/>
        <w:jc w:val="both"/>
      </w:pPr>
    </w:p>
    <w:p w14:paraId="2A623849" w14:textId="151609EF" w:rsidR="00C86705" w:rsidRDefault="00C86705">
      <w:r>
        <w:br w:type="page"/>
      </w:r>
    </w:p>
    <w:p w14:paraId="3C8C9AC1"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lastRenderedPageBreak/>
        <w:t>Appendix</w:t>
      </w:r>
      <w:r w:rsidRPr="00C86705">
        <w:rPr>
          <w:rFonts w:ascii="Times New Roman" w:hAnsi="Times New Roman" w:cs="Times New Roman"/>
          <w:b/>
          <w:sz w:val="22"/>
          <w:szCs w:val="22"/>
        </w:rPr>
        <w:t xml:space="preserve"> A</w:t>
      </w:r>
    </w:p>
    <w:p w14:paraId="7919A54B"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b/>
          <w:sz w:val="22"/>
          <w:szCs w:val="22"/>
        </w:rPr>
        <w:t>A 1. Path</w:t>
      </w:r>
    </w:p>
    <w:p w14:paraId="67E71D83" w14:textId="77777777" w:rsidR="00C86705" w:rsidRPr="00C86705" w:rsidRDefault="00C86705" w:rsidP="00C86705">
      <w:pPr>
        <w:spacing w:before="240" w:line="360" w:lineRule="auto"/>
        <w:jc w:val="both"/>
        <w:rPr>
          <w:rFonts w:ascii="Times New Roman" w:hAnsi="Times New Roman" w:cs="Times New Roman"/>
          <w:b/>
          <w:sz w:val="22"/>
          <w:szCs w:val="22"/>
        </w:rPr>
      </w:pPr>
      <w:r w:rsidRPr="00C86705">
        <w:rPr>
          <w:rFonts w:ascii="Times New Roman" w:hAnsi="Times New Roman" w:cs="Times New Roman"/>
          <w:sz w:val="22"/>
          <w:szCs w:val="22"/>
        </w:rPr>
        <w:t>For path selection, 100,000 price path simulations were generated using a random walk model with parameters estimated from historical S&amp;P 500 data (1928-2023). Each simulation considered 15 periods and an initial price of 100. First, annual returns were simulated with a normal distribution, and then price paths were generated by accumulating those returns. Subsequently, statistics were calculated for each path, and the median of each statistic was calculated. For each path, the absolute distance between each statistic and the median was calculated. Each path was then assigned a ranking for each statistic, based on its closeness to the median. An aggregate ranking was then constructed that included the average return, cumulative return, volatility, skewness, kurtosis, and maximum drawdown for each path, choosing the path with the lowest aggregate ranking.</w:t>
      </w:r>
    </w:p>
    <w:p w14:paraId="286420C1" w14:textId="77777777" w:rsidR="00C86705" w:rsidRPr="00C86705" w:rsidRDefault="00C86705" w:rsidP="00C86705">
      <w:pPr>
        <w:spacing w:before="240" w:line="360" w:lineRule="auto"/>
        <w:jc w:val="both"/>
        <w:rPr>
          <w:rFonts w:ascii="Times New Roman" w:hAnsi="Times New Roman" w:cs="Times New Roman"/>
          <w:b/>
          <w:sz w:val="22"/>
          <w:szCs w:val="22"/>
        </w:rPr>
      </w:pPr>
      <w:r w:rsidRPr="00C86705">
        <w:rPr>
          <w:rFonts w:ascii="Times New Roman" w:hAnsi="Times New Roman" w:cs="Times New Roman"/>
          <w:b/>
          <w:sz w:val="22"/>
          <w:szCs w:val="22"/>
        </w:rPr>
        <w:t>A 2. Experiment Instructions</w:t>
      </w:r>
    </w:p>
    <w:p w14:paraId="244950C0" w14:textId="77777777" w:rsidR="00C86705" w:rsidRPr="00C86705" w:rsidRDefault="00C86705" w:rsidP="00C86705">
      <w:pPr>
        <w:spacing w:before="240" w:line="360" w:lineRule="auto"/>
        <w:jc w:val="both"/>
        <w:rPr>
          <w:rFonts w:ascii="Times New Roman" w:hAnsi="Times New Roman" w:cs="Times New Roman"/>
          <w:b/>
          <w:bCs/>
          <w:snapToGrid w:val="0"/>
          <w:sz w:val="22"/>
          <w:szCs w:val="22"/>
        </w:rPr>
      </w:pPr>
      <w:r w:rsidRPr="00C86705">
        <w:rPr>
          <w:rFonts w:ascii="Times New Roman" w:hAnsi="Times New Roman" w:cs="Times New Roman"/>
          <w:b/>
          <w:bCs/>
          <w:snapToGrid w:val="0"/>
          <w:sz w:val="22"/>
          <w:szCs w:val="22"/>
        </w:rPr>
        <w:t>1. General Instructions</w:t>
      </w:r>
    </w:p>
    <w:p w14:paraId="2BAB97EA"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This is an experiment in the economics of market decision-making. The instructions are simple and if you follow them carefully and make good decisions, you might earn a considerable amount of money, which will be paid to you in cash at the end of the experiment. The experiment will consist of fifteen trading periods in which you will have the opportunity to buy and sell in a market. The currency used in the market is francs. All trading and earnings will be in terms of francs.</w:t>
      </w:r>
    </w:p>
    <w:p w14:paraId="70EFAE64"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________ francs = 1 NZ dollar</w:t>
      </w:r>
    </w:p>
    <w:p w14:paraId="36022FFC"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Your francs will be converted to dollars at this rate, and you will be paid in dollars when you leave the lab today. The more francs you earn, the more dollars you earn.</w:t>
      </w:r>
    </w:p>
    <w:p w14:paraId="0CF7A18E"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In each period, you can make an offer to buy or sell units of an asset called X, or you can decide not to trade. Your inventory of X carries over from one trading period to the next, meaning that your cash and inventory of X at the beginning of period 2 will remain the same as at the end of period 1. </w:t>
      </w:r>
    </w:p>
    <w:p w14:paraId="12FD713F" w14:textId="77777777" w:rsidR="00C86705" w:rsidRPr="00C86705" w:rsidRDefault="00C86705" w:rsidP="00C86705">
      <w:pPr>
        <w:spacing w:before="240" w:line="360" w:lineRule="auto"/>
        <w:jc w:val="both"/>
        <w:rPr>
          <w:rFonts w:ascii="Times New Roman" w:hAnsi="Times New Roman" w:cs="Times New Roman"/>
          <w:b/>
          <w:bCs/>
          <w:sz w:val="22"/>
          <w:szCs w:val="22"/>
        </w:rPr>
      </w:pPr>
    </w:p>
    <w:p w14:paraId="1FEE3B41"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Buyout Value</w:t>
      </w:r>
    </w:p>
    <w:p w14:paraId="1163FD64"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At the end of the </w:t>
      </w:r>
      <w:r w:rsidRPr="00C86705">
        <w:rPr>
          <w:rFonts w:ascii="Times New Roman" w:hAnsi="Times New Roman" w:cs="Times New Roman"/>
          <w:i/>
          <w:iCs/>
          <w:sz w:val="22"/>
          <w:szCs w:val="22"/>
        </w:rPr>
        <w:t>last period</w:t>
      </w:r>
      <w:r w:rsidRPr="00C86705">
        <w:rPr>
          <w:rFonts w:ascii="Times New Roman" w:hAnsi="Times New Roman" w:cs="Times New Roman"/>
          <w:sz w:val="22"/>
          <w:szCs w:val="22"/>
        </w:rPr>
        <w:t>, the experimenter will buy back any assets you hold in your inventory. The amount the experimenter pays for each asset at the end of the experiment is called the Buyout Value.</w:t>
      </w:r>
    </w:p>
    <w:p w14:paraId="43FC9176" w14:textId="77777777" w:rsidR="00C86705" w:rsidRPr="00C86705" w:rsidRDefault="00C86705" w:rsidP="00C86705">
      <w:pPr>
        <w:spacing w:before="240" w:line="360" w:lineRule="auto"/>
        <w:jc w:val="both"/>
        <w:rPr>
          <w:rFonts w:ascii="Times New Roman" w:hAnsi="Times New Roman" w:cs="Times New Roman"/>
          <w:sz w:val="22"/>
          <w:szCs w:val="22"/>
        </w:rPr>
      </w:pPr>
      <w:proofErr w:type="gramStart"/>
      <w:r w:rsidRPr="00C86705">
        <w:rPr>
          <w:rFonts w:ascii="Times New Roman" w:hAnsi="Times New Roman" w:cs="Times New Roman"/>
          <w:sz w:val="22"/>
          <w:szCs w:val="22"/>
        </w:rPr>
        <w:lastRenderedPageBreak/>
        <w:t>The Buyout</w:t>
      </w:r>
      <w:proofErr w:type="gramEnd"/>
      <w:r w:rsidRPr="00C86705">
        <w:rPr>
          <w:rFonts w:ascii="Times New Roman" w:hAnsi="Times New Roman" w:cs="Times New Roman"/>
          <w:sz w:val="22"/>
          <w:szCs w:val="22"/>
        </w:rPr>
        <w:t xml:space="preserve"> Value is a random process that evolves over time. At the start of the market, the buyout value </w:t>
      </w:r>
      <w:proofErr w:type="gramStart"/>
      <w:r w:rsidRPr="00C86705">
        <w:rPr>
          <w:rFonts w:ascii="Times New Roman" w:hAnsi="Times New Roman" w:cs="Times New Roman"/>
          <w:sz w:val="22"/>
          <w:szCs w:val="22"/>
        </w:rPr>
        <w:t>is</w:t>
      </w:r>
      <w:proofErr w:type="gramEnd"/>
      <w:r w:rsidRPr="00C86705">
        <w:rPr>
          <w:rFonts w:ascii="Times New Roman" w:hAnsi="Times New Roman" w:cs="Times New Roman"/>
          <w:sz w:val="22"/>
          <w:szCs w:val="22"/>
        </w:rPr>
        <w:t xml:space="preserve"> equal to 100 francs. At the end of each period, the buyout value will randomly change. The amount of change follows a normal distribution with an average of 9.80% and a standard deviation of 19.55%. This means that the buyout value will increase by 9.80% in every period on average, but not with certainty. We explain this random process below in more detail.</w:t>
      </w:r>
    </w:p>
    <w:p w14:paraId="4B65352E" w14:textId="77777777" w:rsidR="00C86705" w:rsidRPr="00C86705" w:rsidRDefault="00C86705" w:rsidP="00C86705">
      <w:pPr>
        <w:spacing w:before="240" w:line="360" w:lineRule="auto"/>
        <w:jc w:val="both"/>
        <w:rPr>
          <w:rFonts w:ascii="Times New Roman" w:hAnsi="Times New Roman" w:cs="Times New Roman"/>
          <w:sz w:val="22"/>
          <w:szCs w:val="22"/>
        </w:rPr>
      </w:pPr>
    </w:p>
    <w:p w14:paraId="04B61356"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End of Period Buyout Value</w:t>
      </w:r>
    </w:p>
    <w:p w14:paraId="581073C0"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A random change in Buyout Value occurs at the end of each period. Therefore, during a given period, you do not know with certainty what the Buyout Value will be at the end of that period.</w:t>
      </w:r>
    </w:p>
    <w:p w14:paraId="0A357EB8"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For example, the End of Period Buyout Value at the end of period 1 is expected to be 109.8 francs. That is, the 100 francs at the start of the period plus the expected increase </w:t>
      </w:r>
      <w:proofErr w:type="gramStart"/>
      <w:r w:rsidRPr="00C86705">
        <w:rPr>
          <w:rFonts w:ascii="Times New Roman" w:hAnsi="Times New Roman" w:cs="Times New Roman"/>
          <w:sz w:val="22"/>
          <w:szCs w:val="22"/>
        </w:rPr>
        <w:t>by</w:t>
      </w:r>
      <w:proofErr w:type="gramEnd"/>
      <w:r w:rsidRPr="00C86705">
        <w:rPr>
          <w:rFonts w:ascii="Times New Roman" w:hAnsi="Times New Roman" w:cs="Times New Roman"/>
          <w:sz w:val="22"/>
          <w:szCs w:val="22"/>
        </w:rPr>
        <w:t xml:space="preserve"> 9.8 (= 100 * 9.80%).</w:t>
      </w:r>
    </w:p>
    <w:p w14:paraId="414B16E2"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NOTE: the end of period change in the Buyout Value will not always be exactly the expected value because the variations can be larger or smaller. More specifically, the magnitude of these fluctuations is measured by the standard deviation, which in this case is 19.55%. This implies that the realized end of period buyout value could be above or below the average of 109.8 francs.</w:t>
      </w:r>
    </w:p>
    <w:p w14:paraId="78B9C539"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For example, at the end of the first period,</w:t>
      </w:r>
    </w:p>
    <w:p w14:paraId="09D015D8"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w:t>
      </w:r>
      <w:r w:rsidRPr="00C86705">
        <w:rPr>
          <w:rFonts w:ascii="Times New Roman" w:hAnsi="Times New Roman" w:cs="Times New Roman"/>
          <w:sz w:val="22"/>
          <w:szCs w:val="22"/>
        </w:rPr>
        <w:tab/>
        <w:t>there's approximately a 68% chance that the buyout value after one period will be between 80.45 and 119.55 francs, which is about one standard deviation around the mean.</w:t>
      </w:r>
    </w:p>
    <w:p w14:paraId="0EE2B5F2"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w:t>
      </w:r>
      <w:r w:rsidRPr="00C86705">
        <w:rPr>
          <w:rFonts w:ascii="Times New Roman" w:hAnsi="Times New Roman" w:cs="Times New Roman"/>
          <w:sz w:val="22"/>
          <w:szCs w:val="22"/>
        </w:rPr>
        <w:tab/>
        <w:t>there's approximately a 95% chance that the buyout value after one period will be between 60.9 and 139.1 francs, which is about two standard deviations around the mean.</w:t>
      </w:r>
    </w:p>
    <w:p w14:paraId="2A6ABA6A"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As you can see, it is possible for the End of Period Buyout Value to increase or decrease each period. However, on average, the End of Period Buyout Value will increase by 9.80% each period. That is, there is an expected upward trend in buyout value across the 15 periods of the market.</w:t>
      </w:r>
    </w:p>
    <w:p w14:paraId="5B7E4282" w14:textId="77777777" w:rsidR="00C86705" w:rsidRPr="00C86705" w:rsidRDefault="00C86705" w:rsidP="00C86705">
      <w:pPr>
        <w:spacing w:before="240" w:line="360" w:lineRule="auto"/>
        <w:jc w:val="both"/>
        <w:rPr>
          <w:rFonts w:ascii="Times New Roman" w:hAnsi="Times New Roman" w:cs="Times New Roman"/>
          <w:sz w:val="22"/>
          <w:szCs w:val="22"/>
        </w:rPr>
      </w:pPr>
    </w:p>
    <w:p w14:paraId="15CA5271"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End of Market Expected Buyout Value</w:t>
      </w:r>
    </w:p>
    <w:p w14:paraId="0DC96B08"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Even though you can see how the Buyout Value evolves over time, you cannot sell the asset to the experimenter before the end of the last period. The End of Period Buyout Value is there to inform you about the process under which the buyout value reaches the final payout amount. This is called the End of Market Buyout Value. </w:t>
      </w:r>
    </w:p>
    <w:p w14:paraId="031BCB4E"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lastRenderedPageBreak/>
        <w:t xml:space="preserve">At any point in time during the market, it is possible to calculate the End of Market Expected Buyout Value. In other words, due to the random process, we cannot know for sure what the buyout value will be at the end of the market, but we can calculate what it will be on average.  This value is calculated assuming the change in Buyout Value is a positive 9.80% per period. Below </w:t>
      </w:r>
      <w:proofErr w:type="gramStart"/>
      <w:r w:rsidRPr="00C86705">
        <w:rPr>
          <w:rFonts w:ascii="Times New Roman" w:hAnsi="Times New Roman" w:cs="Times New Roman"/>
          <w:sz w:val="22"/>
          <w:szCs w:val="22"/>
        </w:rPr>
        <w:t>is</w:t>
      </w:r>
      <w:proofErr w:type="gramEnd"/>
      <w:r w:rsidRPr="00C86705">
        <w:rPr>
          <w:rFonts w:ascii="Times New Roman" w:hAnsi="Times New Roman" w:cs="Times New Roman"/>
          <w:sz w:val="22"/>
          <w:szCs w:val="22"/>
        </w:rPr>
        <w:t xml:space="preserve"> a discussion and examples of how this is calculated:</w:t>
      </w:r>
    </w:p>
    <w:p w14:paraId="5C53280E" w14:textId="77777777" w:rsidR="00C86705" w:rsidRPr="00C86705" w:rsidRDefault="00C86705" w:rsidP="00C86705">
      <w:p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First Period Calculation:</w:t>
      </w:r>
    </w:p>
    <w:p w14:paraId="7D348E2E" w14:textId="77777777" w:rsidR="00C86705" w:rsidRPr="00C86705" w:rsidRDefault="00C86705" w:rsidP="00C86705">
      <w:pPr>
        <w:numPr>
          <w:ilvl w:val="0"/>
          <w:numId w:val="7"/>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Starting Point:</w:t>
      </w:r>
      <w:r w:rsidRPr="00C86705">
        <w:rPr>
          <w:rFonts w:ascii="Times New Roman" w:eastAsia="Times New Roman" w:hAnsi="Times New Roman" w:cs="Times New Roman"/>
          <w:kern w:val="0"/>
          <w:sz w:val="22"/>
          <w:szCs w:val="22"/>
          <w:lang w:eastAsia="zh-CN"/>
          <w14:ligatures w14:val="none"/>
        </w:rPr>
        <w:t xml:space="preserve"> The initial Buyout Value is 100 francs.</w:t>
      </w:r>
    </w:p>
    <w:p w14:paraId="643F7D89" w14:textId="77777777" w:rsidR="00C86705" w:rsidRPr="00C86705" w:rsidRDefault="00C86705" w:rsidP="00C86705">
      <w:pPr>
        <w:numPr>
          <w:ilvl w:val="0"/>
          <w:numId w:val="7"/>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Expected Growth:</w:t>
      </w:r>
      <w:r w:rsidRPr="00C86705">
        <w:rPr>
          <w:rFonts w:ascii="Times New Roman" w:eastAsia="Times New Roman" w:hAnsi="Times New Roman" w:cs="Times New Roman"/>
          <w:kern w:val="0"/>
          <w:sz w:val="22"/>
          <w:szCs w:val="22"/>
          <w:lang w:eastAsia="zh-CN"/>
          <w14:ligatures w14:val="none"/>
        </w:rPr>
        <w:t xml:space="preserve"> Assuming all subsequent growth to be 9.80% per period.</w:t>
      </w:r>
    </w:p>
    <w:p w14:paraId="72BFD04D" w14:textId="77777777" w:rsidR="00C86705" w:rsidRPr="00C86705" w:rsidRDefault="00C86705" w:rsidP="00C86705">
      <w:pPr>
        <w:numPr>
          <w:ilvl w:val="0"/>
          <w:numId w:val="7"/>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Calculation:</w:t>
      </w:r>
      <w:r w:rsidRPr="00C86705">
        <w:rPr>
          <w:rFonts w:ascii="Times New Roman" w:eastAsia="Times New Roman" w:hAnsi="Times New Roman" w:cs="Times New Roman"/>
          <w:kern w:val="0"/>
          <w:sz w:val="22"/>
          <w:szCs w:val="22"/>
          <w:lang w:eastAsia="zh-CN"/>
          <w14:ligatures w14:val="none"/>
        </w:rPr>
        <w:t xml:space="preserve"> We project this 9.80% growth over the remaining 15 periods.</w:t>
      </w:r>
    </w:p>
    <w:p w14:paraId="43A70A84" w14:textId="77777777" w:rsidR="00C86705" w:rsidRPr="00C86705" w:rsidRDefault="00C86705" w:rsidP="00C86705">
      <w:pPr>
        <w:numPr>
          <w:ilvl w:val="1"/>
          <w:numId w:val="7"/>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kern w:val="0"/>
          <w:sz w:val="22"/>
          <w:szCs w:val="22"/>
          <w:lang w:eastAsia="zh-CN"/>
          <w14:ligatures w14:val="none"/>
        </w:rPr>
        <w:t>Formula: 100</w:t>
      </w:r>
      <w:proofErr w:type="gramStart"/>
      <w:r w:rsidRPr="00C86705">
        <w:rPr>
          <w:rFonts w:ascii="Times New Roman" w:eastAsia="Times New Roman" w:hAnsi="Times New Roman" w:cs="Times New Roman"/>
          <w:kern w:val="0"/>
          <w:sz w:val="22"/>
          <w:szCs w:val="22"/>
          <w:lang w:eastAsia="zh-CN"/>
          <w14:ligatures w14:val="none"/>
        </w:rPr>
        <w:t>×(</w:t>
      </w:r>
      <w:proofErr w:type="gramEnd"/>
      <w:r w:rsidRPr="00C86705">
        <w:rPr>
          <w:rFonts w:ascii="Times New Roman" w:eastAsia="Times New Roman" w:hAnsi="Times New Roman" w:cs="Times New Roman"/>
          <w:kern w:val="0"/>
          <w:sz w:val="22"/>
          <w:szCs w:val="22"/>
          <w:lang w:eastAsia="zh-CN"/>
          <w14:ligatures w14:val="none"/>
        </w:rPr>
        <w:t>1+0.098)</w:t>
      </w:r>
      <w:r w:rsidRPr="00C86705">
        <w:rPr>
          <w:rFonts w:ascii="Times New Roman" w:eastAsia="Times New Roman" w:hAnsi="Times New Roman" w:cs="Times New Roman"/>
          <w:kern w:val="0"/>
          <w:sz w:val="22"/>
          <w:szCs w:val="22"/>
          <w:vertAlign w:val="superscript"/>
          <w:lang w:eastAsia="zh-CN"/>
          <w14:ligatures w14:val="none"/>
        </w:rPr>
        <w:t>15</w:t>
      </w:r>
      <w:r w:rsidRPr="00C86705">
        <w:rPr>
          <w:rFonts w:ascii="Times New Roman" w:eastAsia="Times New Roman" w:hAnsi="Times New Roman" w:cs="Times New Roman"/>
          <w:kern w:val="0"/>
          <w:sz w:val="22"/>
          <w:szCs w:val="22"/>
          <w:lang w:eastAsia="zh-CN"/>
          <w14:ligatures w14:val="none"/>
        </w:rPr>
        <w:t xml:space="preserve"> = 406.5 francs.</w:t>
      </w:r>
    </w:p>
    <w:p w14:paraId="7A4B3D32" w14:textId="77777777" w:rsidR="00C86705" w:rsidRPr="00C86705" w:rsidRDefault="00C86705" w:rsidP="00C86705">
      <w:pPr>
        <w:spacing w:before="240" w:line="360" w:lineRule="auto"/>
        <w:jc w:val="both"/>
        <w:rPr>
          <w:rFonts w:ascii="Times New Roman" w:eastAsia="Times New Roman" w:hAnsi="Times New Roman" w:cs="Times New Roman"/>
          <w:b/>
          <w:bCs/>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br w:type="page"/>
      </w:r>
    </w:p>
    <w:p w14:paraId="33779FCD" w14:textId="77777777" w:rsidR="00C86705" w:rsidRPr="00C86705" w:rsidRDefault="00C86705" w:rsidP="00C86705">
      <w:p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lastRenderedPageBreak/>
        <w:t>Second Period Calculation:</w:t>
      </w:r>
    </w:p>
    <w:p w14:paraId="0F3A4009" w14:textId="77777777" w:rsidR="00C86705" w:rsidRPr="00C86705" w:rsidRDefault="00C86705" w:rsidP="00C86705">
      <w:pPr>
        <w:numPr>
          <w:ilvl w:val="0"/>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New Starting Point:</w:t>
      </w:r>
      <w:r w:rsidRPr="00C86705">
        <w:rPr>
          <w:rFonts w:ascii="Times New Roman" w:eastAsia="Times New Roman" w:hAnsi="Times New Roman" w:cs="Times New Roman"/>
          <w:kern w:val="0"/>
          <w:sz w:val="22"/>
          <w:szCs w:val="22"/>
          <w:lang w:eastAsia="zh-CN"/>
          <w14:ligatures w14:val="none"/>
        </w:rPr>
        <w:t xml:space="preserve"> Suppose the Buyout Value at the end of the first period </w:t>
      </w:r>
      <w:proofErr w:type="gramStart"/>
      <w:r w:rsidRPr="00C86705">
        <w:rPr>
          <w:rFonts w:ascii="Times New Roman" w:eastAsia="Times New Roman" w:hAnsi="Times New Roman" w:cs="Times New Roman"/>
          <w:kern w:val="0"/>
          <w:sz w:val="22"/>
          <w:szCs w:val="22"/>
          <w:lang w:eastAsia="zh-CN"/>
          <w14:ligatures w14:val="none"/>
        </w:rPr>
        <w:t>realized</w:t>
      </w:r>
      <w:proofErr w:type="gramEnd"/>
      <w:r w:rsidRPr="00C86705">
        <w:rPr>
          <w:rFonts w:ascii="Times New Roman" w:eastAsia="Times New Roman" w:hAnsi="Times New Roman" w:cs="Times New Roman"/>
          <w:kern w:val="0"/>
          <w:sz w:val="22"/>
          <w:szCs w:val="22"/>
          <w:lang w:eastAsia="zh-CN"/>
          <w14:ligatures w14:val="none"/>
        </w:rPr>
        <w:t xml:space="preserve"> to be 110 francs, higher than </w:t>
      </w:r>
      <w:proofErr w:type="gramStart"/>
      <w:r w:rsidRPr="00C86705">
        <w:rPr>
          <w:rFonts w:ascii="Times New Roman" w:eastAsia="Times New Roman" w:hAnsi="Times New Roman" w:cs="Times New Roman"/>
          <w:kern w:val="0"/>
          <w:sz w:val="22"/>
          <w:szCs w:val="22"/>
          <w:lang w:eastAsia="zh-CN"/>
          <w14:ligatures w14:val="none"/>
        </w:rPr>
        <w:t>the expected</w:t>
      </w:r>
      <w:proofErr w:type="gramEnd"/>
      <w:r w:rsidRPr="00C86705">
        <w:rPr>
          <w:rFonts w:ascii="Times New Roman" w:eastAsia="Times New Roman" w:hAnsi="Times New Roman" w:cs="Times New Roman"/>
          <w:kern w:val="0"/>
          <w:sz w:val="22"/>
          <w:szCs w:val="22"/>
          <w:lang w:eastAsia="zh-CN"/>
          <w14:ligatures w14:val="none"/>
        </w:rPr>
        <w:t xml:space="preserve"> due to fluctuations.</w:t>
      </w:r>
    </w:p>
    <w:p w14:paraId="48B75476" w14:textId="77777777" w:rsidR="00C86705" w:rsidRPr="00C86705" w:rsidRDefault="00C86705" w:rsidP="00C86705">
      <w:pPr>
        <w:numPr>
          <w:ilvl w:val="0"/>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Expected Growth:</w:t>
      </w:r>
      <w:r w:rsidRPr="00C86705">
        <w:rPr>
          <w:rFonts w:ascii="Times New Roman" w:eastAsia="Times New Roman" w:hAnsi="Times New Roman" w:cs="Times New Roman"/>
          <w:kern w:val="0"/>
          <w:sz w:val="22"/>
          <w:szCs w:val="22"/>
          <w:lang w:eastAsia="zh-CN"/>
          <w14:ligatures w14:val="none"/>
        </w:rPr>
        <w:t xml:space="preserve"> still assuming all subsequent growth to be 9.80% per period.</w:t>
      </w:r>
    </w:p>
    <w:p w14:paraId="3C301FBD" w14:textId="77777777" w:rsidR="00C86705" w:rsidRPr="00C86705" w:rsidRDefault="00C86705" w:rsidP="00C86705">
      <w:pPr>
        <w:numPr>
          <w:ilvl w:val="0"/>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Calculation:</w:t>
      </w:r>
      <w:r w:rsidRPr="00C86705">
        <w:rPr>
          <w:rFonts w:ascii="Times New Roman" w:eastAsia="Times New Roman" w:hAnsi="Times New Roman" w:cs="Times New Roman"/>
          <w:kern w:val="0"/>
          <w:sz w:val="22"/>
          <w:szCs w:val="22"/>
          <w:lang w:eastAsia="zh-CN"/>
          <w14:ligatures w14:val="none"/>
        </w:rPr>
        <w:t xml:space="preserve"> Now, we calculate the expected value from this new starting point over the remaining 14 periods.</w:t>
      </w:r>
    </w:p>
    <w:p w14:paraId="1D3E6C94" w14:textId="77777777" w:rsidR="00C86705" w:rsidRPr="00C86705" w:rsidRDefault="00C86705" w:rsidP="00C86705">
      <w:pPr>
        <w:numPr>
          <w:ilvl w:val="1"/>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kern w:val="0"/>
          <w:sz w:val="22"/>
          <w:szCs w:val="22"/>
          <w:lang w:eastAsia="zh-CN"/>
          <w14:ligatures w14:val="none"/>
        </w:rPr>
        <w:t>Formula: 110</w:t>
      </w:r>
      <w:proofErr w:type="gramStart"/>
      <w:r w:rsidRPr="00C86705">
        <w:rPr>
          <w:rFonts w:ascii="Times New Roman" w:eastAsia="Times New Roman" w:hAnsi="Times New Roman" w:cs="Times New Roman"/>
          <w:kern w:val="0"/>
          <w:sz w:val="22"/>
          <w:szCs w:val="22"/>
          <w:lang w:eastAsia="zh-CN"/>
          <w14:ligatures w14:val="none"/>
        </w:rPr>
        <w:t>×(</w:t>
      </w:r>
      <w:proofErr w:type="gramEnd"/>
      <w:r w:rsidRPr="00C86705">
        <w:rPr>
          <w:rFonts w:ascii="Times New Roman" w:eastAsia="Times New Roman" w:hAnsi="Times New Roman" w:cs="Times New Roman"/>
          <w:kern w:val="0"/>
          <w:sz w:val="22"/>
          <w:szCs w:val="22"/>
          <w:lang w:eastAsia="zh-CN"/>
          <w14:ligatures w14:val="none"/>
        </w:rPr>
        <w:t>1+0.098)</w:t>
      </w:r>
      <w:r w:rsidRPr="00C86705">
        <w:rPr>
          <w:rFonts w:ascii="Times New Roman" w:eastAsia="Times New Roman" w:hAnsi="Times New Roman" w:cs="Times New Roman"/>
          <w:kern w:val="0"/>
          <w:sz w:val="22"/>
          <w:szCs w:val="22"/>
          <w:vertAlign w:val="superscript"/>
          <w:lang w:eastAsia="zh-CN"/>
          <w14:ligatures w14:val="none"/>
        </w:rPr>
        <w:t xml:space="preserve">14 </w:t>
      </w:r>
      <w:r w:rsidRPr="00C86705">
        <w:rPr>
          <w:rFonts w:ascii="Times New Roman" w:eastAsia="Times New Roman" w:hAnsi="Times New Roman" w:cs="Times New Roman"/>
          <w:kern w:val="0"/>
          <w:sz w:val="22"/>
          <w:szCs w:val="22"/>
          <w:lang w:eastAsia="zh-CN"/>
          <w14:ligatures w14:val="none"/>
        </w:rPr>
        <w:t>= 407.2 francs.</w:t>
      </w:r>
    </w:p>
    <w:p w14:paraId="7ED83836" w14:textId="77777777" w:rsidR="00C86705" w:rsidRPr="00C86705" w:rsidRDefault="00C86705" w:rsidP="00C86705">
      <w:p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Third Period Calculation:</w:t>
      </w:r>
    </w:p>
    <w:p w14:paraId="47F176A3" w14:textId="77777777" w:rsidR="00C86705" w:rsidRPr="00C86705" w:rsidRDefault="00C86705" w:rsidP="00C86705">
      <w:pPr>
        <w:numPr>
          <w:ilvl w:val="0"/>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New Starting Point:</w:t>
      </w:r>
      <w:r w:rsidRPr="00C86705">
        <w:rPr>
          <w:rFonts w:ascii="Times New Roman" w:eastAsia="Times New Roman" w:hAnsi="Times New Roman" w:cs="Times New Roman"/>
          <w:kern w:val="0"/>
          <w:sz w:val="22"/>
          <w:szCs w:val="22"/>
          <w:lang w:eastAsia="zh-CN"/>
          <w14:ligatures w14:val="none"/>
        </w:rPr>
        <w:t xml:space="preserve"> Suppose the Buyout Value at the end of the second period realized to be 118 francs, lower than the expected due to fluctuations.</w:t>
      </w:r>
    </w:p>
    <w:p w14:paraId="15613158" w14:textId="77777777" w:rsidR="00C86705" w:rsidRPr="00C86705" w:rsidRDefault="00C86705" w:rsidP="00C86705">
      <w:pPr>
        <w:numPr>
          <w:ilvl w:val="0"/>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Expected Growth:</w:t>
      </w:r>
      <w:r w:rsidRPr="00C86705">
        <w:rPr>
          <w:rFonts w:ascii="Times New Roman" w:eastAsia="Times New Roman" w:hAnsi="Times New Roman" w:cs="Times New Roman"/>
          <w:kern w:val="0"/>
          <w:sz w:val="22"/>
          <w:szCs w:val="22"/>
          <w:lang w:eastAsia="zh-CN"/>
          <w14:ligatures w14:val="none"/>
        </w:rPr>
        <w:t xml:space="preserve"> still assuming all subsequent growth to be 9.80% per period.</w:t>
      </w:r>
    </w:p>
    <w:p w14:paraId="4CAEC68C" w14:textId="77777777" w:rsidR="00C86705" w:rsidRPr="00C86705" w:rsidRDefault="00C86705" w:rsidP="00C86705">
      <w:pPr>
        <w:numPr>
          <w:ilvl w:val="0"/>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b/>
          <w:bCs/>
          <w:kern w:val="0"/>
          <w:sz w:val="22"/>
          <w:szCs w:val="22"/>
          <w:lang w:eastAsia="zh-CN"/>
          <w14:ligatures w14:val="none"/>
        </w:rPr>
        <w:t>Calculation:</w:t>
      </w:r>
      <w:r w:rsidRPr="00C86705">
        <w:rPr>
          <w:rFonts w:ascii="Times New Roman" w:eastAsia="Times New Roman" w:hAnsi="Times New Roman" w:cs="Times New Roman"/>
          <w:kern w:val="0"/>
          <w:sz w:val="22"/>
          <w:szCs w:val="22"/>
          <w:lang w:eastAsia="zh-CN"/>
          <w14:ligatures w14:val="none"/>
        </w:rPr>
        <w:t xml:space="preserve"> Now, we calculate the expected value from this new starting point over the remaining 13 periods.</w:t>
      </w:r>
    </w:p>
    <w:p w14:paraId="6803D0EF" w14:textId="77777777" w:rsidR="00C86705" w:rsidRPr="00C86705" w:rsidRDefault="00C86705" w:rsidP="00C86705">
      <w:pPr>
        <w:numPr>
          <w:ilvl w:val="1"/>
          <w:numId w:val="8"/>
        </w:numPr>
        <w:spacing w:before="240" w:line="360" w:lineRule="auto"/>
        <w:jc w:val="both"/>
        <w:rPr>
          <w:rFonts w:ascii="Times New Roman" w:eastAsia="Times New Roman" w:hAnsi="Times New Roman" w:cs="Times New Roman"/>
          <w:kern w:val="0"/>
          <w:sz w:val="22"/>
          <w:szCs w:val="22"/>
          <w:lang w:eastAsia="zh-CN"/>
          <w14:ligatures w14:val="none"/>
        </w:rPr>
      </w:pPr>
      <w:r w:rsidRPr="00C86705">
        <w:rPr>
          <w:rFonts w:ascii="Times New Roman" w:eastAsia="Times New Roman" w:hAnsi="Times New Roman" w:cs="Times New Roman"/>
          <w:kern w:val="0"/>
          <w:sz w:val="22"/>
          <w:szCs w:val="22"/>
          <w:lang w:eastAsia="zh-CN"/>
          <w14:ligatures w14:val="none"/>
        </w:rPr>
        <w:t>Formula: 118</w:t>
      </w:r>
      <w:proofErr w:type="gramStart"/>
      <w:r w:rsidRPr="00C86705">
        <w:rPr>
          <w:rFonts w:ascii="Times New Roman" w:eastAsia="Times New Roman" w:hAnsi="Times New Roman" w:cs="Times New Roman"/>
          <w:kern w:val="0"/>
          <w:sz w:val="22"/>
          <w:szCs w:val="22"/>
          <w:lang w:eastAsia="zh-CN"/>
          <w14:ligatures w14:val="none"/>
        </w:rPr>
        <w:t>×(</w:t>
      </w:r>
      <w:proofErr w:type="gramEnd"/>
      <w:r w:rsidRPr="00C86705">
        <w:rPr>
          <w:rFonts w:ascii="Times New Roman" w:eastAsia="Times New Roman" w:hAnsi="Times New Roman" w:cs="Times New Roman"/>
          <w:kern w:val="0"/>
          <w:sz w:val="22"/>
          <w:szCs w:val="22"/>
          <w:lang w:eastAsia="zh-CN"/>
          <w14:ligatures w14:val="none"/>
        </w:rPr>
        <w:t>1+0.098)</w:t>
      </w:r>
      <w:r w:rsidRPr="00C86705">
        <w:rPr>
          <w:rFonts w:ascii="Times New Roman" w:eastAsia="Times New Roman" w:hAnsi="Times New Roman" w:cs="Times New Roman"/>
          <w:kern w:val="0"/>
          <w:sz w:val="22"/>
          <w:szCs w:val="22"/>
          <w:vertAlign w:val="superscript"/>
          <w:lang w:eastAsia="zh-CN"/>
          <w14:ligatures w14:val="none"/>
        </w:rPr>
        <w:t xml:space="preserve">13 </w:t>
      </w:r>
      <w:r w:rsidRPr="00C86705">
        <w:rPr>
          <w:rFonts w:ascii="Times New Roman" w:eastAsia="Times New Roman" w:hAnsi="Times New Roman" w:cs="Times New Roman"/>
          <w:kern w:val="0"/>
          <w:sz w:val="22"/>
          <w:szCs w:val="22"/>
          <w:lang w:eastAsia="zh-CN"/>
          <w14:ligatures w14:val="none"/>
        </w:rPr>
        <w:t>= 397.8 francs.</w:t>
      </w:r>
    </w:p>
    <w:p w14:paraId="75734620"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The End of Market Expected Buyout Value will be calculated and presented on the bidding screen throughout the market. </w:t>
      </w:r>
    </w:p>
    <w:p w14:paraId="625629A4"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Recall that the experimenter will pay each subject the End of Market Buyout Value for each unit of the asset held in their inventory at the end of the experiment (end of period 15). Therefore, the End of Market Expected Buyout Value calculates this expected payment for each asset at any point in time during the market.</w:t>
      </w:r>
    </w:p>
    <w:p w14:paraId="1E8867B3"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To express more simply, the End of Market Expected Buyout Value estimates how much on average the experimenter will pay you for each unit of the asset you hold in your inventory at the end of the market (end of period 15).</w:t>
      </w:r>
    </w:p>
    <w:p w14:paraId="71FEFFD0" w14:textId="77777777" w:rsidR="00C86705" w:rsidRPr="00C86705" w:rsidRDefault="00C86705" w:rsidP="00C86705">
      <w:pPr>
        <w:spacing w:before="240" w:line="360" w:lineRule="auto"/>
        <w:jc w:val="both"/>
        <w:rPr>
          <w:rFonts w:ascii="Times New Roman" w:hAnsi="Times New Roman" w:cs="Times New Roman"/>
          <w:sz w:val="22"/>
          <w:szCs w:val="22"/>
        </w:rPr>
      </w:pPr>
    </w:p>
    <w:p w14:paraId="5EA8BAD5" w14:textId="77777777" w:rsidR="00C86705" w:rsidRPr="00C86705" w:rsidRDefault="00C86705" w:rsidP="00C86705">
      <w:pPr>
        <w:rPr>
          <w:rFonts w:ascii="Times New Roman" w:hAnsi="Times New Roman" w:cs="Times New Roman"/>
          <w:b/>
          <w:bCs/>
          <w:sz w:val="22"/>
          <w:szCs w:val="22"/>
        </w:rPr>
      </w:pPr>
      <w:r w:rsidRPr="00C86705">
        <w:rPr>
          <w:rFonts w:ascii="Times New Roman" w:hAnsi="Times New Roman" w:cs="Times New Roman"/>
          <w:b/>
          <w:bCs/>
          <w:sz w:val="22"/>
          <w:szCs w:val="22"/>
        </w:rPr>
        <w:br w:type="page"/>
      </w:r>
    </w:p>
    <w:p w14:paraId="0A14695B"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lastRenderedPageBreak/>
        <w:t>Artificial Intelligence (AI) Advisor</w:t>
      </w:r>
    </w:p>
    <w:p w14:paraId="4C1A71B8"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During each period, you will have access to an AI that you may use as a financial advisor to assist with your decisions if you choose. In each period, we provide two sample questions to give you an idea of how you might use it. The AI has access to the experiment instructions as well as information for the period that you can see on the bidding screen, such as your inventory (cash, X units), End of Period Expected Buyout Value, End of Market Expected Buyout Value, etc. Additionally, at the end of the period the AI advisor will have access to your inventory at the end of the period and the market price of X.</w:t>
      </w:r>
    </w:p>
    <w:p w14:paraId="2D897962"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2. Your Earnings</w:t>
      </w:r>
    </w:p>
    <w:p w14:paraId="0E0280C4"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At the start of the experiment, you will receive 41,000 francs in your cash inventory. Your earnings in the experiment equal your cash inventory at the end of period 15 plus any cash you receive from buying back any units of X you have at the end of the experiment.</w:t>
      </w:r>
    </w:p>
    <w:p w14:paraId="1112A2B7"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NOTE: As discussed in the previous section, the End of Market Expected Buyout Value provides an estimate of the cash you will receive from buying back any units of X. So, at any point in time during the market, you are provided with the expected end of market earnings from holding a unit of X at the end of period 15.</w:t>
      </w:r>
    </w:p>
    <w:p w14:paraId="12F91336"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All money spent on purchases is subtracted from your cash inventory.</w:t>
      </w:r>
    </w:p>
    <w:p w14:paraId="7862B217"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All money received from sales is added to your cash inventory.</w:t>
      </w:r>
    </w:p>
    <w:p w14:paraId="7D571463"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b/>
          <w:bCs/>
          <w:sz w:val="22"/>
          <w:szCs w:val="22"/>
        </w:rPr>
        <w:t>Example of earnings at the end of period 15</w:t>
      </w:r>
      <w:r w:rsidRPr="00C86705">
        <w:rPr>
          <w:rFonts w:ascii="Times New Roman" w:hAnsi="Times New Roman" w:cs="Times New Roman"/>
          <w:sz w:val="22"/>
          <w:szCs w:val="22"/>
        </w:rPr>
        <w:t>: If you have 6 units of X at the end of period 15 and the buyout value at the end of period 15 is 523, then your earnings from buying back at the end of period 15 equal 6 units x 523 francs = 3,138 francs, plus any cash you have in your inventory.</w:t>
      </w:r>
    </w:p>
    <w:p w14:paraId="10B619DF"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3. Market Rules and Trading</w:t>
      </w:r>
    </w:p>
    <w:p w14:paraId="350B35E3"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At the beginning of the experiment, you will have an initial inventory of 10 units of X and 41,000 francs. The experiment will consist of 15 periods. In each period, you will see a computer screen like the one below. You can use the interface to make an offer to buy or sell units of X or make no offers (decide not to trade in that period). On your computer screen, you can see the Cash and the </w:t>
      </w:r>
      <w:proofErr w:type="gramStart"/>
      <w:r w:rsidRPr="00C86705">
        <w:rPr>
          <w:rFonts w:ascii="Times New Roman" w:hAnsi="Times New Roman" w:cs="Times New Roman"/>
          <w:sz w:val="22"/>
          <w:szCs w:val="22"/>
        </w:rPr>
        <w:t>quantity</w:t>
      </w:r>
      <w:proofErr w:type="gramEnd"/>
      <w:r w:rsidRPr="00C86705">
        <w:rPr>
          <w:rFonts w:ascii="Times New Roman" w:hAnsi="Times New Roman" w:cs="Times New Roman"/>
          <w:sz w:val="22"/>
          <w:szCs w:val="22"/>
        </w:rPr>
        <w:t xml:space="preserve"> of Units of X that you have available.</w:t>
      </w:r>
    </w:p>
    <w:p w14:paraId="0A1F0FF2"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sz w:val="22"/>
          <w:szCs w:val="22"/>
        </w:rPr>
        <w:t xml:space="preserve">At the start of each trading period, if you want to buy units of X, you can submit a buy offer. Your buy offer indicates the number of units of X that you would like to buy and the highest price that you are willing to pay FOR EACH UNIT. Conversely, if you want to sell units of X, you can submit a sell offer. </w:t>
      </w:r>
      <w:r w:rsidRPr="00C86705">
        <w:rPr>
          <w:rFonts w:ascii="Times New Roman" w:hAnsi="Times New Roman" w:cs="Times New Roman"/>
          <w:sz w:val="22"/>
          <w:szCs w:val="22"/>
        </w:rPr>
        <w:lastRenderedPageBreak/>
        <w:t xml:space="preserve">Your sell offer indicates the number of units of X that you are offering to sell and the lowest price that you are willing to accept FOR EACH UNIT. In each period, you can either buy or sell or do not trade. You cannot buy and sell </w:t>
      </w:r>
      <w:proofErr w:type="gramStart"/>
      <w:r w:rsidRPr="00C86705">
        <w:rPr>
          <w:rFonts w:ascii="Times New Roman" w:hAnsi="Times New Roman" w:cs="Times New Roman"/>
          <w:sz w:val="22"/>
          <w:szCs w:val="22"/>
        </w:rPr>
        <w:t>in a given</w:t>
      </w:r>
      <w:proofErr w:type="gramEnd"/>
      <w:r w:rsidRPr="00C86705">
        <w:rPr>
          <w:rFonts w:ascii="Times New Roman" w:hAnsi="Times New Roman" w:cs="Times New Roman"/>
          <w:sz w:val="22"/>
          <w:szCs w:val="22"/>
        </w:rPr>
        <w:t xml:space="preserve"> period. </w:t>
      </w:r>
      <w:r w:rsidRPr="00C86705">
        <w:rPr>
          <w:rFonts w:ascii="Times New Roman" w:hAnsi="Times New Roman" w:cs="Times New Roman"/>
          <w:b/>
          <w:bCs/>
          <w:sz w:val="22"/>
          <w:szCs w:val="22"/>
        </w:rPr>
        <w:t>The price you specify in your order is a price per unit, at which you offer to buy or sell each unit of X.</w:t>
      </w:r>
    </w:p>
    <w:p w14:paraId="64B37F85"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Example of the Trading Screen for Period 1</w:t>
      </w:r>
    </w:p>
    <w:p w14:paraId="552FEB87"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noProof/>
          <w:sz w:val="22"/>
          <w:szCs w:val="22"/>
        </w:rPr>
        <w:drawing>
          <wp:inline distT="0" distB="0" distL="0" distR="0" wp14:anchorId="03452E8C" wp14:editId="10176BFB">
            <wp:extent cx="5400040" cy="3398520"/>
            <wp:effectExtent l="0" t="0" r="0" b="0"/>
            <wp:docPr id="469566948"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66948" name="Imagen 1" descr="Interfaz de usuario gráfica, Texto, Aplicación, Correo electrónico&#10;&#10;El contenido generado por IA puede ser incorrecto."/>
                    <pic:cNvPicPr/>
                  </pic:nvPicPr>
                  <pic:blipFill>
                    <a:blip r:embed="rId10">
                      <a:extLst>
                        <a:ext uri="{28A0092B-C50C-407E-A947-70E740481C1C}">
                          <a14:useLocalDpi xmlns:a14="http://schemas.microsoft.com/office/drawing/2010/main" val="0"/>
                        </a:ext>
                      </a:extLst>
                    </a:blip>
                    <a:stretch>
                      <a:fillRect/>
                    </a:stretch>
                  </pic:blipFill>
                  <pic:spPr>
                    <a:xfrm>
                      <a:off x="0" y="0"/>
                      <a:ext cx="5400040" cy="3398520"/>
                    </a:xfrm>
                    <a:prstGeom prst="rect">
                      <a:avLst/>
                    </a:prstGeom>
                  </pic:spPr>
                </pic:pic>
              </a:graphicData>
            </a:graphic>
          </wp:inline>
        </w:drawing>
      </w:r>
    </w:p>
    <w:p w14:paraId="2A6B8E8F"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Your offer to sell is limited by your inventory of X, and your offer to buy is limited by your cash holdings and the maximum price that you are willing to pay multiplied by the quantity of X you want to buy. The period ends when all market participants have </w:t>
      </w:r>
      <w:proofErr w:type="gramStart"/>
      <w:r w:rsidRPr="00C86705">
        <w:rPr>
          <w:rFonts w:ascii="Times New Roman" w:hAnsi="Times New Roman" w:cs="Times New Roman"/>
          <w:sz w:val="22"/>
          <w:szCs w:val="22"/>
        </w:rPr>
        <w:t>made a decision</w:t>
      </w:r>
      <w:proofErr w:type="gramEnd"/>
      <w:r w:rsidRPr="00C86705">
        <w:rPr>
          <w:rFonts w:ascii="Times New Roman" w:hAnsi="Times New Roman" w:cs="Times New Roman"/>
          <w:sz w:val="22"/>
          <w:szCs w:val="22"/>
        </w:rPr>
        <w:t>. An example of the bidding screen is provided above.</w:t>
      </w:r>
    </w:p>
    <w:p w14:paraId="7B48C8BB"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 xml:space="preserve">At the end of the period, the computer program will organize the buy and sell orders and use them to determine the trading price at which units of X are bought and sold. All transactions </w:t>
      </w:r>
      <w:proofErr w:type="gramStart"/>
      <w:r w:rsidRPr="00C86705">
        <w:rPr>
          <w:rFonts w:ascii="Times New Roman" w:hAnsi="Times New Roman" w:cs="Times New Roman"/>
          <w:sz w:val="22"/>
          <w:szCs w:val="22"/>
        </w:rPr>
        <w:t>in a given</w:t>
      </w:r>
      <w:proofErr w:type="gramEnd"/>
      <w:r w:rsidRPr="00C86705">
        <w:rPr>
          <w:rFonts w:ascii="Times New Roman" w:hAnsi="Times New Roman" w:cs="Times New Roman"/>
          <w:sz w:val="22"/>
          <w:szCs w:val="22"/>
        </w:rPr>
        <w:t xml:space="preserve"> period will be made at the same trading price. This will generally be a price at which the quantity of units of X with sell order prices at or below this trading price is equal to the quantity of units of X with buy order prices at or above this trading price. People who </w:t>
      </w:r>
      <w:proofErr w:type="gramStart"/>
      <w:r w:rsidRPr="00C86705">
        <w:rPr>
          <w:rFonts w:ascii="Times New Roman" w:hAnsi="Times New Roman" w:cs="Times New Roman"/>
          <w:sz w:val="22"/>
          <w:szCs w:val="22"/>
        </w:rPr>
        <w:t>submit buy</w:t>
      </w:r>
      <w:proofErr w:type="gramEnd"/>
      <w:r w:rsidRPr="00C86705">
        <w:rPr>
          <w:rFonts w:ascii="Times New Roman" w:hAnsi="Times New Roman" w:cs="Times New Roman"/>
          <w:sz w:val="22"/>
          <w:szCs w:val="22"/>
        </w:rPr>
        <w:t xml:space="preserve"> orders at prices above the trading price are buying, and those who submit sell orders at prices below the trading price make sales.</w:t>
      </w:r>
    </w:p>
    <w:p w14:paraId="3249A465"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Examples of how the market works.</w:t>
      </w:r>
    </w:p>
    <w:p w14:paraId="4E349746"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b/>
          <w:bCs/>
          <w:sz w:val="22"/>
          <w:szCs w:val="22"/>
        </w:rPr>
        <w:t>Example 1.</w:t>
      </w:r>
      <w:r w:rsidRPr="00C86705">
        <w:rPr>
          <w:rFonts w:ascii="Times New Roman" w:hAnsi="Times New Roman" w:cs="Times New Roman"/>
          <w:sz w:val="22"/>
          <w:szCs w:val="22"/>
        </w:rPr>
        <w:t xml:space="preserve"> Suppose that in period 2, there are four traders in the market and:</w:t>
      </w:r>
    </w:p>
    <w:p w14:paraId="529C3770"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Trader 1 submits a buy offer at 60</w:t>
      </w:r>
    </w:p>
    <w:p w14:paraId="4E07A9D0"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lastRenderedPageBreak/>
        <w:t>Trader 2 submits a buy offer at 20</w:t>
      </w:r>
    </w:p>
    <w:p w14:paraId="170A8082"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Trader 3 submits a sell offer at 10</w:t>
      </w:r>
    </w:p>
    <w:p w14:paraId="08F0BCF1"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Trader 4 submits a sell offer at 40</w:t>
      </w:r>
    </w:p>
    <w:p w14:paraId="168D287E"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At any price above 40, more units are offered for sale than for purchase. At any price below 20, more units are offered for purchase than for sale. At any price between 20.1 and 39.9, an equal number of units are offered for purchase and sale. The trading price is the lowest price at which an equal number of units are offered for purchase and sale. In this example, the price is 20.1. Trader 1 makes a purchase from Trader 3 at a price of 20.1.</w:t>
      </w:r>
    </w:p>
    <w:p w14:paraId="4057336E"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b/>
          <w:bCs/>
          <w:sz w:val="22"/>
          <w:szCs w:val="22"/>
        </w:rPr>
        <w:t>Example 2.</w:t>
      </w:r>
      <w:r w:rsidRPr="00C86705">
        <w:rPr>
          <w:rFonts w:ascii="Times New Roman" w:hAnsi="Times New Roman" w:cs="Times New Roman"/>
          <w:sz w:val="22"/>
          <w:szCs w:val="22"/>
        </w:rPr>
        <w:t xml:space="preserve"> Suppose that in period 2, four traders participate in the market and:</w:t>
      </w:r>
    </w:p>
    <w:p w14:paraId="6C5CCBA4"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Trader 1 submits a buy offer at 360</w:t>
      </w:r>
    </w:p>
    <w:p w14:paraId="3EFD33C3"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Trader 2 submits a buy offer at 320</w:t>
      </w:r>
    </w:p>
    <w:p w14:paraId="12B789F2"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Trader 3 submits a sell offer at 310</w:t>
      </w:r>
    </w:p>
    <w:p w14:paraId="2633D50B" w14:textId="77777777" w:rsidR="00C86705" w:rsidRPr="00C86705" w:rsidRDefault="00C86705" w:rsidP="00C86705">
      <w:pPr>
        <w:pStyle w:val="ListParagraph"/>
        <w:numPr>
          <w:ilvl w:val="0"/>
          <w:numId w:val="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Trader 4 submits a sell offer at 300</w:t>
      </w:r>
    </w:p>
    <w:p w14:paraId="2D80CF74"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The trading price is the lowest price at which there is an equal number of units offered for purchase and sale. In this example, the price is 310. Traders 1 and 2 make a purchase from Traders 3 and 4 at a price of 310.</w:t>
      </w:r>
    </w:p>
    <w:p w14:paraId="41A3616B"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4. Opinions of AI </w:t>
      </w:r>
    </w:p>
    <w:p w14:paraId="33DD1C44"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sz w:val="22"/>
          <w:szCs w:val="22"/>
        </w:rPr>
        <w:t>After you make your market decisions for the period, we will ask you your opinion on the quality/usefulness of the AI assistance. If you did not use AI in the period, then this question will not be available to you.</w:t>
      </w:r>
      <w:r w:rsidRPr="00C86705">
        <w:rPr>
          <w:rFonts w:ascii="Times New Roman" w:hAnsi="Times New Roman" w:cs="Times New Roman"/>
          <w:b/>
          <w:bCs/>
          <w:sz w:val="22"/>
          <w:szCs w:val="22"/>
        </w:rPr>
        <w:br w:type="page"/>
      </w:r>
    </w:p>
    <w:p w14:paraId="449220BD"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lastRenderedPageBreak/>
        <w:t>5. Summary of Market Outcomes</w:t>
      </w:r>
    </w:p>
    <w:p w14:paraId="34FEC9CE"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At the end of each period, you will see a summary screen (an example of the summary screen is shown below).</w:t>
      </w:r>
    </w:p>
    <w:p w14:paraId="2D90A0D4"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Example of a Summary </w:t>
      </w:r>
      <w:proofErr w:type="gramStart"/>
      <w:r w:rsidRPr="00C86705">
        <w:rPr>
          <w:rFonts w:ascii="Times New Roman" w:hAnsi="Times New Roman" w:cs="Times New Roman"/>
          <w:b/>
          <w:bCs/>
          <w:sz w:val="22"/>
          <w:szCs w:val="22"/>
        </w:rPr>
        <w:t>screen</w:t>
      </w:r>
      <w:proofErr w:type="gramEnd"/>
    </w:p>
    <w:p w14:paraId="2076B950" w14:textId="77777777" w:rsidR="00C86705" w:rsidRPr="00C86705" w:rsidRDefault="00C86705" w:rsidP="00C86705">
      <w:pPr>
        <w:spacing w:before="240" w:line="360" w:lineRule="auto"/>
        <w:jc w:val="both"/>
        <w:rPr>
          <w:rFonts w:ascii="Times New Roman" w:hAnsi="Times New Roman" w:cs="Times New Roman"/>
          <w:b/>
          <w:sz w:val="22"/>
          <w:szCs w:val="22"/>
        </w:rPr>
      </w:pPr>
      <w:r w:rsidRPr="00C86705">
        <w:rPr>
          <w:rFonts w:ascii="Times New Roman" w:hAnsi="Times New Roman" w:cs="Times New Roman"/>
          <w:noProof/>
          <w:sz w:val="22"/>
          <w:szCs w:val="22"/>
        </w:rPr>
        <w:drawing>
          <wp:inline distT="0" distB="0" distL="0" distR="0" wp14:anchorId="6D963BB9" wp14:editId="377E1A40">
            <wp:extent cx="4004840" cy="3093465"/>
            <wp:effectExtent l="0" t="0" r="0" b="0"/>
            <wp:docPr id="45462166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21660" name="Imagen 1" descr="Interfaz de usuario gráfica, Aplicación&#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4010518" cy="3097851"/>
                    </a:xfrm>
                    <a:prstGeom prst="rect">
                      <a:avLst/>
                    </a:prstGeom>
                  </pic:spPr>
                </pic:pic>
              </a:graphicData>
            </a:graphic>
          </wp:inline>
        </w:drawing>
      </w:r>
    </w:p>
    <w:p w14:paraId="05AFF2CE" w14:textId="77777777" w:rsidR="00C86705" w:rsidRPr="00C86705" w:rsidRDefault="00C86705" w:rsidP="00C86705">
      <w:pPr>
        <w:spacing w:before="240" w:line="360" w:lineRule="auto"/>
        <w:jc w:val="both"/>
        <w:rPr>
          <w:rFonts w:ascii="Times New Roman" w:hAnsi="Times New Roman" w:cs="Times New Roman"/>
          <w:b/>
          <w:sz w:val="22"/>
          <w:szCs w:val="22"/>
        </w:rPr>
      </w:pPr>
    </w:p>
    <w:p w14:paraId="4A0279EA" w14:textId="77777777" w:rsidR="00C86705" w:rsidRPr="00C86705" w:rsidRDefault="00C86705" w:rsidP="00C86705">
      <w:pPr>
        <w:spacing w:before="240" w:line="360" w:lineRule="auto"/>
        <w:jc w:val="both"/>
        <w:rPr>
          <w:rFonts w:ascii="Times New Roman" w:hAnsi="Times New Roman" w:cs="Times New Roman"/>
          <w:b/>
          <w:sz w:val="22"/>
          <w:szCs w:val="22"/>
        </w:rPr>
      </w:pPr>
    </w:p>
    <w:p w14:paraId="5C0BDEDF" w14:textId="77777777" w:rsidR="00C86705" w:rsidRPr="00C86705" w:rsidRDefault="00C86705" w:rsidP="00C86705">
      <w:pPr>
        <w:spacing w:before="240" w:line="360" w:lineRule="auto"/>
        <w:jc w:val="both"/>
        <w:rPr>
          <w:rFonts w:ascii="Times New Roman" w:eastAsia="Times New Roman" w:hAnsi="Times New Roman" w:cs="Times New Roman"/>
          <w:b/>
          <w:kern w:val="0"/>
          <w:sz w:val="22"/>
          <w:szCs w:val="22"/>
          <w14:ligatures w14:val="none"/>
        </w:rPr>
      </w:pPr>
      <w:r w:rsidRPr="00C86705">
        <w:rPr>
          <w:rFonts w:ascii="Times New Roman" w:hAnsi="Times New Roman" w:cs="Times New Roman"/>
          <w:b/>
          <w:sz w:val="22"/>
          <w:szCs w:val="22"/>
        </w:rPr>
        <w:br w:type="page"/>
      </w:r>
    </w:p>
    <w:p w14:paraId="4E71FB2F" w14:textId="77777777" w:rsidR="00C86705" w:rsidRPr="00C86705" w:rsidRDefault="00C86705" w:rsidP="00C86705">
      <w:pPr>
        <w:spacing w:before="240" w:line="360" w:lineRule="auto"/>
        <w:jc w:val="both"/>
        <w:rPr>
          <w:rFonts w:ascii="Times New Roman" w:hAnsi="Times New Roman" w:cs="Times New Roman"/>
          <w:b/>
          <w:bCs/>
          <w:sz w:val="22"/>
          <w:szCs w:val="22"/>
        </w:rPr>
      </w:pPr>
      <w:bookmarkStart w:id="8" w:name="_Hlk189060326"/>
      <w:r w:rsidRPr="00C86705">
        <w:rPr>
          <w:rFonts w:ascii="Times New Roman" w:hAnsi="Times New Roman" w:cs="Times New Roman"/>
          <w:b/>
          <w:sz w:val="22"/>
          <w:szCs w:val="22"/>
        </w:rPr>
        <w:lastRenderedPageBreak/>
        <w:t xml:space="preserve">6. </w:t>
      </w:r>
      <w:r w:rsidRPr="00C86705">
        <w:rPr>
          <w:rFonts w:ascii="Times New Roman" w:hAnsi="Times New Roman" w:cs="Times New Roman"/>
          <w:b/>
          <w:bCs/>
          <w:sz w:val="22"/>
          <w:szCs w:val="22"/>
        </w:rPr>
        <w:t>Summary of the instructions</w:t>
      </w:r>
    </w:p>
    <w:p w14:paraId="05BE22AE" w14:textId="77777777" w:rsidR="00C86705" w:rsidRPr="00C86705" w:rsidRDefault="00C86705" w:rsidP="00C86705">
      <w:p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This experiment involves market decision-making over 15 trading periods, using francs as the currency. Participants can buy or sell an asset called X or choose not to trade. The inventory of X and cash carries over each period. At the end of the experiment, the experimenter will buy back any remaining assets at the End of Market Buyout Value.</w:t>
      </w:r>
    </w:p>
    <w:p w14:paraId="6A451033"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Buyout Value</w:t>
      </w:r>
    </w:p>
    <w:p w14:paraId="768B6E0F" w14:textId="77777777" w:rsidR="00C86705" w:rsidRPr="00C86705" w:rsidRDefault="00C86705" w:rsidP="00C86705">
      <w:pPr>
        <w:pStyle w:val="ListParagraph"/>
        <w:numPr>
          <w:ilvl w:val="0"/>
          <w:numId w:val="9"/>
        </w:numPr>
        <w:spacing w:before="240" w:line="360" w:lineRule="auto"/>
        <w:jc w:val="both"/>
        <w:rPr>
          <w:rFonts w:ascii="Times New Roman" w:hAnsi="Times New Roman" w:cs="Times New Roman"/>
          <w:sz w:val="22"/>
          <w:szCs w:val="22"/>
        </w:rPr>
      </w:pPr>
      <w:r w:rsidRPr="00C86705">
        <w:rPr>
          <w:rFonts w:ascii="Times New Roman" w:hAnsi="Times New Roman" w:cs="Times New Roman"/>
          <w:b/>
          <w:bCs/>
          <w:sz w:val="22"/>
          <w:szCs w:val="22"/>
        </w:rPr>
        <w:t xml:space="preserve">Initial Value: </w:t>
      </w:r>
      <w:r w:rsidRPr="00C86705">
        <w:rPr>
          <w:rFonts w:ascii="Times New Roman" w:hAnsi="Times New Roman" w:cs="Times New Roman"/>
          <w:sz w:val="22"/>
          <w:szCs w:val="22"/>
        </w:rPr>
        <w:t>100 francs.</w:t>
      </w:r>
    </w:p>
    <w:p w14:paraId="5E0A271D" w14:textId="77777777" w:rsidR="00C86705" w:rsidRPr="00C86705" w:rsidRDefault="00C86705" w:rsidP="00C86705">
      <w:pPr>
        <w:pStyle w:val="ListParagraph"/>
        <w:numPr>
          <w:ilvl w:val="0"/>
          <w:numId w:val="9"/>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Evolution: </w:t>
      </w:r>
      <w:r w:rsidRPr="00C86705">
        <w:rPr>
          <w:rFonts w:ascii="Times New Roman" w:hAnsi="Times New Roman" w:cs="Times New Roman"/>
          <w:sz w:val="22"/>
          <w:szCs w:val="22"/>
        </w:rPr>
        <w:t>Changes randomly each period, with an average increase of 9.80% and a standard deviation of 19.55%.</w:t>
      </w:r>
    </w:p>
    <w:p w14:paraId="468B7281" w14:textId="77777777" w:rsidR="00C86705" w:rsidRPr="00C86705" w:rsidRDefault="00C86705" w:rsidP="00C86705">
      <w:pPr>
        <w:pStyle w:val="ListParagraph"/>
        <w:numPr>
          <w:ilvl w:val="0"/>
          <w:numId w:val="9"/>
        </w:numPr>
        <w:spacing w:before="240" w:line="360" w:lineRule="auto"/>
        <w:jc w:val="both"/>
        <w:rPr>
          <w:rFonts w:ascii="Times New Roman" w:hAnsi="Times New Roman" w:cs="Times New Roman"/>
          <w:sz w:val="22"/>
          <w:szCs w:val="22"/>
        </w:rPr>
      </w:pPr>
      <w:r w:rsidRPr="00C86705">
        <w:rPr>
          <w:rFonts w:ascii="Times New Roman" w:hAnsi="Times New Roman" w:cs="Times New Roman"/>
          <w:b/>
          <w:bCs/>
          <w:sz w:val="22"/>
          <w:szCs w:val="22"/>
        </w:rPr>
        <w:t xml:space="preserve">End of Period: </w:t>
      </w:r>
      <w:r w:rsidRPr="00C86705">
        <w:rPr>
          <w:rFonts w:ascii="Times New Roman" w:hAnsi="Times New Roman" w:cs="Times New Roman"/>
          <w:sz w:val="22"/>
          <w:szCs w:val="22"/>
        </w:rPr>
        <w:t>The Buyout Value is expected to increase but can fluctuate due to randomness. Participants will not know the exact Buyout Value during a given period until it concludes.</w:t>
      </w:r>
    </w:p>
    <w:p w14:paraId="6EB49913"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End of Period Expected Buyout Value</w:t>
      </w:r>
    </w:p>
    <w:p w14:paraId="2161626B" w14:textId="77777777" w:rsidR="00C86705" w:rsidRPr="00C86705" w:rsidRDefault="00C86705" w:rsidP="00C86705">
      <w:pPr>
        <w:pStyle w:val="ListParagraph"/>
        <w:numPr>
          <w:ilvl w:val="0"/>
          <w:numId w:val="11"/>
        </w:numPr>
        <w:spacing w:before="240" w:line="360" w:lineRule="auto"/>
        <w:jc w:val="both"/>
        <w:rPr>
          <w:rFonts w:ascii="Times New Roman" w:hAnsi="Times New Roman" w:cs="Times New Roman"/>
          <w:b/>
          <w:bCs/>
          <w:sz w:val="22"/>
          <w:szCs w:val="22"/>
        </w:rPr>
      </w:pPr>
      <w:r w:rsidRPr="00C86705">
        <w:rPr>
          <w:rFonts w:ascii="Times New Roman" w:hAnsi="Times New Roman" w:cs="Times New Roman"/>
          <w:sz w:val="22"/>
          <w:szCs w:val="22"/>
        </w:rPr>
        <w:t>Calculated based on a consistent 9.80% growth assumption.</w:t>
      </w:r>
    </w:p>
    <w:p w14:paraId="300967BB" w14:textId="77777777" w:rsidR="00C86705" w:rsidRPr="00C86705" w:rsidRDefault="00C86705" w:rsidP="00C86705">
      <w:pPr>
        <w:pStyle w:val="ListParagraph"/>
        <w:numPr>
          <w:ilvl w:val="0"/>
          <w:numId w:val="11"/>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Example Calculations:</w:t>
      </w:r>
    </w:p>
    <w:p w14:paraId="73DD47FF" w14:textId="77777777" w:rsidR="00C86705" w:rsidRPr="00C86705" w:rsidRDefault="00C86705" w:rsidP="00C86705">
      <w:pPr>
        <w:pStyle w:val="ListParagraph"/>
        <w:numPr>
          <w:ilvl w:val="1"/>
          <w:numId w:val="11"/>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Period 1: </w:t>
      </w:r>
      <w:r w:rsidRPr="00C86705">
        <w:rPr>
          <w:rFonts w:ascii="Times New Roman" w:hAnsi="Times New Roman" w:cs="Times New Roman"/>
          <w:sz w:val="22"/>
          <w:szCs w:val="22"/>
        </w:rPr>
        <w:t>100</w:t>
      </w:r>
      <w:proofErr w:type="gramStart"/>
      <w:r w:rsidRPr="00C86705">
        <w:rPr>
          <w:rFonts w:ascii="Times New Roman" w:hAnsi="Times New Roman" w:cs="Times New Roman"/>
          <w:sz w:val="22"/>
          <w:szCs w:val="22"/>
        </w:rPr>
        <w:t>×(</w:t>
      </w:r>
      <w:proofErr w:type="gramEnd"/>
      <w:r w:rsidRPr="00C86705">
        <w:rPr>
          <w:rFonts w:ascii="Times New Roman" w:hAnsi="Times New Roman" w:cs="Times New Roman"/>
          <w:sz w:val="22"/>
          <w:szCs w:val="22"/>
        </w:rPr>
        <w:t>1+0.098) = 109.8 francs, calculated from an initial 100 francs with an anticipated increase of 9.8% (9.8 francs).</w:t>
      </w:r>
    </w:p>
    <w:p w14:paraId="0B200464"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End of Market Expected Buyout Value</w:t>
      </w:r>
    </w:p>
    <w:p w14:paraId="66552274" w14:textId="77777777" w:rsidR="00C86705" w:rsidRPr="00C86705" w:rsidRDefault="00C86705" w:rsidP="00C86705">
      <w:pPr>
        <w:pStyle w:val="ListParagraph"/>
        <w:numPr>
          <w:ilvl w:val="0"/>
          <w:numId w:val="12"/>
        </w:numPr>
        <w:spacing w:before="240" w:line="360" w:lineRule="auto"/>
        <w:jc w:val="both"/>
        <w:rPr>
          <w:rFonts w:ascii="Times New Roman" w:hAnsi="Times New Roman" w:cs="Times New Roman"/>
          <w:b/>
          <w:bCs/>
          <w:sz w:val="22"/>
          <w:szCs w:val="22"/>
        </w:rPr>
      </w:pPr>
      <w:r w:rsidRPr="00C86705">
        <w:rPr>
          <w:rFonts w:ascii="Times New Roman" w:hAnsi="Times New Roman" w:cs="Times New Roman"/>
          <w:sz w:val="22"/>
          <w:szCs w:val="22"/>
        </w:rPr>
        <w:t>Calculated based on a consistent 9.80% growth assumption.</w:t>
      </w:r>
    </w:p>
    <w:p w14:paraId="6B17A9D5" w14:textId="77777777" w:rsidR="00C86705" w:rsidRPr="00C86705" w:rsidRDefault="00C86705" w:rsidP="00C86705">
      <w:pPr>
        <w:pStyle w:val="ListParagraph"/>
        <w:numPr>
          <w:ilvl w:val="0"/>
          <w:numId w:val="12"/>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Example Calculations:</w:t>
      </w:r>
    </w:p>
    <w:p w14:paraId="05DB4D97" w14:textId="77777777" w:rsidR="00C86705" w:rsidRPr="00C86705" w:rsidRDefault="00C86705" w:rsidP="00C86705">
      <w:pPr>
        <w:pStyle w:val="ListParagraph"/>
        <w:numPr>
          <w:ilvl w:val="1"/>
          <w:numId w:val="12"/>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Period 1: </w:t>
      </w:r>
      <w:r w:rsidRPr="00C86705">
        <w:rPr>
          <w:rFonts w:ascii="Times New Roman" w:hAnsi="Times New Roman" w:cs="Times New Roman"/>
          <w:sz w:val="22"/>
          <w:szCs w:val="22"/>
        </w:rPr>
        <w:t>100</w:t>
      </w:r>
      <w:proofErr w:type="gramStart"/>
      <w:r w:rsidRPr="00C86705">
        <w:rPr>
          <w:rFonts w:ascii="Times New Roman" w:hAnsi="Times New Roman" w:cs="Times New Roman"/>
          <w:sz w:val="22"/>
          <w:szCs w:val="22"/>
        </w:rPr>
        <w:t>×(</w:t>
      </w:r>
      <w:proofErr w:type="gramEnd"/>
      <w:r w:rsidRPr="00C86705">
        <w:rPr>
          <w:rFonts w:ascii="Times New Roman" w:hAnsi="Times New Roman" w:cs="Times New Roman"/>
          <w:sz w:val="22"/>
          <w:szCs w:val="22"/>
        </w:rPr>
        <w:t>1+0.098)</w:t>
      </w:r>
      <w:r w:rsidRPr="00C86705">
        <w:rPr>
          <w:rFonts w:ascii="Times New Roman" w:hAnsi="Times New Roman" w:cs="Times New Roman"/>
          <w:sz w:val="22"/>
          <w:szCs w:val="22"/>
          <w:vertAlign w:val="superscript"/>
        </w:rPr>
        <w:t xml:space="preserve">15 </w:t>
      </w:r>
      <w:r w:rsidRPr="00C86705">
        <w:rPr>
          <w:rFonts w:ascii="Times New Roman" w:hAnsi="Times New Roman" w:cs="Times New Roman"/>
          <w:sz w:val="22"/>
          <w:szCs w:val="22"/>
        </w:rPr>
        <w:t>= 406.5 francs.</w:t>
      </w:r>
    </w:p>
    <w:p w14:paraId="493C3B0C" w14:textId="77777777" w:rsidR="00C86705" w:rsidRPr="00C86705" w:rsidRDefault="00C86705" w:rsidP="00C86705">
      <w:pPr>
        <w:pStyle w:val="ListParagraph"/>
        <w:numPr>
          <w:ilvl w:val="1"/>
          <w:numId w:val="12"/>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Period 2: </w:t>
      </w:r>
      <w:r w:rsidRPr="00C86705">
        <w:rPr>
          <w:rFonts w:ascii="Times New Roman" w:hAnsi="Times New Roman" w:cs="Times New Roman"/>
          <w:sz w:val="22"/>
          <w:szCs w:val="22"/>
        </w:rPr>
        <w:t>If realized value is 110 francs, then 110</w:t>
      </w:r>
      <w:proofErr w:type="gramStart"/>
      <w:r w:rsidRPr="00C86705">
        <w:rPr>
          <w:rFonts w:ascii="Times New Roman" w:hAnsi="Times New Roman" w:cs="Times New Roman"/>
          <w:sz w:val="22"/>
          <w:szCs w:val="22"/>
        </w:rPr>
        <w:t>×(</w:t>
      </w:r>
      <w:proofErr w:type="gramEnd"/>
      <w:r w:rsidRPr="00C86705">
        <w:rPr>
          <w:rFonts w:ascii="Times New Roman" w:hAnsi="Times New Roman" w:cs="Times New Roman"/>
          <w:sz w:val="22"/>
          <w:szCs w:val="22"/>
        </w:rPr>
        <w:t>1+0.098)</w:t>
      </w:r>
      <w:r w:rsidRPr="00C86705">
        <w:rPr>
          <w:rFonts w:ascii="Times New Roman" w:hAnsi="Times New Roman" w:cs="Times New Roman"/>
          <w:sz w:val="22"/>
          <w:szCs w:val="22"/>
          <w:vertAlign w:val="superscript"/>
        </w:rPr>
        <w:t>14</w:t>
      </w:r>
      <w:r w:rsidRPr="00C86705">
        <w:rPr>
          <w:rFonts w:ascii="Times New Roman" w:hAnsi="Times New Roman" w:cs="Times New Roman"/>
          <w:sz w:val="22"/>
          <w:szCs w:val="22"/>
        </w:rPr>
        <w:t>= 407.2 francs.</w:t>
      </w:r>
    </w:p>
    <w:p w14:paraId="26B2271C" w14:textId="77777777" w:rsidR="00C86705" w:rsidRPr="00C86705" w:rsidRDefault="00C86705" w:rsidP="00C86705">
      <w:pPr>
        <w:pStyle w:val="ListParagraph"/>
        <w:numPr>
          <w:ilvl w:val="1"/>
          <w:numId w:val="12"/>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Period 3: </w:t>
      </w:r>
      <w:r w:rsidRPr="00C86705">
        <w:rPr>
          <w:rFonts w:ascii="Times New Roman" w:hAnsi="Times New Roman" w:cs="Times New Roman"/>
          <w:sz w:val="22"/>
          <w:szCs w:val="22"/>
        </w:rPr>
        <w:t>If realized value is 118 francs, then 118</w:t>
      </w:r>
      <w:proofErr w:type="gramStart"/>
      <w:r w:rsidRPr="00C86705">
        <w:rPr>
          <w:rFonts w:ascii="Times New Roman" w:hAnsi="Times New Roman" w:cs="Times New Roman"/>
          <w:sz w:val="22"/>
          <w:szCs w:val="22"/>
        </w:rPr>
        <w:t>×(</w:t>
      </w:r>
      <w:proofErr w:type="gramEnd"/>
      <w:r w:rsidRPr="00C86705">
        <w:rPr>
          <w:rFonts w:ascii="Times New Roman" w:hAnsi="Times New Roman" w:cs="Times New Roman"/>
          <w:sz w:val="22"/>
          <w:szCs w:val="22"/>
        </w:rPr>
        <w:t>1+0.098)</w:t>
      </w:r>
      <w:r w:rsidRPr="00C86705" w:rsidDel="00641BB5">
        <w:rPr>
          <w:rFonts w:ascii="Times New Roman" w:hAnsi="Times New Roman" w:cs="Times New Roman"/>
          <w:sz w:val="22"/>
          <w:szCs w:val="22"/>
        </w:rPr>
        <w:t xml:space="preserve"> </w:t>
      </w:r>
      <w:r w:rsidRPr="00C86705">
        <w:rPr>
          <w:rFonts w:ascii="Times New Roman" w:hAnsi="Times New Roman" w:cs="Times New Roman"/>
          <w:sz w:val="22"/>
          <w:szCs w:val="22"/>
          <w:vertAlign w:val="superscript"/>
        </w:rPr>
        <w:t>13</w:t>
      </w:r>
      <w:r w:rsidRPr="00C86705">
        <w:rPr>
          <w:rFonts w:ascii="Times New Roman" w:hAnsi="Times New Roman" w:cs="Times New Roman"/>
          <w:sz w:val="22"/>
          <w:szCs w:val="22"/>
        </w:rPr>
        <w:t xml:space="preserve"> = 397.8 francs.</w:t>
      </w:r>
    </w:p>
    <w:p w14:paraId="1B93184B"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AI Assistant</w:t>
      </w:r>
    </w:p>
    <w:p w14:paraId="7517B4C8" w14:textId="77777777" w:rsidR="00C86705" w:rsidRPr="00C86705" w:rsidRDefault="00C86705" w:rsidP="00C86705">
      <w:pPr>
        <w:pStyle w:val="ListParagraph"/>
        <w:numPr>
          <w:ilvl w:val="0"/>
          <w:numId w:val="1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Participants can consult ChatGPT for advice during each period.</w:t>
      </w:r>
    </w:p>
    <w:p w14:paraId="297F5E0F" w14:textId="77777777" w:rsidR="00C86705" w:rsidRPr="00C86705" w:rsidRDefault="00C86705" w:rsidP="00C86705">
      <w:pPr>
        <w:pStyle w:val="ListParagraph"/>
        <w:numPr>
          <w:ilvl w:val="0"/>
          <w:numId w:val="13"/>
        </w:numPr>
        <w:spacing w:before="240" w:line="360" w:lineRule="auto"/>
        <w:jc w:val="both"/>
        <w:rPr>
          <w:rFonts w:ascii="Times New Roman" w:hAnsi="Times New Roman" w:cs="Times New Roman"/>
          <w:sz w:val="22"/>
          <w:szCs w:val="22"/>
        </w:rPr>
      </w:pPr>
      <w:r w:rsidRPr="00C86705">
        <w:rPr>
          <w:rFonts w:ascii="Times New Roman" w:hAnsi="Times New Roman" w:cs="Times New Roman"/>
          <w:sz w:val="22"/>
          <w:szCs w:val="22"/>
        </w:rPr>
        <w:t>ChatGPT has access to the experiment instructions and current period data, including inventory and expected values.</w:t>
      </w:r>
    </w:p>
    <w:p w14:paraId="1648339A"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Earnings</w:t>
      </w:r>
    </w:p>
    <w:p w14:paraId="6AF05FBA" w14:textId="77777777" w:rsidR="00C86705" w:rsidRPr="00C86705" w:rsidRDefault="00C86705" w:rsidP="00C86705">
      <w:pPr>
        <w:pStyle w:val="ListParagraph"/>
        <w:numPr>
          <w:ilvl w:val="0"/>
          <w:numId w:val="14"/>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Initial Cash: </w:t>
      </w:r>
      <w:r w:rsidRPr="00C86705">
        <w:rPr>
          <w:rFonts w:ascii="Times New Roman" w:hAnsi="Times New Roman" w:cs="Times New Roman"/>
          <w:sz w:val="22"/>
          <w:szCs w:val="22"/>
        </w:rPr>
        <w:t>41,000 francs.</w:t>
      </w:r>
    </w:p>
    <w:p w14:paraId="22955909" w14:textId="77777777" w:rsidR="00C86705" w:rsidRPr="00C86705" w:rsidRDefault="00C86705" w:rsidP="00C86705">
      <w:pPr>
        <w:pStyle w:val="ListParagraph"/>
        <w:numPr>
          <w:ilvl w:val="0"/>
          <w:numId w:val="14"/>
        </w:numPr>
        <w:spacing w:before="240" w:line="360" w:lineRule="auto"/>
        <w:jc w:val="both"/>
        <w:rPr>
          <w:rFonts w:ascii="Times New Roman" w:hAnsi="Times New Roman" w:cs="Times New Roman"/>
          <w:sz w:val="22"/>
          <w:szCs w:val="22"/>
        </w:rPr>
      </w:pPr>
      <w:r w:rsidRPr="00C86705">
        <w:rPr>
          <w:rFonts w:ascii="Times New Roman" w:hAnsi="Times New Roman" w:cs="Times New Roman"/>
          <w:b/>
          <w:bCs/>
          <w:sz w:val="22"/>
          <w:szCs w:val="22"/>
        </w:rPr>
        <w:t xml:space="preserve">Final Earnings: </w:t>
      </w:r>
      <w:r w:rsidRPr="00C86705">
        <w:rPr>
          <w:rFonts w:ascii="Times New Roman" w:hAnsi="Times New Roman" w:cs="Times New Roman"/>
          <w:sz w:val="22"/>
          <w:szCs w:val="22"/>
        </w:rPr>
        <w:t>Cash at the end of period 15 plus buyout value of remaining X units.</w:t>
      </w:r>
    </w:p>
    <w:p w14:paraId="5685687D" w14:textId="77777777" w:rsidR="00C86705" w:rsidRPr="00C86705" w:rsidRDefault="00C86705" w:rsidP="00C86705">
      <w:pPr>
        <w:pStyle w:val="ListParagraph"/>
        <w:numPr>
          <w:ilvl w:val="0"/>
          <w:numId w:val="14"/>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lastRenderedPageBreak/>
        <w:t xml:space="preserve">Example: </w:t>
      </w:r>
      <w:r w:rsidRPr="00C86705">
        <w:rPr>
          <w:rFonts w:ascii="Times New Roman" w:hAnsi="Times New Roman" w:cs="Times New Roman"/>
          <w:sz w:val="22"/>
          <w:szCs w:val="22"/>
        </w:rPr>
        <w:t>6 units of X at a buyout value of 523 francs results in 3,138 francs plus remaining cash.</w:t>
      </w:r>
    </w:p>
    <w:p w14:paraId="5706626B"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Market Rules and Trading</w:t>
      </w:r>
    </w:p>
    <w:p w14:paraId="2AFA8900" w14:textId="77777777" w:rsidR="00C86705" w:rsidRPr="00C86705" w:rsidRDefault="00C86705" w:rsidP="00C86705">
      <w:pPr>
        <w:pStyle w:val="ListParagraph"/>
        <w:numPr>
          <w:ilvl w:val="0"/>
          <w:numId w:val="10"/>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Initial Inventory: </w:t>
      </w:r>
      <w:r w:rsidRPr="00C86705">
        <w:rPr>
          <w:rFonts w:ascii="Times New Roman" w:hAnsi="Times New Roman" w:cs="Times New Roman"/>
          <w:sz w:val="22"/>
          <w:szCs w:val="22"/>
        </w:rPr>
        <w:t>10 units of X and 41,000 francs.</w:t>
      </w:r>
    </w:p>
    <w:p w14:paraId="68668E94" w14:textId="77777777" w:rsidR="00C86705" w:rsidRPr="00C86705" w:rsidRDefault="00C86705" w:rsidP="00C86705">
      <w:pPr>
        <w:pStyle w:val="ListParagraph"/>
        <w:numPr>
          <w:ilvl w:val="0"/>
          <w:numId w:val="10"/>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Trading Interface: </w:t>
      </w:r>
      <w:r w:rsidRPr="00C86705">
        <w:rPr>
          <w:rFonts w:ascii="Times New Roman" w:hAnsi="Times New Roman" w:cs="Times New Roman"/>
          <w:sz w:val="22"/>
          <w:szCs w:val="22"/>
        </w:rPr>
        <w:t>Participants can submit buy or sell offers, specifying the number of units and price per unit. Or choose not to trade.</w:t>
      </w:r>
    </w:p>
    <w:p w14:paraId="4178ABD7" w14:textId="77777777" w:rsidR="00C86705" w:rsidRPr="00C86705" w:rsidRDefault="00C86705" w:rsidP="00C86705">
      <w:pPr>
        <w:pStyle w:val="ListParagraph"/>
        <w:numPr>
          <w:ilvl w:val="0"/>
          <w:numId w:val="10"/>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Trading Price: </w:t>
      </w:r>
      <w:r w:rsidRPr="00C86705">
        <w:rPr>
          <w:rFonts w:ascii="Times New Roman" w:hAnsi="Times New Roman" w:cs="Times New Roman"/>
          <w:sz w:val="22"/>
          <w:szCs w:val="22"/>
        </w:rPr>
        <w:t>Determined by matching buy and sell orders at the lowest price where quantities match.</w:t>
      </w:r>
    </w:p>
    <w:p w14:paraId="4D653C68" w14:textId="77777777" w:rsidR="00C86705" w:rsidRPr="00C86705" w:rsidRDefault="00C86705" w:rsidP="00C86705">
      <w:p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Trading Examples</w:t>
      </w:r>
    </w:p>
    <w:p w14:paraId="3FCB51CD" w14:textId="77777777" w:rsidR="00C86705" w:rsidRPr="00C86705" w:rsidRDefault="00C86705" w:rsidP="00C86705">
      <w:pPr>
        <w:pStyle w:val="ListParagraph"/>
        <w:numPr>
          <w:ilvl w:val="0"/>
          <w:numId w:val="15"/>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Example 1: </w:t>
      </w:r>
      <w:r w:rsidRPr="00C86705">
        <w:rPr>
          <w:rFonts w:ascii="Times New Roman" w:hAnsi="Times New Roman" w:cs="Times New Roman"/>
          <w:sz w:val="22"/>
          <w:szCs w:val="22"/>
        </w:rPr>
        <w:t>Buy offers at 60 and 20, sell offers at 10 and 40. Trading price is 20.1.</w:t>
      </w:r>
    </w:p>
    <w:p w14:paraId="760DEE26" w14:textId="77777777" w:rsidR="00C86705" w:rsidRPr="00C86705" w:rsidRDefault="00C86705" w:rsidP="00C86705">
      <w:pPr>
        <w:pStyle w:val="ListParagraph"/>
        <w:numPr>
          <w:ilvl w:val="0"/>
          <w:numId w:val="15"/>
        </w:numPr>
        <w:spacing w:before="24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t xml:space="preserve">Example 2: </w:t>
      </w:r>
      <w:r w:rsidRPr="00C86705">
        <w:rPr>
          <w:rFonts w:ascii="Times New Roman" w:hAnsi="Times New Roman" w:cs="Times New Roman"/>
          <w:sz w:val="22"/>
          <w:szCs w:val="22"/>
        </w:rPr>
        <w:t xml:space="preserve">Buy offers at 360 and 320, sell offers at 310 and 300. Trading price is 310. </w:t>
      </w:r>
    </w:p>
    <w:p w14:paraId="0F762F5A" w14:textId="77777777" w:rsidR="00C86705" w:rsidRPr="00C86705" w:rsidRDefault="00C86705" w:rsidP="00C86705">
      <w:pPr>
        <w:pStyle w:val="ListParagraph"/>
        <w:numPr>
          <w:ilvl w:val="0"/>
          <w:numId w:val="15"/>
        </w:numPr>
        <w:spacing w:before="240" w:line="360" w:lineRule="auto"/>
        <w:jc w:val="both"/>
        <w:rPr>
          <w:rFonts w:ascii="Times New Roman" w:hAnsi="Times New Roman" w:cs="Times New Roman"/>
          <w:b/>
          <w:bCs/>
          <w:sz w:val="22"/>
          <w:szCs w:val="22"/>
        </w:rPr>
      </w:pPr>
      <w:r w:rsidRPr="00C86705">
        <w:rPr>
          <w:rFonts w:ascii="Times New Roman" w:hAnsi="Times New Roman" w:cs="Times New Roman"/>
          <w:sz w:val="22"/>
          <w:szCs w:val="22"/>
        </w:rPr>
        <w:t>At the end of each period, participants will see a summary of their trading activity and current inventory.</w:t>
      </w:r>
    </w:p>
    <w:bookmarkEnd w:id="8"/>
    <w:p w14:paraId="440359CD" w14:textId="77777777" w:rsidR="00C86705" w:rsidRPr="00C86705" w:rsidRDefault="00C86705" w:rsidP="00C86705">
      <w:pPr>
        <w:spacing w:before="240" w:line="360" w:lineRule="auto"/>
        <w:jc w:val="both"/>
        <w:rPr>
          <w:rFonts w:ascii="Times New Roman" w:eastAsia="Times New Roman" w:hAnsi="Times New Roman" w:cs="Times New Roman"/>
          <w:b/>
          <w:kern w:val="0"/>
          <w:sz w:val="22"/>
          <w:szCs w:val="22"/>
          <w14:ligatures w14:val="none"/>
        </w:rPr>
      </w:pPr>
      <w:r w:rsidRPr="00C86705">
        <w:rPr>
          <w:rFonts w:ascii="Times New Roman" w:hAnsi="Times New Roman" w:cs="Times New Roman"/>
          <w:b/>
          <w:sz w:val="22"/>
          <w:szCs w:val="22"/>
        </w:rPr>
        <w:br w:type="page"/>
      </w:r>
    </w:p>
    <w:p w14:paraId="4F98D999" w14:textId="77777777" w:rsidR="00C86705" w:rsidRPr="00C86705" w:rsidRDefault="00C86705" w:rsidP="00C86705">
      <w:pPr>
        <w:spacing w:before="240" w:line="360" w:lineRule="auto"/>
        <w:jc w:val="both"/>
        <w:rPr>
          <w:rFonts w:ascii="Times New Roman" w:hAnsi="Times New Roman" w:cs="Times New Roman"/>
          <w:b/>
          <w:sz w:val="22"/>
          <w:szCs w:val="22"/>
        </w:rPr>
      </w:pPr>
      <w:r w:rsidRPr="00C86705">
        <w:rPr>
          <w:rFonts w:ascii="Times New Roman" w:hAnsi="Times New Roman" w:cs="Times New Roman"/>
          <w:b/>
          <w:sz w:val="22"/>
          <w:szCs w:val="22"/>
        </w:rPr>
        <w:lastRenderedPageBreak/>
        <w:t>A 3. Comprehension Quiz</w:t>
      </w:r>
    </w:p>
    <w:p w14:paraId="35E0B167" w14:textId="77777777" w:rsidR="00C86705" w:rsidRPr="00C86705" w:rsidRDefault="00C86705" w:rsidP="00C86705">
      <w:pPr>
        <w:spacing w:before="240" w:line="240" w:lineRule="auto"/>
        <w:ind w:left="720" w:hanging="720"/>
        <w:jc w:val="both"/>
        <w:rPr>
          <w:rFonts w:ascii="Times New Roman" w:hAnsi="Times New Roman" w:cs="Times New Roman"/>
          <w:bCs/>
          <w:sz w:val="22"/>
          <w:szCs w:val="22"/>
        </w:rPr>
      </w:pPr>
      <w:bookmarkStart w:id="9" w:name="OLE_LINK1"/>
      <w:bookmarkStart w:id="10" w:name="OLE_LINK2"/>
      <w:r w:rsidRPr="00C86705">
        <w:rPr>
          <w:rFonts w:ascii="Times New Roman" w:hAnsi="Times New Roman" w:cs="Times New Roman"/>
          <w:b/>
          <w:sz w:val="22"/>
          <w:szCs w:val="22"/>
        </w:rPr>
        <w:t xml:space="preserve">Question 1: </w:t>
      </w:r>
      <w:r w:rsidRPr="00C86705">
        <w:rPr>
          <w:rFonts w:ascii="Times New Roman" w:hAnsi="Times New Roman" w:cs="Times New Roman"/>
          <w:bCs/>
          <w:sz w:val="22"/>
          <w:szCs w:val="22"/>
        </w:rPr>
        <w:t>Suppose that you purchase a unit of X in period 6.</w:t>
      </w:r>
    </w:p>
    <w:p w14:paraId="080288B3" w14:textId="77777777" w:rsidR="00C86705" w:rsidRPr="00C86705" w:rsidRDefault="00C86705" w:rsidP="00C86705">
      <w:pPr>
        <w:pStyle w:val="ListParagraph"/>
        <w:numPr>
          <w:ilvl w:val="0"/>
          <w:numId w:val="6"/>
        </w:numPr>
        <w:spacing w:before="240" w:line="240" w:lineRule="auto"/>
        <w:jc w:val="both"/>
        <w:rPr>
          <w:rFonts w:ascii="Times New Roman" w:hAnsi="Times New Roman" w:cs="Times New Roman"/>
          <w:bCs/>
          <w:sz w:val="22"/>
          <w:szCs w:val="22"/>
        </w:rPr>
      </w:pPr>
      <w:r w:rsidRPr="00C86705">
        <w:rPr>
          <w:rFonts w:ascii="Times New Roman" w:hAnsi="Times New Roman" w:cs="Times New Roman"/>
          <w:bCs/>
          <w:sz w:val="22"/>
          <w:szCs w:val="22"/>
        </w:rPr>
        <w:t>What is the average change in the buyout value of a unit of X in period 6? Please enter a number to the first decimal place (without a percentage symbol). For example, if the value is 6.8%, enter 6.8. _9.8_</w:t>
      </w:r>
    </w:p>
    <w:p w14:paraId="6442EB0E" w14:textId="77777777" w:rsidR="00C86705" w:rsidRPr="00C86705" w:rsidRDefault="00C86705" w:rsidP="00C86705">
      <w:pPr>
        <w:pStyle w:val="ListParagraph"/>
        <w:numPr>
          <w:ilvl w:val="0"/>
          <w:numId w:val="6"/>
        </w:numPr>
        <w:spacing w:before="240" w:line="240" w:lineRule="auto"/>
        <w:jc w:val="both"/>
        <w:rPr>
          <w:rFonts w:ascii="Times New Roman" w:hAnsi="Times New Roman" w:cs="Times New Roman"/>
          <w:bCs/>
          <w:sz w:val="22"/>
          <w:szCs w:val="22"/>
        </w:rPr>
      </w:pPr>
      <w:r w:rsidRPr="00C86705">
        <w:rPr>
          <w:rFonts w:ascii="Times New Roman" w:hAnsi="Times New Roman" w:cs="Times New Roman"/>
          <w:bCs/>
          <w:sz w:val="22"/>
          <w:szCs w:val="22"/>
        </w:rPr>
        <w:t>What is the value of the standard deviation of the random change? Please enter a number to the second decimal place (without a percentage symbol). For example, if the value is 6.80%, enter 6.80._19.55_</w:t>
      </w:r>
    </w:p>
    <w:p w14:paraId="7640627B" w14:textId="77777777" w:rsidR="00C86705" w:rsidRPr="00C86705" w:rsidRDefault="00C86705" w:rsidP="00C86705">
      <w:pPr>
        <w:spacing w:before="240" w:line="240" w:lineRule="auto"/>
        <w:ind w:left="720" w:hanging="720"/>
        <w:jc w:val="both"/>
        <w:rPr>
          <w:rFonts w:ascii="Times New Roman" w:hAnsi="Times New Roman" w:cs="Times New Roman"/>
          <w:bCs/>
          <w:sz w:val="22"/>
          <w:szCs w:val="22"/>
        </w:rPr>
      </w:pPr>
      <w:r w:rsidRPr="00C86705">
        <w:rPr>
          <w:rFonts w:ascii="Times New Roman" w:hAnsi="Times New Roman" w:cs="Times New Roman"/>
          <w:b/>
          <w:sz w:val="22"/>
          <w:szCs w:val="22"/>
        </w:rPr>
        <w:t xml:space="preserve">Question 2: </w:t>
      </w:r>
      <w:r w:rsidRPr="00C86705">
        <w:rPr>
          <w:rFonts w:ascii="Times New Roman" w:hAnsi="Times New Roman" w:cs="Times New Roman"/>
          <w:bCs/>
          <w:sz w:val="22"/>
          <w:szCs w:val="22"/>
        </w:rPr>
        <w:t>Suppose that you purchase a unit of X in period 15.</w:t>
      </w:r>
    </w:p>
    <w:p w14:paraId="1F0F0631" w14:textId="77777777" w:rsidR="00C86705" w:rsidRPr="00C86705" w:rsidRDefault="00C86705" w:rsidP="00C86705">
      <w:pPr>
        <w:pStyle w:val="ListParagraph"/>
        <w:numPr>
          <w:ilvl w:val="0"/>
          <w:numId w:val="5"/>
        </w:numPr>
        <w:spacing w:before="240" w:line="240" w:lineRule="auto"/>
        <w:jc w:val="both"/>
        <w:rPr>
          <w:rFonts w:ascii="Times New Roman" w:hAnsi="Times New Roman" w:cs="Times New Roman"/>
          <w:bCs/>
          <w:sz w:val="22"/>
          <w:szCs w:val="22"/>
        </w:rPr>
      </w:pPr>
      <w:r w:rsidRPr="00C86705">
        <w:rPr>
          <w:rFonts w:ascii="Times New Roman" w:hAnsi="Times New Roman" w:cs="Times New Roman"/>
          <w:bCs/>
          <w:sz w:val="22"/>
          <w:szCs w:val="22"/>
        </w:rPr>
        <w:t>What is the average change in the buyout value of a unit of X in period 15? Please enter a number to the first decimal place (without a percentage symbol). For example, if the value is 6.8%, enter 6.8. _9.8_</w:t>
      </w:r>
    </w:p>
    <w:p w14:paraId="1E6D42DF" w14:textId="77777777" w:rsidR="00C86705" w:rsidRPr="00C86705" w:rsidRDefault="00C86705" w:rsidP="00C86705">
      <w:pPr>
        <w:pStyle w:val="ListParagraph"/>
        <w:numPr>
          <w:ilvl w:val="0"/>
          <w:numId w:val="5"/>
        </w:numPr>
        <w:spacing w:before="240" w:line="240" w:lineRule="auto"/>
        <w:jc w:val="both"/>
        <w:rPr>
          <w:rFonts w:ascii="Times New Roman" w:hAnsi="Times New Roman" w:cs="Times New Roman"/>
          <w:bCs/>
          <w:sz w:val="22"/>
          <w:szCs w:val="22"/>
        </w:rPr>
      </w:pPr>
      <w:r w:rsidRPr="00C86705">
        <w:rPr>
          <w:rFonts w:ascii="Times New Roman" w:hAnsi="Times New Roman" w:cs="Times New Roman"/>
          <w:bCs/>
          <w:sz w:val="22"/>
          <w:szCs w:val="22"/>
        </w:rPr>
        <w:t>What is the value of the standard deviation of the random change? Please enter a number to the second decimal place (without a percentage symbol). For example, if the value is 6.80%, enter 6.80._19.55_</w:t>
      </w:r>
    </w:p>
    <w:p w14:paraId="60AB19E9" w14:textId="77777777" w:rsidR="00C86705" w:rsidRPr="00C86705" w:rsidRDefault="00C86705" w:rsidP="00C86705">
      <w:pPr>
        <w:spacing w:before="240" w:line="240" w:lineRule="auto"/>
        <w:jc w:val="both"/>
        <w:rPr>
          <w:rFonts w:ascii="Times New Roman" w:hAnsi="Times New Roman" w:cs="Times New Roman"/>
          <w:sz w:val="22"/>
          <w:szCs w:val="22"/>
        </w:rPr>
      </w:pPr>
      <w:r w:rsidRPr="00C86705">
        <w:rPr>
          <w:rFonts w:ascii="Times New Roman" w:hAnsi="Times New Roman" w:cs="Times New Roman"/>
          <w:b/>
          <w:bCs/>
          <w:sz w:val="22"/>
          <w:szCs w:val="22"/>
        </w:rPr>
        <w:t>Question 3:</w:t>
      </w:r>
      <w:r w:rsidRPr="00C86705">
        <w:rPr>
          <w:rFonts w:ascii="Times New Roman" w:hAnsi="Times New Roman" w:cs="Times New Roman"/>
          <w:bCs/>
          <w:sz w:val="22"/>
          <w:szCs w:val="22"/>
        </w:rPr>
        <w:t xml:space="preserve"> </w:t>
      </w:r>
      <w:r w:rsidRPr="00C86705">
        <w:rPr>
          <w:rFonts w:ascii="Times New Roman" w:hAnsi="Times New Roman" w:cs="Times New Roman"/>
          <w:sz w:val="22"/>
          <w:szCs w:val="22"/>
        </w:rPr>
        <w:t xml:space="preserve">Suppose that in period 2 four traders participate in the market and: </w:t>
      </w:r>
    </w:p>
    <w:p w14:paraId="1F0DE2A1" w14:textId="77777777" w:rsidR="00C86705" w:rsidRPr="00C86705" w:rsidRDefault="00C86705" w:rsidP="00C86705">
      <w:pPr>
        <w:numPr>
          <w:ilvl w:val="0"/>
          <w:numId w:val="4"/>
        </w:numPr>
        <w:spacing w:before="240" w:line="240" w:lineRule="auto"/>
        <w:jc w:val="both"/>
        <w:rPr>
          <w:rFonts w:ascii="Times New Roman" w:hAnsi="Times New Roman" w:cs="Times New Roman"/>
          <w:sz w:val="22"/>
          <w:szCs w:val="22"/>
        </w:rPr>
      </w:pPr>
      <w:r w:rsidRPr="00C86705">
        <w:rPr>
          <w:rFonts w:ascii="Times New Roman" w:hAnsi="Times New Roman" w:cs="Times New Roman"/>
          <w:sz w:val="22"/>
          <w:szCs w:val="22"/>
        </w:rPr>
        <w:t>Trader 1 submits an offer to buy at 400</w:t>
      </w:r>
    </w:p>
    <w:p w14:paraId="72BBEBF0" w14:textId="77777777" w:rsidR="00C86705" w:rsidRPr="00C86705" w:rsidRDefault="00C86705" w:rsidP="00C86705">
      <w:pPr>
        <w:numPr>
          <w:ilvl w:val="0"/>
          <w:numId w:val="4"/>
        </w:numPr>
        <w:spacing w:before="240" w:line="240" w:lineRule="auto"/>
        <w:jc w:val="both"/>
        <w:rPr>
          <w:rFonts w:ascii="Times New Roman" w:hAnsi="Times New Roman" w:cs="Times New Roman"/>
          <w:sz w:val="22"/>
          <w:szCs w:val="22"/>
        </w:rPr>
      </w:pPr>
      <w:r w:rsidRPr="00C86705">
        <w:rPr>
          <w:rFonts w:ascii="Times New Roman" w:hAnsi="Times New Roman" w:cs="Times New Roman"/>
          <w:sz w:val="22"/>
          <w:szCs w:val="22"/>
        </w:rPr>
        <w:t>Trader 2 submits an offer to buy at 120</w:t>
      </w:r>
    </w:p>
    <w:p w14:paraId="2E5751E5" w14:textId="77777777" w:rsidR="00C86705" w:rsidRPr="00C86705" w:rsidRDefault="00C86705" w:rsidP="00C86705">
      <w:pPr>
        <w:numPr>
          <w:ilvl w:val="0"/>
          <w:numId w:val="4"/>
        </w:numPr>
        <w:spacing w:before="240" w:line="240" w:lineRule="auto"/>
        <w:jc w:val="both"/>
        <w:rPr>
          <w:rFonts w:ascii="Times New Roman" w:hAnsi="Times New Roman" w:cs="Times New Roman"/>
          <w:sz w:val="22"/>
          <w:szCs w:val="22"/>
        </w:rPr>
      </w:pPr>
      <w:r w:rsidRPr="00C86705">
        <w:rPr>
          <w:rFonts w:ascii="Times New Roman" w:hAnsi="Times New Roman" w:cs="Times New Roman"/>
          <w:sz w:val="22"/>
          <w:szCs w:val="22"/>
        </w:rPr>
        <w:t>Trader 3 submits an offer to sell at 310</w:t>
      </w:r>
    </w:p>
    <w:p w14:paraId="66ED93D5" w14:textId="77777777" w:rsidR="00C86705" w:rsidRPr="00C86705" w:rsidRDefault="00C86705" w:rsidP="00C86705">
      <w:pPr>
        <w:numPr>
          <w:ilvl w:val="0"/>
          <w:numId w:val="4"/>
        </w:numPr>
        <w:spacing w:before="240" w:line="240" w:lineRule="auto"/>
        <w:jc w:val="both"/>
        <w:rPr>
          <w:rFonts w:ascii="Times New Roman" w:hAnsi="Times New Roman" w:cs="Times New Roman"/>
          <w:sz w:val="22"/>
          <w:szCs w:val="22"/>
        </w:rPr>
      </w:pPr>
      <w:r w:rsidRPr="00C86705">
        <w:rPr>
          <w:rFonts w:ascii="Times New Roman" w:hAnsi="Times New Roman" w:cs="Times New Roman"/>
          <w:sz w:val="22"/>
          <w:szCs w:val="22"/>
        </w:rPr>
        <w:t>Trader 4 submits an offer to sell at 300</w:t>
      </w:r>
    </w:p>
    <w:p w14:paraId="434D43D2" w14:textId="77777777" w:rsidR="00C86705" w:rsidRPr="00C86705" w:rsidRDefault="00C86705" w:rsidP="00C86705">
      <w:pPr>
        <w:spacing w:before="240" w:line="240" w:lineRule="auto"/>
        <w:ind w:left="360"/>
        <w:jc w:val="both"/>
        <w:rPr>
          <w:rFonts w:ascii="Times New Roman" w:hAnsi="Times New Roman" w:cs="Times New Roman"/>
          <w:sz w:val="22"/>
          <w:szCs w:val="22"/>
        </w:rPr>
      </w:pPr>
      <w:r w:rsidRPr="00C86705">
        <w:rPr>
          <w:rFonts w:ascii="Times New Roman" w:hAnsi="Times New Roman" w:cs="Times New Roman"/>
          <w:sz w:val="22"/>
          <w:szCs w:val="22"/>
        </w:rPr>
        <w:t>a. The trading price is the lowest price at which there is an equal number of units offered for purchase and for sale. In this example that price is _300_.</w:t>
      </w:r>
    </w:p>
    <w:p w14:paraId="062FA948" w14:textId="77777777" w:rsidR="00C86705" w:rsidRPr="00C86705" w:rsidRDefault="00C86705" w:rsidP="00C86705">
      <w:pPr>
        <w:spacing w:before="240" w:line="240" w:lineRule="auto"/>
        <w:ind w:left="360"/>
        <w:jc w:val="both"/>
        <w:rPr>
          <w:rFonts w:ascii="Times New Roman" w:hAnsi="Times New Roman" w:cs="Times New Roman"/>
          <w:sz w:val="22"/>
          <w:szCs w:val="22"/>
        </w:rPr>
      </w:pPr>
      <w:r w:rsidRPr="00C86705">
        <w:rPr>
          <w:rFonts w:ascii="Times New Roman" w:hAnsi="Times New Roman" w:cs="Times New Roman"/>
          <w:sz w:val="22"/>
          <w:szCs w:val="22"/>
        </w:rPr>
        <w:t>b. At the trading price, trader (s) _1_ make a purchase from trader (s)</w:t>
      </w:r>
      <w:r w:rsidRPr="00C86705">
        <w:rPr>
          <w:rFonts w:ascii="Times New Roman" w:hAnsi="Times New Roman" w:cs="Times New Roman"/>
          <w:sz w:val="22"/>
          <w:szCs w:val="22"/>
        </w:rPr>
        <w:tab/>
        <w:t>_4_.</w:t>
      </w:r>
      <w:bookmarkEnd w:id="9"/>
      <w:bookmarkEnd w:id="10"/>
    </w:p>
    <w:p w14:paraId="6D7DE866" w14:textId="77777777" w:rsidR="00C86705" w:rsidRPr="00C86705" w:rsidRDefault="00C86705" w:rsidP="00C86705">
      <w:pPr>
        <w:spacing w:before="240" w:line="240" w:lineRule="auto"/>
        <w:jc w:val="both"/>
        <w:rPr>
          <w:rFonts w:ascii="Times New Roman" w:hAnsi="Times New Roman" w:cs="Times New Roman"/>
          <w:sz w:val="22"/>
          <w:szCs w:val="22"/>
        </w:rPr>
      </w:pPr>
      <w:r w:rsidRPr="00C86705">
        <w:rPr>
          <w:rFonts w:ascii="Times New Roman" w:hAnsi="Times New Roman" w:cs="Times New Roman"/>
          <w:b/>
          <w:sz w:val="22"/>
          <w:szCs w:val="22"/>
        </w:rPr>
        <w:t xml:space="preserve">Question 4: </w:t>
      </w:r>
      <w:r w:rsidRPr="00C86705">
        <w:rPr>
          <w:rFonts w:ascii="Times New Roman" w:hAnsi="Times New Roman" w:cs="Times New Roman"/>
          <w:bCs/>
          <w:sz w:val="22"/>
          <w:szCs w:val="22"/>
        </w:rPr>
        <w:t xml:space="preserve">What would </w:t>
      </w:r>
      <w:proofErr w:type="gramStart"/>
      <w:r w:rsidRPr="00C86705">
        <w:rPr>
          <w:rFonts w:ascii="Times New Roman" w:hAnsi="Times New Roman" w:cs="Times New Roman"/>
          <w:bCs/>
          <w:sz w:val="22"/>
          <w:szCs w:val="22"/>
        </w:rPr>
        <w:t>be your profit</w:t>
      </w:r>
      <w:proofErr w:type="gramEnd"/>
      <w:r w:rsidRPr="00C86705">
        <w:rPr>
          <w:rFonts w:ascii="Times New Roman" w:hAnsi="Times New Roman" w:cs="Times New Roman"/>
          <w:bCs/>
          <w:sz w:val="22"/>
          <w:szCs w:val="22"/>
        </w:rPr>
        <w:t xml:space="preserve"> at the end of period 15 if you have 7 units, the price trading is 60, the buyout value is </w:t>
      </w:r>
      <w:proofErr w:type="gramStart"/>
      <w:r w:rsidRPr="00C86705">
        <w:rPr>
          <w:rFonts w:ascii="Times New Roman" w:hAnsi="Times New Roman" w:cs="Times New Roman"/>
          <w:bCs/>
          <w:sz w:val="22"/>
          <w:szCs w:val="22"/>
        </w:rPr>
        <w:t>70</w:t>
      </w:r>
      <w:proofErr w:type="gramEnd"/>
      <w:r w:rsidRPr="00C86705">
        <w:rPr>
          <w:rFonts w:ascii="Times New Roman" w:hAnsi="Times New Roman" w:cs="Times New Roman"/>
          <w:bCs/>
          <w:sz w:val="22"/>
          <w:szCs w:val="22"/>
        </w:rPr>
        <w:t xml:space="preserve"> and you have 1,300 francs? </w:t>
      </w:r>
      <w:r w:rsidRPr="00C86705">
        <w:rPr>
          <w:rFonts w:ascii="Times New Roman" w:hAnsi="Times New Roman" w:cs="Times New Roman"/>
          <w:sz w:val="22"/>
          <w:szCs w:val="22"/>
        </w:rPr>
        <w:t>_1790_.</w:t>
      </w:r>
    </w:p>
    <w:p w14:paraId="12498892" w14:textId="77777777" w:rsidR="00C86705" w:rsidRPr="00C86705" w:rsidRDefault="00C86705" w:rsidP="00C86705">
      <w:pPr>
        <w:rPr>
          <w:rFonts w:ascii="Times New Roman" w:hAnsi="Times New Roman" w:cs="Times New Roman"/>
          <w:sz w:val="22"/>
          <w:szCs w:val="22"/>
        </w:rPr>
      </w:pPr>
      <w:r w:rsidRPr="00C86705">
        <w:rPr>
          <w:rFonts w:ascii="Times New Roman" w:hAnsi="Times New Roman" w:cs="Times New Roman"/>
          <w:sz w:val="22"/>
          <w:szCs w:val="22"/>
        </w:rPr>
        <w:br w:type="page"/>
      </w:r>
    </w:p>
    <w:p w14:paraId="422A8023" w14:textId="77777777" w:rsidR="005E1E76" w:rsidRPr="00C86705" w:rsidRDefault="005E1E76" w:rsidP="005E1E76">
      <w:pPr>
        <w:spacing w:after="120" w:line="360" w:lineRule="auto"/>
        <w:jc w:val="both"/>
        <w:rPr>
          <w:rFonts w:ascii="Times New Roman" w:hAnsi="Times New Roman" w:cs="Times New Roman"/>
          <w:b/>
          <w:bCs/>
          <w:sz w:val="22"/>
          <w:szCs w:val="22"/>
        </w:rPr>
      </w:pPr>
      <w:r w:rsidRPr="00C86705">
        <w:rPr>
          <w:rFonts w:ascii="Times New Roman" w:hAnsi="Times New Roman" w:cs="Times New Roman"/>
          <w:b/>
          <w:bCs/>
          <w:sz w:val="22"/>
          <w:szCs w:val="22"/>
        </w:rPr>
        <w:lastRenderedPageBreak/>
        <w:t>A 4. Examples of responses by AI category criteria</w:t>
      </w:r>
    </w:p>
    <w:p w14:paraId="7382910F" w14:textId="77777777" w:rsidR="005E1E76" w:rsidRPr="00C86705" w:rsidRDefault="005E1E76" w:rsidP="005E1E76">
      <w:pPr>
        <w:spacing w:after="80" w:line="360" w:lineRule="auto"/>
        <w:jc w:val="both"/>
        <w:rPr>
          <w:rFonts w:ascii="Times New Roman" w:hAnsi="Times New Roman" w:cs="Times New Roman"/>
          <w:sz w:val="22"/>
          <w:szCs w:val="22"/>
        </w:rPr>
      </w:pPr>
      <w:r w:rsidRPr="00C86705">
        <w:rPr>
          <w:rFonts w:ascii="Times New Roman" w:hAnsi="Times New Roman" w:cs="Times New Roman"/>
          <w:sz w:val="22"/>
          <w:szCs w:val="22"/>
        </w:rPr>
        <w:t>Each message received by AI was evaluated to determine its alignment with either the BV, FV or Other.  The table below presents examples of messages aligned with each of the three types.  For each type, a single message reply from AI is presented.  For example, the reply message associated with FV is classified as such because it provides a purchasing strategy specifically related to the fundamental value for that period, i.e. 313.9 francs.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7908"/>
      </w:tblGrid>
      <w:tr w:rsidR="005E1E76" w:rsidRPr="00C86705" w14:paraId="3A2991EA" w14:textId="77777777" w:rsidTr="005E1E76">
        <w:trPr>
          <w:trHeight w:val="259"/>
        </w:trPr>
        <w:tc>
          <w:tcPr>
            <w:tcW w:w="1164" w:type="dxa"/>
            <w:tcBorders>
              <w:top w:val="single" w:sz="12" w:space="0" w:color="auto"/>
              <w:bottom w:val="single" w:sz="4" w:space="0" w:color="auto"/>
            </w:tcBorders>
            <w:vAlign w:val="center"/>
          </w:tcPr>
          <w:p w14:paraId="7303DE30" w14:textId="77777777" w:rsidR="005E1E76" w:rsidRPr="00C86705" w:rsidRDefault="005E1E76" w:rsidP="004E34FC">
            <w:pPr>
              <w:jc w:val="center"/>
              <w:rPr>
                <w:rFonts w:ascii="Times New Roman" w:hAnsi="Times New Roman" w:cs="Times New Roman"/>
                <w:bCs/>
                <w:sz w:val="22"/>
                <w:szCs w:val="22"/>
              </w:rPr>
            </w:pPr>
            <w:r w:rsidRPr="00C86705">
              <w:rPr>
                <w:rFonts w:ascii="Times New Roman" w:hAnsi="Times New Roman" w:cs="Times New Roman"/>
                <w:bCs/>
                <w:sz w:val="22"/>
                <w:szCs w:val="22"/>
              </w:rPr>
              <w:t>Type</w:t>
            </w:r>
          </w:p>
        </w:tc>
        <w:tc>
          <w:tcPr>
            <w:tcW w:w="7908" w:type="dxa"/>
            <w:tcBorders>
              <w:top w:val="single" w:sz="12" w:space="0" w:color="auto"/>
              <w:bottom w:val="single" w:sz="4" w:space="0" w:color="auto"/>
            </w:tcBorders>
            <w:vAlign w:val="center"/>
          </w:tcPr>
          <w:p w14:paraId="766FCD72" w14:textId="77777777" w:rsidR="005E1E76" w:rsidRPr="00C86705" w:rsidRDefault="005E1E76" w:rsidP="004E34FC">
            <w:pPr>
              <w:pStyle w:val="ListParagraph"/>
              <w:jc w:val="center"/>
              <w:rPr>
                <w:rFonts w:ascii="Times New Roman" w:hAnsi="Times New Roman" w:cs="Times New Roman"/>
                <w:bCs/>
                <w:sz w:val="22"/>
                <w:szCs w:val="22"/>
              </w:rPr>
            </w:pPr>
            <w:r w:rsidRPr="00C86705">
              <w:rPr>
                <w:rFonts w:ascii="Times New Roman" w:hAnsi="Times New Roman" w:cs="Times New Roman"/>
                <w:bCs/>
                <w:sz w:val="22"/>
                <w:szCs w:val="22"/>
              </w:rPr>
              <w:t>AI Reply Message</w:t>
            </w:r>
          </w:p>
        </w:tc>
      </w:tr>
      <w:tr w:rsidR="005E1E76" w:rsidRPr="00C86705" w14:paraId="32BE5BB6" w14:textId="77777777" w:rsidTr="005E1E76">
        <w:trPr>
          <w:trHeight w:val="3133"/>
        </w:trPr>
        <w:tc>
          <w:tcPr>
            <w:tcW w:w="1164" w:type="dxa"/>
            <w:tcBorders>
              <w:top w:val="single" w:sz="4" w:space="0" w:color="auto"/>
              <w:bottom w:val="single" w:sz="4" w:space="0" w:color="auto"/>
            </w:tcBorders>
            <w:vAlign w:val="center"/>
          </w:tcPr>
          <w:p w14:paraId="67CF8F74" w14:textId="77777777" w:rsidR="005E1E76" w:rsidRPr="00C86705" w:rsidRDefault="005E1E76" w:rsidP="004E34FC">
            <w:pPr>
              <w:jc w:val="center"/>
              <w:rPr>
                <w:rFonts w:ascii="Times New Roman" w:hAnsi="Times New Roman" w:cs="Times New Roman"/>
                <w:bCs/>
                <w:sz w:val="22"/>
                <w:szCs w:val="22"/>
              </w:rPr>
            </w:pPr>
            <w:r w:rsidRPr="00C86705">
              <w:rPr>
                <w:rFonts w:ascii="Times New Roman" w:hAnsi="Times New Roman" w:cs="Times New Roman"/>
                <w:bCs/>
                <w:sz w:val="22"/>
                <w:szCs w:val="22"/>
              </w:rPr>
              <w:t>FV</w:t>
            </w:r>
          </w:p>
        </w:tc>
        <w:tc>
          <w:tcPr>
            <w:tcW w:w="7908" w:type="dxa"/>
            <w:tcBorders>
              <w:top w:val="single" w:sz="4" w:space="0" w:color="auto"/>
              <w:bottom w:val="single" w:sz="4" w:space="0" w:color="auto"/>
            </w:tcBorders>
          </w:tcPr>
          <w:p w14:paraId="20BF3FFE"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proofErr w:type="gramStart"/>
            <w:r w:rsidRPr="00C86705">
              <w:rPr>
                <w:rFonts w:ascii="Times New Roman" w:hAnsi="Times New Roman" w:cs="Times New Roman"/>
                <w:b/>
                <w:sz w:val="22"/>
                <w:szCs w:val="22"/>
              </w:rPr>
              <w:t>Reference</w:t>
            </w:r>
            <w:proofErr w:type="gramEnd"/>
            <w:r w:rsidRPr="00C86705">
              <w:rPr>
                <w:rFonts w:ascii="Times New Roman" w:hAnsi="Times New Roman" w:cs="Times New Roman"/>
                <w:b/>
                <w:sz w:val="22"/>
                <w:szCs w:val="22"/>
              </w:rPr>
              <w:t xml:space="preserve"> the End of Market Expected Buyout Value:</w:t>
            </w:r>
            <w:r w:rsidRPr="00C86705">
              <w:rPr>
                <w:rFonts w:ascii="Times New Roman" w:hAnsi="Times New Roman" w:cs="Times New Roman"/>
                <w:bCs/>
                <w:sz w:val="22"/>
                <w:szCs w:val="22"/>
              </w:rPr>
              <w:t xml:space="preserve"> The expected value per unit at the end of the experiment is 313.9 francs. </w:t>
            </w:r>
          </w:p>
          <w:p w14:paraId="6406A77F"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Consider Previous Market Activity:</w:t>
            </w:r>
            <w:r w:rsidRPr="00C86705">
              <w:rPr>
                <w:rFonts w:ascii="Times New Roman" w:hAnsi="Times New Roman" w:cs="Times New Roman"/>
                <w:bCs/>
                <w:sz w:val="22"/>
                <w:szCs w:val="22"/>
              </w:rPr>
              <w:t xml:space="preserve"> No trades occurred last period, possibly due to low buy offers or high sell offers. </w:t>
            </w:r>
          </w:p>
          <w:p w14:paraId="6E54A420"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Increase Your Buy Offer</w:t>
            </w:r>
            <w:r w:rsidRPr="00C86705">
              <w:rPr>
                <w:rFonts w:ascii="Times New Roman" w:hAnsi="Times New Roman" w:cs="Times New Roman"/>
                <w:bCs/>
                <w:sz w:val="22"/>
                <w:szCs w:val="22"/>
              </w:rPr>
              <w:t xml:space="preserve">: To improve your chances, consider offering a price higher than your previous offer, but still below 313.9 francs for potential profit. </w:t>
            </w:r>
          </w:p>
          <w:p w14:paraId="40295C88"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Suggested Offer Range</w:t>
            </w:r>
            <w:r w:rsidRPr="00C86705">
              <w:rPr>
                <w:rFonts w:ascii="Times New Roman" w:hAnsi="Times New Roman" w:cs="Times New Roman"/>
                <w:bCs/>
                <w:sz w:val="22"/>
                <w:szCs w:val="22"/>
              </w:rPr>
              <w:t xml:space="preserve">: A buy offer between 200 and 270 francs per unit balances value and likelihood of </w:t>
            </w:r>
            <w:proofErr w:type="gramStart"/>
            <w:r w:rsidRPr="00C86705">
              <w:rPr>
                <w:rFonts w:ascii="Times New Roman" w:hAnsi="Times New Roman" w:cs="Times New Roman"/>
                <w:bCs/>
                <w:sz w:val="22"/>
                <w:szCs w:val="22"/>
              </w:rPr>
              <w:t>a successful</w:t>
            </w:r>
            <w:proofErr w:type="gramEnd"/>
            <w:r w:rsidRPr="00C86705">
              <w:rPr>
                <w:rFonts w:ascii="Times New Roman" w:hAnsi="Times New Roman" w:cs="Times New Roman"/>
                <w:bCs/>
                <w:sz w:val="22"/>
                <w:szCs w:val="22"/>
              </w:rPr>
              <w:t xml:space="preserve"> trade.</w:t>
            </w:r>
          </w:p>
          <w:p w14:paraId="0DCF9F75"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Monitor Seller Behavior</w:t>
            </w:r>
            <w:r w:rsidRPr="00C86705">
              <w:rPr>
                <w:rFonts w:ascii="Times New Roman" w:hAnsi="Times New Roman" w:cs="Times New Roman"/>
                <w:bCs/>
                <w:sz w:val="22"/>
                <w:szCs w:val="22"/>
              </w:rPr>
              <w:t>: If sellers are not accepting lower prices, moving your offer closer to the expected value may help.</w:t>
            </w:r>
          </w:p>
          <w:p w14:paraId="7124FB01"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Stay Within Budget</w:t>
            </w:r>
            <w:r w:rsidRPr="00C86705">
              <w:rPr>
                <w:rFonts w:ascii="Times New Roman" w:hAnsi="Times New Roman" w:cs="Times New Roman"/>
                <w:bCs/>
                <w:sz w:val="22"/>
                <w:szCs w:val="22"/>
              </w:rPr>
              <w:t>: Ensure your total offer (price × quantity) does not exceed your available cash (41,000 francs).</w:t>
            </w:r>
          </w:p>
        </w:tc>
      </w:tr>
      <w:tr w:rsidR="005E1E76" w:rsidRPr="00C86705" w14:paraId="2F9E7921" w14:textId="77777777" w:rsidTr="005E1E76">
        <w:trPr>
          <w:trHeight w:val="3913"/>
        </w:trPr>
        <w:tc>
          <w:tcPr>
            <w:tcW w:w="1164" w:type="dxa"/>
            <w:tcBorders>
              <w:top w:val="single" w:sz="4" w:space="0" w:color="auto"/>
              <w:bottom w:val="single" w:sz="4" w:space="0" w:color="auto"/>
            </w:tcBorders>
            <w:vAlign w:val="center"/>
          </w:tcPr>
          <w:p w14:paraId="4BD122D1" w14:textId="77777777" w:rsidR="005E1E76" w:rsidRPr="00C86705" w:rsidRDefault="005E1E76" w:rsidP="004E34FC">
            <w:pPr>
              <w:jc w:val="center"/>
              <w:rPr>
                <w:rFonts w:ascii="Times New Roman" w:hAnsi="Times New Roman" w:cs="Times New Roman"/>
                <w:bCs/>
                <w:sz w:val="22"/>
                <w:szCs w:val="22"/>
              </w:rPr>
            </w:pPr>
            <w:r w:rsidRPr="00C86705">
              <w:rPr>
                <w:rFonts w:ascii="Times New Roman" w:hAnsi="Times New Roman" w:cs="Times New Roman"/>
                <w:bCs/>
                <w:sz w:val="22"/>
                <w:szCs w:val="22"/>
              </w:rPr>
              <w:t>BV</w:t>
            </w:r>
          </w:p>
        </w:tc>
        <w:tc>
          <w:tcPr>
            <w:tcW w:w="7908" w:type="dxa"/>
            <w:tcBorders>
              <w:top w:val="single" w:sz="4" w:space="0" w:color="auto"/>
              <w:bottom w:val="single" w:sz="4" w:space="0" w:color="auto"/>
            </w:tcBorders>
          </w:tcPr>
          <w:p w14:paraId="313193A1"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Review Your Inventory</w:t>
            </w:r>
            <w:r w:rsidRPr="00C86705">
              <w:rPr>
                <w:rFonts w:ascii="Times New Roman" w:hAnsi="Times New Roman" w:cs="Times New Roman"/>
                <w:bCs/>
                <w:sz w:val="22"/>
                <w:szCs w:val="22"/>
              </w:rPr>
              <w:t>: You have 10 units of X and 41,000 francs in cash.</w:t>
            </w:r>
          </w:p>
          <w:p w14:paraId="55F949F3"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Determine Your Buying Price</w:t>
            </w:r>
            <w:r w:rsidRPr="00C86705">
              <w:rPr>
                <w:rFonts w:ascii="Times New Roman" w:hAnsi="Times New Roman" w:cs="Times New Roman"/>
                <w:bCs/>
                <w:sz w:val="22"/>
                <w:szCs w:val="22"/>
              </w:rPr>
              <w:t>: Decide the highest price per unit of X you are willing to pay. Consider the End of Period Expected Buyout Value of 109.8 francs as a reference.</w:t>
            </w:r>
          </w:p>
          <w:p w14:paraId="5796CD89"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Enter Buy Offer</w:t>
            </w:r>
            <w:r w:rsidRPr="00C86705">
              <w:rPr>
                <w:rFonts w:ascii="Times New Roman" w:hAnsi="Times New Roman" w:cs="Times New Roman"/>
                <w:bCs/>
                <w:sz w:val="22"/>
                <w:szCs w:val="22"/>
              </w:rPr>
              <w:t xml:space="preserve">: On the trading screen, enter the number of units of X you want to buy and the price per unit you are willing to pay. </w:t>
            </w:r>
          </w:p>
          <w:p w14:paraId="4F57EDF0"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Submit Offer</w:t>
            </w:r>
            <w:r w:rsidRPr="00C86705">
              <w:rPr>
                <w:rFonts w:ascii="Times New Roman" w:hAnsi="Times New Roman" w:cs="Times New Roman"/>
                <w:bCs/>
                <w:sz w:val="22"/>
                <w:szCs w:val="22"/>
              </w:rPr>
              <w:t xml:space="preserve">: Click the "Offer to buy" button to submit your buy offer. </w:t>
            </w:r>
          </w:p>
          <w:p w14:paraId="7B5002F9"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Wait for Market Clearing</w:t>
            </w:r>
            <w:r w:rsidRPr="00C86705">
              <w:rPr>
                <w:rFonts w:ascii="Times New Roman" w:hAnsi="Times New Roman" w:cs="Times New Roman"/>
                <w:bCs/>
                <w:sz w:val="22"/>
                <w:szCs w:val="22"/>
              </w:rPr>
              <w:t xml:space="preserve">: The market will match buy and sell offers to determine the trading price. If your offer is matched, you will purchase units at the trading price. </w:t>
            </w:r>
          </w:p>
          <w:p w14:paraId="478F1526"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Monitor Results</w:t>
            </w:r>
            <w:r w:rsidRPr="00C86705">
              <w:rPr>
                <w:rFonts w:ascii="Times New Roman" w:hAnsi="Times New Roman" w:cs="Times New Roman"/>
                <w:bCs/>
                <w:sz w:val="22"/>
                <w:szCs w:val="22"/>
              </w:rPr>
              <w:t xml:space="preserve">: At the end of the period, check the summary screen to see if your </w:t>
            </w:r>
            <w:proofErr w:type="gramStart"/>
            <w:r w:rsidRPr="00C86705">
              <w:rPr>
                <w:rFonts w:ascii="Times New Roman" w:hAnsi="Times New Roman" w:cs="Times New Roman"/>
                <w:bCs/>
                <w:sz w:val="22"/>
                <w:szCs w:val="22"/>
              </w:rPr>
              <w:t>buy</w:t>
            </w:r>
            <w:proofErr w:type="gramEnd"/>
            <w:r w:rsidRPr="00C86705">
              <w:rPr>
                <w:rFonts w:ascii="Times New Roman" w:hAnsi="Times New Roman" w:cs="Times New Roman"/>
                <w:bCs/>
                <w:sz w:val="22"/>
                <w:szCs w:val="22"/>
              </w:rPr>
              <w:t xml:space="preserve"> offer was successful and review your updated inventory and cash balance. </w:t>
            </w:r>
          </w:p>
          <w:p w14:paraId="572B3509" w14:textId="77777777" w:rsidR="005E1E76" w:rsidRPr="00C86705" w:rsidRDefault="005E1E76" w:rsidP="004E34FC">
            <w:pPr>
              <w:pStyle w:val="ListParagraph"/>
              <w:numPr>
                <w:ilvl w:val="0"/>
                <w:numId w:val="16"/>
              </w:numPr>
              <w:jc w:val="both"/>
              <w:rPr>
                <w:rFonts w:ascii="Times New Roman" w:hAnsi="Times New Roman" w:cs="Times New Roman"/>
                <w:bCs/>
                <w:sz w:val="22"/>
                <w:szCs w:val="22"/>
              </w:rPr>
            </w:pPr>
            <w:r w:rsidRPr="00C86705">
              <w:rPr>
                <w:rFonts w:ascii="Times New Roman" w:hAnsi="Times New Roman" w:cs="Times New Roman"/>
                <w:b/>
                <w:sz w:val="22"/>
                <w:szCs w:val="22"/>
              </w:rPr>
              <w:t>Adjust Strategy</w:t>
            </w:r>
            <w:r w:rsidRPr="00C86705">
              <w:rPr>
                <w:rFonts w:ascii="Times New Roman" w:hAnsi="Times New Roman" w:cs="Times New Roman"/>
                <w:bCs/>
                <w:sz w:val="22"/>
                <w:szCs w:val="22"/>
              </w:rPr>
              <w:t>: Based on the results, adjust your strategy for the next period if necessary.</w:t>
            </w:r>
          </w:p>
        </w:tc>
      </w:tr>
      <w:tr w:rsidR="005E1E76" w:rsidRPr="00C86705" w14:paraId="4169D8F0" w14:textId="77777777" w:rsidTr="005E1E76">
        <w:trPr>
          <w:trHeight w:val="3475"/>
        </w:trPr>
        <w:tc>
          <w:tcPr>
            <w:tcW w:w="1164" w:type="dxa"/>
            <w:tcBorders>
              <w:top w:val="single" w:sz="4" w:space="0" w:color="auto"/>
              <w:bottom w:val="single" w:sz="4" w:space="0" w:color="auto"/>
            </w:tcBorders>
            <w:vAlign w:val="center"/>
          </w:tcPr>
          <w:p w14:paraId="6D99BF2D" w14:textId="77777777" w:rsidR="005E1E76" w:rsidRPr="00C86705" w:rsidRDefault="005E1E76" w:rsidP="004E34FC">
            <w:pPr>
              <w:jc w:val="center"/>
              <w:rPr>
                <w:rFonts w:ascii="Times New Roman" w:hAnsi="Times New Roman" w:cs="Times New Roman"/>
                <w:bCs/>
                <w:sz w:val="22"/>
                <w:szCs w:val="22"/>
              </w:rPr>
            </w:pPr>
            <w:r w:rsidRPr="00C86705">
              <w:rPr>
                <w:rFonts w:ascii="Times New Roman" w:hAnsi="Times New Roman" w:cs="Times New Roman"/>
                <w:bCs/>
                <w:sz w:val="22"/>
                <w:szCs w:val="22"/>
              </w:rPr>
              <w:t>Other</w:t>
            </w:r>
          </w:p>
        </w:tc>
        <w:tc>
          <w:tcPr>
            <w:tcW w:w="7908" w:type="dxa"/>
            <w:tcBorders>
              <w:top w:val="single" w:sz="4" w:space="0" w:color="auto"/>
              <w:bottom w:val="single" w:sz="4" w:space="0" w:color="auto"/>
            </w:tcBorders>
          </w:tcPr>
          <w:p w14:paraId="3E481988" w14:textId="77777777" w:rsidR="005E1E76" w:rsidRPr="00C86705" w:rsidRDefault="005E1E76" w:rsidP="004E34FC">
            <w:pPr>
              <w:pStyle w:val="ListParagraph"/>
              <w:numPr>
                <w:ilvl w:val="0"/>
                <w:numId w:val="17"/>
              </w:numPr>
              <w:jc w:val="both"/>
              <w:rPr>
                <w:rFonts w:ascii="Times New Roman" w:hAnsi="Times New Roman" w:cs="Times New Roman"/>
                <w:bCs/>
                <w:sz w:val="22"/>
                <w:szCs w:val="22"/>
              </w:rPr>
            </w:pPr>
            <w:r w:rsidRPr="00C86705">
              <w:rPr>
                <w:rFonts w:ascii="Times New Roman" w:hAnsi="Times New Roman" w:cs="Times New Roman"/>
                <w:b/>
                <w:sz w:val="22"/>
                <w:szCs w:val="22"/>
              </w:rPr>
              <w:t>Review Your Cash:</w:t>
            </w:r>
            <w:r w:rsidRPr="00C86705">
              <w:rPr>
                <w:rFonts w:ascii="Times New Roman" w:hAnsi="Times New Roman" w:cs="Times New Roman"/>
                <w:bCs/>
                <w:sz w:val="22"/>
                <w:szCs w:val="22"/>
              </w:rPr>
              <w:t xml:space="preserve"> You have 41,000 francs available for purchasing units of X.</w:t>
            </w:r>
          </w:p>
          <w:p w14:paraId="6F085DBB" w14:textId="77777777" w:rsidR="005E1E76" w:rsidRPr="00C86705" w:rsidRDefault="005E1E76" w:rsidP="004E34FC">
            <w:pPr>
              <w:pStyle w:val="ListParagraph"/>
              <w:numPr>
                <w:ilvl w:val="0"/>
                <w:numId w:val="17"/>
              </w:numPr>
              <w:jc w:val="both"/>
              <w:rPr>
                <w:rFonts w:ascii="Times New Roman" w:hAnsi="Times New Roman" w:cs="Times New Roman"/>
                <w:bCs/>
                <w:sz w:val="22"/>
                <w:szCs w:val="22"/>
              </w:rPr>
            </w:pPr>
            <w:r w:rsidRPr="00C86705">
              <w:rPr>
                <w:rFonts w:ascii="Times New Roman" w:hAnsi="Times New Roman" w:cs="Times New Roman"/>
                <w:b/>
                <w:sz w:val="22"/>
                <w:szCs w:val="22"/>
              </w:rPr>
              <w:t>Determine Buy Price:</w:t>
            </w:r>
            <w:r w:rsidRPr="00C86705">
              <w:rPr>
                <w:rFonts w:ascii="Times New Roman" w:hAnsi="Times New Roman" w:cs="Times New Roman"/>
                <w:bCs/>
                <w:sz w:val="22"/>
                <w:szCs w:val="22"/>
              </w:rPr>
              <w:t xml:space="preserve"> Decide the highest price per unit of X you are willing to pay.</w:t>
            </w:r>
          </w:p>
          <w:p w14:paraId="2F00BB48" w14:textId="77777777" w:rsidR="005E1E76" w:rsidRPr="00C86705" w:rsidRDefault="005E1E76" w:rsidP="004E34FC">
            <w:pPr>
              <w:pStyle w:val="ListParagraph"/>
              <w:numPr>
                <w:ilvl w:val="0"/>
                <w:numId w:val="17"/>
              </w:numPr>
              <w:jc w:val="both"/>
              <w:rPr>
                <w:rFonts w:ascii="Times New Roman" w:hAnsi="Times New Roman" w:cs="Times New Roman"/>
                <w:bCs/>
                <w:sz w:val="22"/>
                <w:szCs w:val="22"/>
              </w:rPr>
            </w:pPr>
            <w:r w:rsidRPr="00C86705">
              <w:rPr>
                <w:rFonts w:ascii="Times New Roman" w:hAnsi="Times New Roman" w:cs="Times New Roman"/>
                <w:b/>
                <w:sz w:val="22"/>
                <w:szCs w:val="22"/>
              </w:rPr>
              <w:t>Enter Quantity:</w:t>
            </w:r>
            <w:r w:rsidRPr="00C86705">
              <w:rPr>
                <w:rFonts w:ascii="Times New Roman" w:hAnsi="Times New Roman" w:cs="Times New Roman"/>
                <w:bCs/>
                <w:sz w:val="22"/>
                <w:szCs w:val="22"/>
              </w:rPr>
              <w:t xml:space="preserve"> Specify the number of units of X you want to buy.</w:t>
            </w:r>
          </w:p>
          <w:p w14:paraId="4A1D85CF" w14:textId="77777777" w:rsidR="005E1E76" w:rsidRPr="00C86705" w:rsidRDefault="005E1E76" w:rsidP="004E34FC">
            <w:pPr>
              <w:pStyle w:val="ListParagraph"/>
              <w:numPr>
                <w:ilvl w:val="0"/>
                <w:numId w:val="17"/>
              </w:numPr>
              <w:jc w:val="both"/>
              <w:rPr>
                <w:rFonts w:ascii="Times New Roman" w:hAnsi="Times New Roman" w:cs="Times New Roman"/>
                <w:bCs/>
                <w:sz w:val="22"/>
                <w:szCs w:val="22"/>
              </w:rPr>
            </w:pPr>
            <w:r w:rsidRPr="00C86705">
              <w:rPr>
                <w:rFonts w:ascii="Times New Roman" w:hAnsi="Times New Roman" w:cs="Times New Roman"/>
                <w:b/>
                <w:sz w:val="22"/>
                <w:szCs w:val="22"/>
              </w:rPr>
              <w:t>Submit Buy Offer:</w:t>
            </w:r>
            <w:r w:rsidRPr="00C86705">
              <w:rPr>
                <w:rFonts w:ascii="Times New Roman" w:hAnsi="Times New Roman" w:cs="Times New Roman"/>
                <w:bCs/>
                <w:sz w:val="22"/>
                <w:szCs w:val="22"/>
              </w:rPr>
              <w:t xml:space="preserve"> Enter the price per unit and the quantity in the buy fields on your trading screen.</w:t>
            </w:r>
          </w:p>
          <w:p w14:paraId="69A32911" w14:textId="77777777" w:rsidR="005E1E76" w:rsidRPr="00C86705" w:rsidRDefault="005E1E76" w:rsidP="004E34FC">
            <w:pPr>
              <w:pStyle w:val="ListParagraph"/>
              <w:numPr>
                <w:ilvl w:val="0"/>
                <w:numId w:val="17"/>
              </w:numPr>
              <w:jc w:val="both"/>
              <w:rPr>
                <w:rFonts w:ascii="Times New Roman" w:hAnsi="Times New Roman" w:cs="Times New Roman"/>
                <w:bCs/>
                <w:sz w:val="22"/>
                <w:szCs w:val="22"/>
              </w:rPr>
            </w:pPr>
            <w:r w:rsidRPr="00C86705">
              <w:rPr>
                <w:rFonts w:ascii="Times New Roman" w:hAnsi="Times New Roman" w:cs="Times New Roman"/>
                <w:b/>
                <w:sz w:val="22"/>
                <w:szCs w:val="22"/>
              </w:rPr>
              <w:t>Consider Expected Values:</w:t>
            </w:r>
            <w:r w:rsidRPr="00C86705">
              <w:rPr>
                <w:rFonts w:ascii="Times New Roman" w:hAnsi="Times New Roman" w:cs="Times New Roman"/>
                <w:bCs/>
                <w:sz w:val="22"/>
                <w:szCs w:val="22"/>
              </w:rPr>
              <w:t xml:space="preserve"> The End of Market Expected Buyout Value is 406.5 francs, and the End of Period Expected Buyout Value is 109.8 francs. Use these values to guide your decision.</w:t>
            </w:r>
          </w:p>
          <w:p w14:paraId="336B6D55" w14:textId="77777777" w:rsidR="005E1E76" w:rsidRPr="00C86705" w:rsidRDefault="005E1E76" w:rsidP="004E34FC">
            <w:pPr>
              <w:pStyle w:val="ListParagraph"/>
              <w:numPr>
                <w:ilvl w:val="0"/>
                <w:numId w:val="17"/>
              </w:numPr>
              <w:jc w:val="both"/>
              <w:rPr>
                <w:rFonts w:ascii="Times New Roman" w:hAnsi="Times New Roman" w:cs="Times New Roman"/>
                <w:bCs/>
                <w:sz w:val="22"/>
                <w:szCs w:val="22"/>
              </w:rPr>
            </w:pPr>
            <w:r w:rsidRPr="00C86705">
              <w:rPr>
                <w:rFonts w:ascii="Times New Roman" w:hAnsi="Times New Roman" w:cs="Times New Roman"/>
                <w:b/>
                <w:sz w:val="22"/>
                <w:szCs w:val="22"/>
              </w:rPr>
              <w:t>Ensure Sufficient Cash:</w:t>
            </w:r>
            <w:r w:rsidRPr="00C86705">
              <w:rPr>
                <w:rFonts w:ascii="Times New Roman" w:hAnsi="Times New Roman" w:cs="Times New Roman"/>
                <w:bCs/>
                <w:sz w:val="22"/>
                <w:szCs w:val="22"/>
              </w:rPr>
              <w:t xml:space="preserve"> Make sure the total cost (price per unit * quantity) does not exceed your available cash.</w:t>
            </w:r>
          </w:p>
          <w:p w14:paraId="3B4E2EE5" w14:textId="77777777" w:rsidR="005E1E76" w:rsidRPr="002100ED" w:rsidRDefault="005E1E76" w:rsidP="004E34FC">
            <w:pPr>
              <w:pStyle w:val="ListParagraph"/>
              <w:numPr>
                <w:ilvl w:val="0"/>
                <w:numId w:val="17"/>
              </w:numPr>
              <w:spacing w:after="160"/>
              <w:jc w:val="both"/>
              <w:rPr>
                <w:rFonts w:ascii="Times New Roman" w:hAnsi="Times New Roman" w:cs="Times New Roman"/>
                <w:bCs/>
                <w:sz w:val="22"/>
                <w:szCs w:val="22"/>
              </w:rPr>
            </w:pPr>
            <w:r w:rsidRPr="00C86705">
              <w:rPr>
                <w:rFonts w:ascii="Times New Roman" w:hAnsi="Times New Roman" w:cs="Times New Roman"/>
                <w:b/>
                <w:sz w:val="22"/>
                <w:szCs w:val="22"/>
              </w:rPr>
              <w:t>Monitor Market:</w:t>
            </w:r>
            <w:r w:rsidRPr="00C86705">
              <w:rPr>
                <w:rFonts w:ascii="Times New Roman" w:hAnsi="Times New Roman" w:cs="Times New Roman"/>
                <w:bCs/>
                <w:sz w:val="22"/>
                <w:szCs w:val="22"/>
              </w:rPr>
              <w:t xml:space="preserve"> Keep an eye on the market to see if your buy offer is accepted</w:t>
            </w:r>
            <w:r>
              <w:rPr>
                <w:rFonts w:ascii="Times New Roman" w:hAnsi="Times New Roman" w:cs="Times New Roman"/>
                <w:bCs/>
                <w:sz w:val="22"/>
                <w:szCs w:val="22"/>
              </w:rPr>
              <w:t>.</w:t>
            </w:r>
          </w:p>
        </w:tc>
      </w:tr>
    </w:tbl>
    <w:p w14:paraId="28CE093D" w14:textId="3FF74555" w:rsidR="00C86705" w:rsidRPr="00C86705" w:rsidRDefault="00C86705" w:rsidP="00EE4290">
      <w:pPr>
        <w:spacing w:before="240" w:line="360" w:lineRule="auto"/>
        <w:jc w:val="both"/>
        <w:rPr>
          <w:rFonts w:ascii="Times New Roman" w:hAnsi="Times New Roman" w:cs="Times New Roman"/>
          <w:sz w:val="22"/>
          <w:szCs w:val="22"/>
        </w:rPr>
      </w:pPr>
    </w:p>
    <w:sectPr w:rsidR="00C86705" w:rsidRPr="00C8670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7CB76" w14:textId="77777777" w:rsidR="00D71E3F" w:rsidRDefault="00D71E3F" w:rsidP="00855ABB">
      <w:pPr>
        <w:spacing w:after="0" w:line="240" w:lineRule="auto"/>
      </w:pPr>
      <w:r>
        <w:separator/>
      </w:r>
    </w:p>
  </w:endnote>
  <w:endnote w:type="continuationSeparator" w:id="0">
    <w:p w14:paraId="227E3191" w14:textId="77777777" w:rsidR="00D71E3F" w:rsidRDefault="00D71E3F" w:rsidP="0085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872083"/>
      <w:docPartObj>
        <w:docPartGallery w:val="Page Numbers (Bottom of Page)"/>
        <w:docPartUnique/>
      </w:docPartObj>
    </w:sdtPr>
    <w:sdtEndPr>
      <w:rPr>
        <w:rFonts w:ascii="Times New Roman" w:hAnsi="Times New Roman" w:cs="Times New Roman"/>
      </w:rPr>
    </w:sdtEndPr>
    <w:sdtContent>
      <w:p w14:paraId="4F10CA78" w14:textId="6A1DF1B2" w:rsidR="00AA21D7" w:rsidRPr="00AA21D7" w:rsidRDefault="00AA21D7">
        <w:pPr>
          <w:pStyle w:val="Footer"/>
          <w:jc w:val="center"/>
          <w:rPr>
            <w:rFonts w:ascii="Times New Roman" w:hAnsi="Times New Roman" w:cs="Times New Roman"/>
          </w:rPr>
        </w:pPr>
        <w:r w:rsidRPr="00AA21D7">
          <w:rPr>
            <w:rFonts w:ascii="Times New Roman" w:hAnsi="Times New Roman" w:cs="Times New Roman"/>
          </w:rPr>
          <w:fldChar w:fldCharType="begin"/>
        </w:r>
        <w:r w:rsidRPr="00AA21D7">
          <w:rPr>
            <w:rFonts w:ascii="Times New Roman" w:hAnsi="Times New Roman" w:cs="Times New Roman"/>
          </w:rPr>
          <w:instrText>PAGE   \* MERGEFORMAT</w:instrText>
        </w:r>
        <w:r w:rsidRPr="00AA21D7">
          <w:rPr>
            <w:rFonts w:ascii="Times New Roman" w:hAnsi="Times New Roman" w:cs="Times New Roman"/>
          </w:rPr>
          <w:fldChar w:fldCharType="separate"/>
        </w:r>
        <w:r w:rsidRPr="00AA21D7">
          <w:rPr>
            <w:rFonts w:ascii="Times New Roman" w:hAnsi="Times New Roman" w:cs="Times New Roman"/>
            <w:lang w:val="es-ES"/>
          </w:rPr>
          <w:t>2</w:t>
        </w:r>
        <w:r w:rsidRPr="00AA21D7">
          <w:rPr>
            <w:rFonts w:ascii="Times New Roman" w:hAnsi="Times New Roman" w:cs="Times New Roman"/>
          </w:rPr>
          <w:fldChar w:fldCharType="end"/>
        </w:r>
      </w:p>
    </w:sdtContent>
  </w:sdt>
  <w:p w14:paraId="0A9C522D" w14:textId="77777777" w:rsidR="00AA21D7" w:rsidRDefault="00AA2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550D3" w14:textId="77777777" w:rsidR="00D71E3F" w:rsidRDefault="00D71E3F" w:rsidP="00855ABB">
      <w:pPr>
        <w:spacing w:after="0" w:line="240" w:lineRule="auto"/>
      </w:pPr>
      <w:r>
        <w:separator/>
      </w:r>
    </w:p>
  </w:footnote>
  <w:footnote w:type="continuationSeparator" w:id="0">
    <w:p w14:paraId="5FD460D2" w14:textId="77777777" w:rsidR="00D71E3F" w:rsidRDefault="00D71E3F" w:rsidP="00855ABB">
      <w:pPr>
        <w:spacing w:after="0" w:line="240" w:lineRule="auto"/>
      </w:pPr>
      <w:r>
        <w:continuationSeparator/>
      </w:r>
    </w:p>
  </w:footnote>
  <w:footnote w:id="1">
    <w:p w14:paraId="7A067125" w14:textId="77777777" w:rsidR="00855ABB" w:rsidRPr="00DB3BC4" w:rsidRDefault="00855ABB" w:rsidP="00053925">
      <w:pPr>
        <w:pStyle w:val="FootnoteText"/>
        <w:jc w:val="both"/>
        <w:rPr>
          <w:rFonts w:ascii="Times New Roman" w:hAnsi="Times New Roman" w:cs="Times New Roman"/>
          <w:sz w:val="22"/>
          <w:szCs w:val="22"/>
          <w:lang w:val="en-US"/>
        </w:rPr>
      </w:pPr>
      <w:r w:rsidRPr="00DB3BC4">
        <w:rPr>
          <w:rStyle w:val="FootnoteReference"/>
          <w:rFonts w:ascii="Times New Roman" w:hAnsi="Times New Roman" w:cs="Times New Roman"/>
          <w:sz w:val="22"/>
          <w:szCs w:val="22"/>
        </w:rPr>
        <w:footnoteRef/>
      </w:r>
      <w:r w:rsidRPr="00DB3BC4">
        <w:rPr>
          <w:rFonts w:ascii="Times New Roman" w:hAnsi="Times New Roman" w:cs="Times New Roman"/>
          <w:sz w:val="22"/>
          <w:szCs w:val="22"/>
        </w:rPr>
        <w:t xml:space="preserve"> Baseline sessions lasted approximately 90 minutes, while AI-assisted market sessions lasted approximately 120 minutes.  Reported durations include the instructional period and payment to participants.</w:t>
      </w:r>
    </w:p>
  </w:footnote>
  <w:footnote w:id="2">
    <w:p w14:paraId="642F83A9" w14:textId="3F32897C" w:rsidR="00855ABB" w:rsidRPr="00DB3BC4" w:rsidRDefault="00855ABB" w:rsidP="00053925">
      <w:pPr>
        <w:pStyle w:val="FootnoteText"/>
        <w:jc w:val="both"/>
        <w:rPr>
          <w:rFonts w:ascii="Times New Roman" w:hAnsi="Times New Roman" w:cs="Times New Roman"/>
          <w:color w:val="EE0000"/>
          <w:sz w:val="22"/>
          <w:szCs w:val="22"/>
          <w:lang w:val="en-US"/>
        </w:rPr>
      </w:pPr>
      <w:r w:rsidRPr="00DB3BC4">
        <w:rPr>
          <w:rStyle w:val="FootnoteReference"/>
          <w:rFonts w:ascii="Times New Roman" w:hAnsi="Times New Roman" w:cs="Times New Roman"/>
          <w:sz w:val="22"/>
          <w:szCs w:val="22"/>
        </w:rPr>
        <w:footnoteRef/>
      </w:r>
      <w:r w:rsidRPr="00DB3BC4">
        <w:rPr>
          <w:rFonts w:ascii="Times New Roman" w:hAnsi="Times New Roman" w:cs="Times New Roman"/>
          <w:sz w:val="22"/>
          <w:szCs w:val="22"/>
        </w:rPr>
        <w:t xml:space="preserve"> We chose a cash-to-asset ratio of </w:t>
      </w:r>
      <w:r w:rsidR="00CD60A3" w:rsidRPr="00DB3BC4">
        <w:rPr>
          <w:rFonts w:ascii="Times New Roman" w:hAnsi="Times New Roman" w:cs="Times New Roman"/>
          <w:sz w:val="22"/>
          <w:szCs w:val="22"/>
        </w:rPr>
        <w:t>ten</w:t>
      </w:r>
      <w:r w:rsidRPr="00DB3BC4">
        <w:rPr>
          <w:rFonts w:ascii="Times New Roman" w:hAnsi="Times New Roman" w:cs="Times New Roman"/>
          <w:sz w:val="22"/>
          <w:szCs w:val="22"/>
        </w:rPr>
        <w:t xml:space="preserve"> to create a relatively bubble-prone environment, consistent with prior laboratory evidence that higher initial liquidity raises prices and can intensify bubble dynamics in experimental asset markets (Caginalp, Porter, and Smith, 1998; Haruvy and Noussair, 2006; Noussair and Tucker, 2016; Angerer and Szymczak, 2019). </w:t>
      </w:r>
    </w:p>
  </w:footnote>
  <w:footnote w:id="3">
    <w:p w14:paraId="0DDAE7E7" w14:textId="77777777" w:rsidR="00855ABB" w:rsidRPr="00DB3BC4" w:rsidRDefault="00855ABB" w:rsidP="00053925">
      <w:pPr>
        <w:pStyle w:val="FootnoteText"/>
        <w:jc w:val="both"/>
        <w:rPr>
          <w:rFonts w:ascii="Times New Roman" w:hAnsi="Times New Roman" w:cs="Times New Roman"/>
          <w:sz w:val="22"/>
          <w:szCs w:val="22"/>
          <w:lang w:val="en-US"/>
        </w:rPr>
      </w:pPr>
      <w:r w:rsidRPr="00DB3BC4">
        <w:rPr>
          <w:rStyle w:val="FootnoteReference"/>
          <w:rFonts w:ascii="Times New Roman" w:hAnsi="Times New Roman" w:cs="Times New Roman"/>
          <w:sz w:val="22"/>
          <w:szCs w:val="22"/>
        </w:rPr>
        <w:footnoteRef/>
      </w:r>
      <w:r w:rsidRPr="00DB3BC4">
        <w:rPr>
          <w:rFonts w:ascii="Times New Roman" w:hAnsi="Times New Roman" w:cs="Times New Roman"/>
          <w:sz w:val="22"/>
          <w:szCs w:val="22"/>
        </w:rPr>
        <w:t xml:space="preserve"> Available units = total number of participants multiplied by ten units of X minus the units held by the participant.</w:t>
      </w:r>
    </w:p>
  </w:footnote>
  <w:footnote w:id="4">
    <w:p w14:paraId="21FF45E9" w14:textId="6D1169D8" w:rsidR="00855ABB" w:rsidRPr="00DB3BC4" w:rsidRDefault="00855ABB" w:rsidP="00053925">
      <w:pPr>
        <w:pStyle w:val="FootnoteText"/>
        <w:jc w:val="both"/>
        <w:rPr>
          <w:rFonts w:ascii="Times New Roman" w:hAnsi="Times New Roman" w:cs="Times New Roman"/>
          <w:sz w:val="22"/>
          <w:szCs w:val="22"/>
          <w:lang w:val="en-US"/>
        </w:rPr>
      </w:pPr>
      <w:r w:rsidRPr="00DB3BC4">
        <w:rPr>
          <w:rStyle w:val="FootnoteReference"/>
          <w:rFonts w:ascii="Times New Roman" w:hAnsi="Times New Roman" w:cs="Times New Roman"/>
          <w:sz w:val="22"/>
          <w:szCs w:val="22"/>
        </w:rPr>
        <w:footnoteRef/>
      </w:r>
      <w:r w:rsidRPr="00DB3BC4">
        <w:rPr>
          <w:rFonts w:ascii="Times New Roman" w:hAnsi="Times New Roman" w:cs="Times New Roman"/>
          <w:sz w:val="22"/>
          <w:szCs w:val="22"/>
        </w:rPr>
        <w:t xml:space="preserve"> The random draws were calculated in advance, and the same draws were used in all markets.</w:t>
      </w:r>
      <w:r w:rsidR="00FB40B7" w:rsidRPr="00DB3BC4">
        <w:rPr>
          <w:rFonts w:ascii="Times New Roman" w:hAnsi="Times New Roman" w:cs="Times New Roman"/>
          <w:sz w:val="22"/>
          <w:szCs w:val="22"/>
        </w:rPr>
        <w:t xml:space="preserve"> Further details are provided in Appendix A1.</w:t>
      </w:r>
    </w:p>
  </w:footnote>
  <w:footnote w:id="5">
    <w:p w14:paraId="5929CFF0" w14:textId="77777777" w:rsidR="00855ABB" w:rsidRPr="00053925" w:rsidRDefault="00855ABB" w:rsidP="00053925">
      <w:pPr>
        <w:pStyle w:val="FootnoteText"/>
        <w:jc w:val="both"/>
        <w:rPr>
          <w:rFonts w:ascii="Times New Roman" w:hAnsi="Times New Roman" w:cs="Times New Roman"/>
          <w:lang w:val="en-US"/>
        </w:rPr>
      </w:pPr>
      <w:r w:rsidRPr="00DB3BC4">
        <w:rPr>
          <w:rStyle w:val="FootnoteReference"/>
          <w:rFonts w:ascii="Times New Roman" w:hAnsi="Times New Roman" w:cs="Times New Roman"/>
          <w:sz w:val="22"/>
          <w:szCs w:val="22"/>
        </w:rPr>
        <w:footnoteRef/>
      </w:r>
      <w:r w:rsidRPr="00DB3BC4">
        <w:rPr>
          <w:rFonts w:ascii="Times New Roman" w:hAnsi="Times New Roman" w:cs="Times New Roman"/>
          <w:sz w:val="22"/>
          <w:szCs w:val="22"/>
        </w:rPr>
        <w:t xml:space="preserve"> The mean and variance values ​​of </w:t>
      </w:r>
      <m:oMath>
        <m:sSub>
          <m:sSubPr>
            <m:ctrlPr>
              <w:rPr>
                <w:rFonts w:ascii="Cambria Math" w:hAnsi="Cambria Math" w:cs="Times New Roman"/>
                <w:i/>
                <w:sz w:val="22"/>
                <w:szCs w:val="22"/>
              </w:rPr>
            </m:ctrlPr>
          </m:sSubPr>
          <m:e>
            <m:r>
              <w:rPr>
                <w:rFonts w:ascii="Cambria Math" w:hAnsi="Cambria Math" w:cs="Times New Roman"/>
                <w:sz w:val="22"/>
                <w:szCs w:val="22"/>
              </w:rPr>
              <m:t>ε</m:t>
            </m:r>
          </m:e>
          <m:sub>
            <m:r>
              <w:rPr>
                <w:rFonts w:ascii="Cambria Math" w:hAnsi="Cambria Math" w:cs="Times New Roman"/>
                <w:sz w:val="22"/>
                <w:szCs w:val="22"/>
              </w:rPr>
              <m:t>t</m:t>
            </m:r>
          </m:sub>
        </m:sSub>
      </m:oMath>
      <w:r w:rsidRPr="00DB3BC4">
        <w:rPr>
          <w:rFonts w:ascii="Times New Roman" w:hAnsi="Times New Roman" w:cs="Times New Roman"/>
          <w:sz w:val="22"/>
          <w:szCs w:val="22"/>
        </w:rPr>
        <w:t>, were calculated from the S&amp;P 500 index data between the years 1928 and 2023.</w:t>
      </w:r>
    </w:p>
  </w:footnote>
  <w:footnote w:id="6">
    <w:p w14:paraId="531B4283" w14:textId="77777777" w:rsidR="00A229C0" w:rsidRPr="00FD3EAD" w:rsidRDefault="00A229C0" w:rsidP="00A229C0">
      <w:pPr>
        <w:pStyle w:val="FootnoteText"/>
        <w:rPr>
          <w:rFonts w:ascii="Times New Roman" w:hAnsi="Times New Roman" w:cs="Times New Roman"/>
          <w:sz w:val="22"/>
          <w:szCs w:val="22"/>
          <w:lang w:val="en-US"/>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 </w:t>
      </w:r>
      <w:r w:rsidRPr="00FD3EAD">
        <w:rPr>
          <w:rFonts w:ascii="Times New Roman" w:hAnsi="Times New Roman" w:cs="Times New Roman"/>
          <w:sz w:val="22"/>
          <w:szCs w:val="22"/>
          <w:lang w:val="en-US"/>
        </w:rPr>
        <w:t>Instructions provided in the Appendix A2.</w:t>
      </w:r>
    </w:p>
  </w:footnote>
  <w:footnote w:id="7">
    <w:p w14:paraId="57D37B59" w14:textId="77777777" w:rsidR="00A229C0" w:rsidRPr="00053925" w:rsidRDefault="00A229C0" w:rsidP="00A229C0">
      <w:pPr>
        <w:pStyle w:val="FootnoteText"/>
        <w:rPr>
          <w:rFonts w:ascii="Times New Roman" w:hAnsi="Times New Roman" w:cs="Times New Roman"/>
          <w:lang w:val="en-US"/>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 </w:t>
      </w:r>
      <w:r w:rsidRPr="00FD3EAD">
        <w:rPr>
          <w:rFonts w:ascii="Times New Roman" w:hAnsi="Times New Roman" w:cs="Times New Roman"/>
          <w:sz w:val="22"/>
          <w:szCs w:val="22"/>
          <w:lang w:val="en-US"/>
        </w:rPr>
        <w:t>Comprehension Quiz provided in the Appendix A3.</w:t>
      </w:r>
    </w:p>
  </w:footnote>
  <w:footnote w:id="8">
    <w:p w14:paraId="4AB103D4" w14:textId="77777777" w:rsidR="00781E39" w:rsidRPr="00053925" w:rsidRDefault="00781E39" w:rsidP="00781E39">
      <w:pPr>
        <w:pStyle w:val="FootnoteText"/>
        <w:rPr>
          <w:rFonts w:ascii="Times New Roman" w:hAnsi="Times New Roman" w:cs="Times New Roman"/>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 Examples AI generated replies aligned with each type (BV, FV and Other) are presented in Appendix A4.</w:t>
      </w:r>
    </w:p>
  </w:footnote>
  <w:footnote w:id="9">
    <w:p w14:paraId="5BE27307" w14:textId="4FF575A4" w:rsidR="00562B4D" w:rsidRPr="00053925" w:rsidRDefault="00562B4D" w:rsidP="00562B4D">
      <w:pPr>
        <w:pStyle w:val="FootnoteText"/>
        <w:jc w:val="both"/>
        <w:rPr>
          <w:rFonts w:ascii="Times New Roman" w:hAnsi="Times New Roman" w:cs="Times New Roman"/>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When an equilibrium price is not observed within a period, the minimum ask price is used, if available. This choice is consistent with the calculation of the equilibrium price when the bids and asks generate a surplus, i.e. all surplus is allocated to the buyer. </w:t>
      </w:r>
    </w:p>
  </w:footnote>
  <w:footnote w:id="10">
    <w:p w14:paraId="1963C8E2" w14:textId="77777777" w:rsidR="00562B4D" w:rsidRPr="00053925" w:rsidRDefault="00562B4D" w:rsidP="00562B4D">
      <w:pPr>
        <w:pStyle w:val="FootnoteText"/>
        <w:rPr>
          <w:rFonts w:ascii="Times New Roman" w:hAnsi="Times New Roman" w:cs="Times New Roman"/>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 Note that the maximum Turnover possible is 1.0 due to the call market trading institution.</w:t>
      </w:r>
    </w:p>
  </w:footnote>
  <w:footnote w:id="11">
    <w:p w14:paraId="241E4AD0" w14:textId="1B60BB07" w:rsidR="00562B4D" w:rsidRPr="00053925" w:rsidRDefault="00562B4D" w:rsidP="00C87A3B">
      <w:pPr>
        <w:pStyle w:val="FootnoteText"/>
        <w:jc w:val="both"/>
        <w:rPr>
          <w:rFonts w:ascii="Times New Roman" w:hAnsi="Times New Roman" w:cs="Times New Roman"/>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 There are 15 periods in the market, and thus 15 opportunities to engage in a conversation with AI.  Thus, on average, participants engaged with AI in 6 of the 15 periods (40%).</w:t>
      </w:r>
      <w:r w:rsidR="002757EB" w:rsidRPr="00FD3EAD">
        <w:rPr>
          <w:rFonts w:ascii="Times New Roman" w:hAnsi="Times New Roman" w:cs="Times New Roman"/>
          <w:sz w:val="22"/>
          <w:szCs w:val="22"/>
        </w:rPr>
        <w:t xml:space="preserve"> In most cases, individuals' usage decreases over time.</w:t>
      </w:r>
    </w:p>
  </w:footnote>
  <w:footnote w:id="12">
    <w:p w14:paraId="07F9E1EF" w14:textId="77777777" w:rsidR="003E7AB4" w:rsidRPr="00053925" w:rsidRDefault="003E7AB4" w:rsidP="003E7AB4">
      <w:pPr>
        <w:pStyle w:val="FootnoteText"/>
        <w:jc w:val="both"/>
        <w:rPr>
          <w:rFonts w:ascii="Times New Roman" w:hAnsi="Times New Roman" w:cs="Times New Roman"/>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 Follow rates were calculated at the participant level, considering only “Follow” or “Not follow” responses. Analyses of overall and treatment-level follow rates included all advice types (FV, BV, and Other), while analyses aggregated by advice type (FV and BV) excluded responses categorized as “Other offer” or “No trade.” </w:t>
      </w:r>
    </w:p>
  </w:footnote>
  <w:footnote w:id="13">
    <w:p w14:paraId="714C9E15" w14:textId="00A0ACFC" w:rsidR="002F2113" w:rsidRPr="002F2113" w:rsidRDefault="002F2113" w:rsidP="005430F2">
      <w:pPr>
        <w:pStyle w:val="FootnoteText"/>
        <w:jc w:val="both"/>
        <w:rPr>
          <w:rFonts w:ascii="Times New Roman" w:hAnsi="Times New Roman" w:cs="Times New Roman"/>
          <w:lang w:val="en-US"/>
        </w:rPr>
      </w:pPr>
      <w:r w:rsidRPr="00FD3EAD">
        <w:rPr>
          <w:rStyle w:val="FootnoteReference"/>
          <w:rFonts w:ascii="Times New Roman" w:hAnsi="Times New Roman" w:cs="Times New Roman"/>
          <w:sz w:val="22"/>
          <w:szCs w:val="22"/>
        </w:rPr>
        <w:footnoteRef/>
      </w:r>
      <w:r w:rsidRPr="00FD3EAD">
        <w:rPr>
          <w:rFonts w:ascii="Times New Roman" w:hAnsi="Times New Roman" w:cs="Times New Roman"/>
          <w:sz w:val="22"/>
          <w:szCs w:val="22"/>
        </w:rPr>
        <w:t xml:space="preserve"> </w:t>
      </w:r>
      <w:r w:rsidRPr="00FD3EAD">
        <w:rPr>
          <w:rFonts w:ascii="Times New Roman" w:hAnsi="Times New Roman" w:cs="Times New Roman"/>
          <w:sz w:val="22"/>
          <w:szCs w:val="22"/>
          <w:lang w:val="en-US"/>
        </w:rPr>
        <w:t>We decided to choose a more extreme threshold because in BAI, we observe more frequent deviations (also to a greater extent). The analysis remains qualitatively the same if we also chose 75% here as the reference point.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BB65FE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38481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BF011C"/>
    <w:multiLevelType w:val="hybridMultilevel"/>
    <w:tmpl w:val="5E2AF54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58F6C38"/>
    <w:multiLevelType w:val="hybridMultilevel"/>
    <w:tmpl w:val="CDCA70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87E7FD6"/>
    <w:multiLevelType w:val="hybridMultilevel"/>
    <w:tmpl w:val="0CCEB1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E5053FD"/>
    <w:multiLevelType w:val="hybridMultilevel"/>
    <w:tmpl w:val="E2547266"/>
    <w:lvl w:ilvl="0" w:tplc="E45C4F70">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8578B9"/>
    <w:multiLevelType w:val="hybridMultilevel"/>
    <w:tmpl w:val="5C64EB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45529FF"/>
    <w:multiLevelType w:val="multilevel"/>
    <w:tmpl w:val="0BD8B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E53BD"/>
    <w:multiLevelType w:val="hybridMultilevel"/>
    <w:tmpl w:val="65BC7C6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04A791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9E54BC"/>
    <w:multiLevelType w:val="hybridMultilevel"/>
    <w:tmpl w:val="2D0C8F7E"/>
    <w:lvl w:ilvl="0" w:tplc="0C0A0019">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174688F"/>
    <w:multiLevelType w:val="hybridMultilevel"/>
    <w:tmpl w:val="1FDC85A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3D815EE"/>
    <w:multiLevelType w:val="hybridMultilevel"/>
    <w:tmpl w:val="FA729352"/>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42A7CC0"/>
    <w:multiLevelType w:val="hybridMultilevel"/>
    <w:tmpl w:val="529A56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69A038E"/>
    <w:multiLevelType w:val="hybridMultilevel"/>
    <w:tmpl w:val="FAFA02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413C6F41"/>
    <w:multiLevelType w:val="hybridMultilevel"/>
    <w:tmpl w:val="C254881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43FE1D9E"/>
    <w:multiLevelType w:val="multilevel"/>
    <w:tmpl w:val="CDD4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20C4D"/>
    <w:multiLevelType w:val="hybridMultilevel"/>
    <w:tmpl w:val="24D2F0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7764F62"/>
    <w:multiLevelType w:val="multilevel"/>
    <w:tmpl w:val="50D8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2745D"/>
    <w:multiLevelType w:val="hybridMultilevel"/>
    <w:tmpl w:val="9280B02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53E8354A"/>
    <w:multiLevelType w:val="multilevel"/>
    <w:tmpl w:val="43FA3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C193B"/>
    <w:multiLevelType w:val="hybridMultilevel"/>
    <w:tmpl w:val="5E4036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D4E4EE9"/>
    <w:multiLevelType w:val="multilevel"/>
    <w:tmpl w:val="C316C3B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3177FB"/>
    <w:multiLevelType w:val="multilevel"/>
    <w:tmpl w:val="C316C3B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224327"/>
    <w:multiLevelType w:val="hybridMultilevel"/>
    <w:tmpl w:val="D7EAB1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297F55"/>
    <w:multiLevelType w:val="hybridMultilevel"/>
    <w:tmpl w:val="7708FA1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7AEB67A4"/>
    <w:multiLevelType w:val="hybridMultilevel"/>
    <w:tmpl w:val="CDFA67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711423293">
    <w:abstractNumId w:val="23"/>
  </w:num>
  <w:num w:numId="2" w16cid:durableId="156772819">
    <w:abstractNumId w:val="18"/>
  </w:num>
  <w:num w:numId="3" w16cid:durableId="12265019">
    <w:abstractNumId w:val="5"/>
  </w:num>
  <w:num w:numId="4" w16cid:durableId="810488881">
    <w:abstractNumId w:val="24"/>
  </w:num>
  <w:num w:numId="5" w16cid:durableId="1316832464">
    <w:abstractNumId w:val="12"/>
  </w:num>
  <w:num w:numId="6" w16cid:durableId="180701802">
    <w:abstractNumId w:val="10"/>
  </w:num>
  <w:num w:numId="7" w16cid:durableId="1599410622">
    <w:abstractNumId w:val="7"/>
  </w:num>
  <w:num w:numId="8" w16cid:durableId="704184432">
    <w:abstractNumId w:val="20"/>
  </w:num>
  <w:num w:numId="9" w16cid:durableId="1466777425">
    <w:abstractNumId w:val="14"/>
  </w:num>
  <w:num w:numId="10" w16cid:durableId="1514799337">
    <w:abstractNumId w:val="6"/>
  </w:num>
  <w:num w:numId="11" w16cid:durableId="917056986">
    <w:abstractNumId w:val="15"/>
  </w:num>
  <w:num w:numId="12" w16cid:durableId="10256296">
    <w:abstractNumId w:val="8"/>
  </w:num>
  <w:num w:numId="13" w16cid:durableId="1736902005">
    <w:abstractNumId w:val="2"/>
  </w:num>
  <w:num w:numId="14" w16cid:durableId="1749958205">
    <w:abstractNumId w:val="25"/>
  </w:num>
  <w:num w:numId="15" w16cid:durableId="1630043238">
    <w:abstractNumId w:val="13"/>
  </w:num>
  <w:num w:numId="16" w16cid:durableId="1398285677">
    <w:abstractNumId w:val="26"/>
  </w:num>
  <w:num w:numId="17" w16cid:durableId="19934253">
    <w:abstractNumId w:val="4"/>
  </w:num>
  <w:num w:numId="18" w16cid:durableId="199512794">
    <w:abstractNumId w:val="1"/>
  </w:num>
  <w:num w:numId="19" w16cid:durableId="1887789970">
    <w:abstractNumId w:val="0"/>
  </w:num>
  <w:num w:numId="20" w16cid:durableId="2100785096">
    <w:abstractNumId w:val="9"/>
  </w:num>
  <w:num w:numId="21" w16cid:durableId="94909797">
    <w:abstractNumId w:val="22"/>
  </w:num>
  <w:num w:numId="22" w16cid:durableId="1692337942">
    <w:abstractNumId w:val="16"/>
  </w:num>
  <w:num w:numId="23" w16cid:durableId="277105178">
    <w:abstractNumId w:val="3"/>
  </w:num>
  <w:num w:numId="24" w16cid:durableId="1414745274">
    <w:abstractNumId w:val="17"/>
  </w:num>
  <w:num w:numId="25" w16cid:durableId="1031489349">
    <w:abstractNumId w:val="21"/>
  </w:num>
  <w:num w:numId="26" w16cid:durableId="285817541">
    <w:abstractNumId w:val="19"/>
  </w:num>
  <w:num w:numId="27" w16cid:durableId="629286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BB"/>
    <w:rsid w:val="00002368"/>
    <w:rsid w:val="000067BD"/>
    <w:rsid w:val="000259AA"/>
    <w:rsid w:val="0002656C"/>
    <w:rsid w:val="00041DE5"/>
    <w:rsid w:val="00045C90"/>
    <w:rsid w:val="00052D7E"/>
    <w:rsid w:val="00053925"/>
    <w:rsid w:val="00056899"/>
    <w:rsid w:val="00077E71"/>
    <w:rsid w:val="00092FA3"/>
    <w:rsid w:val="0009725E"/>
    <w:rsid w:val="000A2E8D"/>
    <w:rsid w:val="000A4843"/>
    <w:rsid w:val="000B31DE"/>
    <w:rsid w:val="000C60F9"/>
    <w:rsid w:val="000E6101"/>
    <w:rsid w:val="000E7C87"/>
    <w:rsid w:val="001142A8"/>
    <w:rsid w:val="00122118"/>
    <w:rsid w:val="001469B4"/>
    <w:rsid w:val="00163D9E"/>
    <w:rsid w:val="0017603B"/>
    <w:rsid w:val="00192170"/>
    <w:rsid w:val="001974A4"/>
    <w:rsid w:val="001B200E"/>
    <w:rsid w:val="001C3F72"/>
    <w:rsid w:val="001C4747"/>
    <w:rsid w:val="001D155C"/>
    <w:rsid w:val="001D37B8"/>
    <w:rsid w:val="001D4741"/>
    <w:rsid w:val="001E5147"/>
    <w:rsid w:val="001F7C7C"/>
    <w:rsid w:val="00205EE7"/>
    <w:rsid w:val="002100ED"/>
    <w:rsid w:val="0022000E"/>
    <w:rsid w:val="002320B9"/>
    <w:rsid w:val="00241C85"/>
    <w:rsid w:val="002526B6"/>
    <w:rsid w:val="002757EB"/>
    <w:rsid w:val="00277552"/>
    <w:rsid w:val="002868E0"/>
    <w:rsid w:val="00287E00"/>
    <w:rsid w:val="002B3ADC"/>
    <w:rsid w:val="002B64D0"/>
    <w:rsid w:val="002B68C8"/>
    <w:rsid w:val="002E194B"/>
    <w:rsid w:val="002F0480"/>
    <w:rsid w:val="002F2113"/>
    <w:rsid w:val="0030293A"/>
    <w:rsid w:val="00310E96"/>
    <w:rsid w:val="00313F0F"/>
    <w:rsid w:val="003165D4"/>
    <w:rsid w:val="0034095F"/>
    <w:rsid w:val="00354665"/>
    <w:rsid w:val="003563D6"/>
    <w:rsid w:val="0035699F"/>
    <w:rsid w:val="00371142"/>
    <w:rsid w:val="003819D5"/>
    <w:rsid w:val="00390385"/>
    <w:rsid w:val="00397CAB"/>
    <w:rsid w:val="003A3F33"/>
    <w:rsid w:val="003B3DE5"/>
    <w:rsid w:val="003B64EA"/>
    <w:rsid w:val="003C09EC"/>
    <w:rsid w:val="003C16A5"/>
    <w:rsid w:val="003C2C55"/>
    <w:rsid w:val="003C5C1B"/>
    <w:rsid w:val="003D39B1"/>
    <w:rsid w:val="003E7AB4"/>
    <w:rsid w:val="003F7563"/>
    <w:rsid w:val="00406D32"/>
    <w:rsid w:val="00414679"/>
    <w:rsid w:val="00423BA1"/>
    <w:rsid w:val="00437877"/>
    <w:rsid w:val="0045189B"/>
    <w:rsid w:val="004678EE"/>
    <w:rsid w:val="00474A24"/>
    <w:rsid w:val="00484137"/>
    <w:rsid w:val="00496E83"/>
    <w:rsid w:val="004B283A"/>
    <w:rsid w:val="004D7DCB"/>
    <w:rsid w:val="004E7D8C"/>
    <w:rsid w:val="005430F2"/>
    <w:rsid w:val="00562B4D"/>
    <w:rsid w:val="005701A1"/>
    <w:rsid w:val="0057268A"/>
    <w:rsid w:val="00581AF4"/>
    <w:rsid w:val="00594197"/>
    <w:rsid w:val="00595594"/>
    <w:rsid w:val="005A1F4B"/>
    <w:rsid w:val="005B0DD2"/>
    <w:rsid w:val="005C2994"/>
    <w:rsid w:val="005C6648"/>
    <w:rsid w:val="005C7616"/>
    <w:rsid w:val="005D073A"/>
    <w:rsid w:val="005D6475"/>
    <w:rsid w:val="005E1E76"/>
    <w:rsid w:val="005F5B2F"/>
    <w:rsid w:val="006034B8"/>
    <w:rsid w:val="006138B6"/>
    <w:rsid w:val="00616F69"/>
    <w:rsid w:val="00631368"/>
    <w:rsid w:val="0063600B"/>
    <w:rsid w:val="006576C4"/>
    <w:rsid w:val="006620FE"/>
    <w:rsid w:val="006632F5"/>
    <w:rsid w:val="006704C8"/>
    <w:rsid w:val="006847D6"/>
    <w:rsid w:val="006A20EE"/>
    <w:rsid w:val="006C31E7"/>
    <w:rsid w:val="006E3194"/>
    <w:rsid w:val="007056D0"/>
    <w:rsid w:val="00737164"/>
    <w:rsid w:val="00741182"/>
    <w:rsid w:val="00751D06"/>
    <w:rsid w:val="007616C3"/>
    <w:rsid w:val="00761E3D"/>
    <w:rsid w:val="00764A13"/>
    <w:rsid w:val="00781E39"/>
    <w:rsid w:val="00782A61"/>
    <w:rsid w:val="007A2E37"/>
    <w:rsid w:val="007A6B59"/>
    <w:rsid w:val="007B59CD"/>
    <w:rsid w:val="007D4E9B"/>
    <w:rsid w:val="007E156E"/>
    <w:rsid w:val="007E3227"/>
    <w:rsid w:val="007E479D"/>
    <w:rsid w:val="007F2B4B"/>
    <w:rsid w:val="008004E7"/>
    <w:rsid w:val="00824618"/>
    <w:rsid w:val="008257EF"/>
    <w:rsid w:val="00851C44"/>
    <w:rsid w:val="00855ABB"/>
    <w:rsid w:val="00856925"/>
    <w:rsid w:val="008605BD"/>
    <w:rsid w:val="008A56AE"/>
    <w:rsid w:val="008B20E4"/>
    <w:rsid w:val="008D77B1"/>
    <w:rsid w:val="008F01EC"/>
    <w:rsid w:val="008F504C"/>
    <w:rsid w:val="00914466"/>
    <w:rsid w:val="009249AF"/>
    <w:rsid w:val="00935271"/>
    <w:rsid w:val="00935A18"/>
    <w:rsid w:val="00946A3D"/>
    <w:rsid w:val="009504E9"/>
    <w:rsid w:val="009529C4"/>
    <w:rsid w:val="00956BB1"/>
    <w:rsid w:val="00962D95"/>
    <w:rsid w:val="009721B6"/>
    <w:rsid w:val="00976B0E"/>
    <w:rsid w:val="009815D2"/>
    <w:rsid w:val="009924CD"/>
    <w:rsid w:val="00994C2A"/>
    <w:rsid w:val="009A1723"/>
    <w:rsid w:val="009B50CA"/>
    <w:rsid w:val="009B6565"/>
    <w:rsid w:val="009E587D"/>
    <w:rsid w:val="009F436E"/>
    <w:rsid w:val="00A043FD"/>
    <w:rsid w:val="00A05199"/>
    <w:rsid w:val="00A104FD"/>
    <w:rsid w:val="00A12B4C"/>
    <w:rsid w:val="00A15611"/>
    <w:rsid w:val="00A229C0"/>
    <w:rsid w:val="00A41BFE"/>
    <w:rsid w:val="00A46399"/>
    <w:rsid w:val="00A51B6E"/>
    <w:rsid w:val="00A65093"/>
    <w:rsid w:val="00A656DB"/>
    <w:rsid w:val="00A7373E"/>
    <w:rsid w:val="00A76941"/>
    <w:rsid w:val="00A925A8"/>
    <w:rsid w:val="00A958B2"/>
    <w:rsid w:val="00AA21D7"/>
    <w:rsid w:val="00AB0115"/>
    <w:rsid w:val="00AC03C7"/>
    <w:rsid w:val="00AD4AFF"/>
    <w:rsid w:val="00AF5C0D"/>
    <w:rsid w:val="00B00118"/>
    <w:rsid w:val="00B03375"/>
    <w:rsid w:val="00B143F9"/>
    <w:rsid w:val="00B166E7"/>
    <w:rsid w:val="00B24736"/>
    <w:rsid w:val="00B41FED"/>
    <w:rsid w:val="00B70E4F"/>
    <w:rsid w:val="00B80A8E"/>
    <w:rsid w:val="00B90799"/>
    <w:rsid w:val="00B94578"/>
    <w:rsid w:val="00B97C23"/>
    <w:rsid w:val="00BA720C"/>
    <w:rsid w:val="00BB58F8"/>
    <w:rsid w:val="00BC7D66"/>
    <w:rsid w:val="00BD4325"/>
    <w:rsid w:val="00BD6CAC"/>
    <w:rsid w:val="00BD718A"/>
    <w:rsid w:val="00BE0B9A"/>
    <w:rsid w:val="00BF4826"/>
    <w:rsid w:val="00BF61D1"/>
    <w:rsid w:val="00C10178"/>
    <w:rsid w:val="00C16B1A"/>
    <w:rsid w:val="00C23C6F"/>
    <w:rsid w:val="00C30398"/>
    <w:rsid w:val="00C417FC"/>
    <w:rsid w:val="00C457BC"/>
    <w:rsid w:val="00C76953"/>
    <w:rsid w:val="00C86705"/>
    <w:rsid w:val="00C86D18"/>
    <w:rsid w:val="00C87A3B"/>
    <w:rsid w:val="00C97D0D"/>
    <w:rsid w:val="00CA036A"/>
    <w:rsid w:val="00CA64D8"/>
    <w:rsid w:val="00CD60A3"/>
    <w:rsid w:val="00CD73E0"/>
    <w:rsid w:val="00CF2438"/>
    <w:rsid w:val="00D0084B"/>
    <w:rsid w:val="00D53CB0"/>
    <w:rsid w:val="00D564F1"/>
    <w:rsid w:val="00D60D0E"/>
    <w:rsid w:val="00D71E3F"/>
    <w:rsid w:val="00D73C9A"/>
    <w:rsid w:val="00D83E53"/>
    <w:rsid w:val="00D96947"/>
    <w:rsid w:val="00DA1C09"/>
    <w:rsid w:val="00DA5F5D"/>
    <w:rsid w:val="00DB3BC4"/>
    <w:rsid w:val="00DE77B6"/>
    <w:rsid w:val="00DF7A36"/>
    <w:rsid w:val="00E010CE"/>
    <w:rsid w:val="00E22945"/>
    <w:rsid w:val="00E24855"/>
    <w:rsid w:val="00E24C86"/>
    <w:rsid w:val="00E34760"/>
    <w:rsid w:val="00E50527"/>
    <w:rsid w:val="00E61433"/>
    <w:rsid w:val="00E962D4"/>
    <w:rsid w:val="00EC63D3"/>
    <w:rsid w:val="00ED3261"/>
    <w:rsid w:val="00EE4290"/>
    <w:rsid w:val="00F129BF"/>
    <w:rsid w:val="00F133BC"/>
    <w:rsid w:val="00F35349"/>
    <w:rsid w:val="00F457DA"/>
    <w:rsid w:val="00F52C23"/>
    <w:rsid w:val="00F63E42"/>
    <w:rsid w:val="00F75CCC"/>
    <w:rsid w:val="00FB40B7"/>
    <w:rsid w:val="00FB5B01"/>
    <w:rsid w:val="00FC26AB"/>
    <w:rsid w:val="00FC31E3"/>
    <w:rsid w:val="00FD3EAD"/>
    <w:rsid w:val="00FE4DBD"/>
    <w:rsid w:val="00FE7CC4"/>
    <w:rsid w:val="00FF6399"/>
    <w:rsid w:val="00FF670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8742"/>
  <w15:chartTrackingRefBased/>
  <w15:docId w15:val="{3E637F86-5B25-41E5-A698-A05F44C3E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ABB"/>
    <w:rPr>
      <w:rFonts w:eastAsiaTheme="minorEastAsia"/>
      <w:lang w:val="en-US"/>
    </w:rPr>
  </w:style>
  <w:style w:type="paragraph" w:styleId="Heading1">
    <w:name w:val="heading 1"/>
    <w:basedOn w:val="Normal"/>
    <w:next w:val="Normal"/>
    <w:link w:val="Heading1Char"/>
    <w:uiPriority w:val="9"/>
    <w:qFormat/>
    <w:rsid w:val="00855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5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5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5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5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ABB"/>
    <w:rPr>
      <w:rFonts w:eastAsiaTheme="majorEastAsia" w:cstheme="majorBidi"/>
      <w:color w:val="272727" w:themeColor="text1" w:themeTint="D8"/>
    </w:rPr>
  </w:style>
  <w:style w:type="paragraph" w:styleId="Title">
    <w:name w:val="Title"/>
    <w:basedOn w:val="Normal"/>
    <w:next w:val="Normal"/>
    <w:link w:val="TitleChar"/>
    <w:qFormat/>
    <w:rsid w:val="00855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55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ABB"/>
    <w:pPr>
      <w:spacing w:before="160"/>
      <w:jc w:val="center"/>
    </w:pPr>
    <w:rPr>
      <w:i/>
      <w:iCs/>
      <w:color w:val="404040" w:themeColor="text1" w:themeTint="BF"/>
    </w:rPr>
  </w:style>
  <w:style w:type="character" w:customStyle="1" w:styleId="QuoteChar">
    <w:name w:val="Quote Char"/>
    <w:basedOn w:val="DefaultParagraphFont"/>
    <w:link w:val="Quote"/>
    <w:uiPriority w:val="29"/>
    <w:rsid w:val="00855ABB"/>
    <w:rPr>
      <w:i/>
      <w:iCs/>
      <w:color w:val="404040" w:themeColor="text1" w:themeTint="BF"/>
    </w:rPr>
  </w:style>
  <w:style w:type="paragraph" w:styleId="ListParagraph">
    <w:name w:val="List Paragraph"/>
    <w:basedOn w:val="Normal"/>
    <w:uiPriority w:val="34"/>
    <w:qFormat/>
    <w:rsid w:val="00855ABB"/>
    <w:pPr>
      <w:ind w:left="720"/>
      <w:contextualSpacing/>
    </w:pPr>
  </w:style>
  <w:style w:type="character" w:styleId="IntenseEmphasis">
    <w:name w:val="Intense Emphasis"/>
    <w:basedOn w:val="DefaultParagraphFont"/>
    <w:uiPriority w:val="21"/>
    <w:qFormat/>
    <w:rsid w:val="00855ABB"/>
    <w:rPr>
      <w:i/>
      <w:iCs/>
      <w:color w:val="0F4761" w:themeColor="accent1" w:themeShade="BF"/>
    </w:rPr>
  </w:style>
  <w:style w:type="paragraph" w:styleId="IntenseQuote">
    <w:name w:val="Intense Quote"/>
    <w:basedOn w:val="Normal"/>
    <w:next w:val="Normal"/>
    <w:link w:val="IntenseQuoteChar"/>
    <w:uiPriority w:val="30"/>
    <w:qFormat/>
    <w:rsid w:val="00855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ABB"/>
    <w:rPr>
      <w:i/>
      <w:iCs/>
      <w:color w:val="0F4761" w:themeColor="accent1" w:themeShade="BF"/>
    </w:rPr>
  </w:style>
  <w:style w:type="character" w:styleId="IntenseReference">
    <w:name w:val="Intense Reference"/>
    <w:basedOn w:val="DefaultParagraphFont"/>
    <w:uiPriority w:val="32"/>
    <w:qFormat/>
    <w:rsid w:val="00855ABB"/>
    <w:rPr>
      <w:b/>
      <w:bCs/>
      <w:smallCaps/>
      <w:color w:val="0F4761" w:themeColor="accent1" w:themeShade="BF"/>
      <w:spacing w:val="5"/>
    </w:rPr>
  </w:style>
  <w:style w:type="paragraph" w:customStyle="1" w:styleId="EndNoteBibliography">
    <w:name w:val="EndNote Bibliography"/>
    <w:basedOn w:val="Normal"/>
    <w:link w:val="EndNoteBibliographyChar"/>
    <w:rsid w:val="00855ABB"/>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855ABB"/>
    <w:rPr>
      <w:rFonts w:ascii="Times New Roman" w:eastAsiaTheme="minorEastAsia" w:hAnsi="Times New Roman" w:cs="Times New Roman"/>
      <w:noProof/>
      <w:lang w:val="en-US"/>
    </w:rPr>
  </w:style>
  <w:style w:type="character" w:styleId="Hyperlink">
    <w:name w:val="Hyperlink"/>
    <w:basedOn w:val="DefaultParagraphFont"/>
    <w:uiPriority w:val="99"/>
    <w:unhideWhenUsed/>
    <w:rsid w:val="00855ABB"/>
    <w:rPr>
      <w:color w:val="467886" w:themeColor="hyperlink"/>
      <w:u w:val="single"/>
    </w:rPr>
  </w:style>
  <w:style w:type="character" w:styleId="CommentReference">
    <w:name w:val="annotation reference"/>
    <w:basedOn w:val="DefaultParagraphFont"/>
    <w:uiPriority w:val="99"/>
    <w:semiHidden/>
    <w:unhideWhenUsed/>
    <w:rsid w:val="00855ABB"/>
    <w:rPr>
      <w:sz w:val="16"/>
      <w:szCs w:val="16"/>
    </w:rPr>
  </w:style>
  <w:style w:type="paragraph" w:styleId="CommentText">
    <w:name w:val="annotation text"/>
    <w:basedOn w:val="Normal"/>
    <w:link w:val="CommentTextChar"/>
    <w:uiPriority w:val="99"/>
    <w:unhideWhenUsed/>
    <w:rsid w:val="00855ABB"/>
    <w:pPr>
      <w:spacing w:line="240" w:lineRule="auto"/>
    </w:pPr>
    <w:rPr>
      <w:sz w:val="20"/>
      <w:szCs w:val="20"/>
    </w:rPr>
  </w:style>
  <w:style w:type="character" w:customStyle="1" w:styleId="CommentTextChar">
    <w:name w:val="Comment Text Char"/>
    <w:basedOn w:val="DefaultParagraphFont"/>
    <w:link w:val="CommentText"/>
    <w:uiPriority w:val="99"/>
    <w:rsid w:val="00855ABB"/>
    <w:rPr>
      <w:rFonts w:eastAsiaTheme="minorEastAsia"/>
      <w:sz w:val="20"/>
      <w:szCs w:val="20"/>
      <w:lang w:val="en-US"/>
    </w:rPr>
  </w:style>
  <w:style w:type="paragraph" w:styleId="FootnoteText">
    <w:name w:val="footnote text"/>
    <w:basedOn w:val="Normal"/>
    <w:link w:val="FootnoteTextChar"/>
    <w:uiPriority w:val="99"/>
    <w:semiHidden/>
    <w:unhideWhenUsed/>
    <w:rsid w:val="00855ABB"/>
    <w:pPr>
      <w:spacing w:after="0" w:line="240" w:lineRule="auto"/>
    </w:pPr>
    <w:rPr>
      <w:rFonts w:eastAsiaTheme="minorHAnsi"/>
      <w:sz w:val="20"/>
      <w:szCs w:val="20"/>
      <w:lang w:val="en-NZ"/>
    </w:rPr>
  </w:style>
  <w:style w:type="character" w:customStyle="1" w:styleId="FootnoteTextChar">
    <w:name w:val="Footnote Text Char"/>
    <w:basedOn w:val="DefaultParagraphFont"/>
    <w:link w:val="FootnoteText"/>
    <w:uiPriority w:val="99"/>
    <w:semiHidden/>
    <w:rsid w:val="00855ABB"/>
    <w:rPr>
      <w:sz w:val="20"/>
      <w:szCs w:val="20"/>
    </w:rPr>
  </w:style>
  <w:style w:type="character" w:styleId="FootnoteReference">
    <w:name w:val="footnote reference"/>
    <w:basedOn w:val="DefaultParagraphFont"/>
    <w:uiPriority w:val="99"/>
    <w:unhideWhenUsed/>
    <w:qFormat/>
    <w:rsid w:val="00855ABB"/>
    <w:rPr>
      <w:vertAlign w:val="superscript"/>
    </w:rPr>
  </w:style>
  <w:style w:type="table" w:styleId="TableGrid">
    <w:name w:val="Table Grid"/>
    <w:basedOn w:val="TableNormal"/>
    <w:uiPriority w:val="39"/>
    <w:rsid w:val="00855AB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855ABB"/>
    <w:pPr>
      <w:spacing w:after="200" w:line="240" w:lineRule="auto"/>
    </w:pPr>
    <w:rPr>
      <w:i/>
      <w:iCs/>
      <w:color w:val="0E2841" w:themeColor="text2"/>
      <w:sz w:val="18"/>
      <w:szCs w:val="18"/>
    </w:rPr>
  </w:style>
  <w:style w:type="character" w:customStyle="1" w:styleId="CaptionChar">
    <w:name w:val="Caption Char"/>
    <w:basedOn w:val="DefaultParagraphFont"/>
    <w:link w:val="Caption"/>
    <w:uiPriority w:val="35"/>
    <w:rsid w:val="00855ABB"/>
    <w:rPr>
      <w:rFonts w:eastAsiaTheme="minorEastAsia"/>
      <w:i/>
      <w:iCs/>
      <w:color w:val="0E2841" w:themeColor="text2"/>
      <w:sz w:val="18"/>
      <w:szCs w:val="18"/>
      <w:lang w:val="en-US"/>
    </w:rPr>
  </w:style>
  <w:style w:type="paragraph" w:customStyle="1" w:styleId="EndNoteBibliographyTitle">
    <w:name w:val="EndNote Bibliography Title"/>
    <w:basedOn w:val="Normal"/>
    <w:link w:val="EndNoteBibliographyTitleChar"/>
    <w:rsid w:val="00562B4D"/>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562B4D"/>
    <w:rPr>
      <w:rFonts w:ascii="Times New Roman" w:eastAsiaTheme="minorEastAsia" w:hAnsi="Times New Roman" w:cs="Times New Roman"/>
      <w:noProof/>
      <w:lang w:val="en-US"/>
    </w:rPr>
  </w:style>
  <w:style w:type="character" w:styleId="UnresolvedMention">
    <w:name w:val="Unresolved Mention"/>
    <w:basedOn w:val="DefaultParagraphFont"/>
    <w:uiPriority w:val="99"/>
    <w:semiHidden/>
    <w:unhideWhenUsed/>
    <w:rsid w:val="00562B4D"/>
    <w:rPr>
      <w:color w:val="605E5C"/>
      <w:shd w:val="clear" w:color="auto" w:fill="E1DFDD"/>
    </w:rPr>
  </w:style>
  <w:style w:type="character" w:styleId="FollowedHyperlink">
    <w:name w:val="FollowedHyperlink"/>
    <w:basedOn w:val="DefaultParagraphFont"/>
    <w:uiPriority w:val="99"/>
    <w:semiHidden/>
    <w:unhideWhenUsed/>
    <w:rsid w:val="00562B4D"/>
    <w:rPr>
      <w:color w:val="96607D" w:themeColor="followedHyperlink"/>
      <w:u w:val="single"/>
    </w:rPr>
  </w:style>
  <w:style w:type="character" w:styleId="PlaceholderText">
    <w:name w:val="Placeholder Text"/>
    <w:basedOn w:val="DefaultParagraphFont"/>
    <w:uiPriority w:val="99"/>
    <w:semiHidden/>
    <w:rsid w:val="00562B4D"/>
    <w:rPr>
      <w:color w:val="666666"/>
    </w:rPr>
  </w:style>
  <w:style w:type="table" w:styleId="ListTable1Light">
    <w:name w:val="List Table 1 Light"/>
    <w:basedOn w:val="TableNormal"/>
    <w:uiPriority w:val="46"/>
    <w:rsid w:val="00562B4D"/>
    <w:pPr>
      <w:spacing w:after="0"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562B4D"/>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62B4D"/>
    <w:rPr>
      <w:b/>
      <w:bCs/>
    </w:rPr>
  </w:style>
  <w:style w:type="character" w:customStyle="1" w:styleId="CommentSubjectChar">
    <w:name w:val="Comment Subject Char"/>
    <w:basedOn w:val="CommentTextChar"/>
    <w:link w:val="CommentSubject"/>
    <w:uiPriority w:val="99"/>
    <w:semiHidden/>
    <w:rsid w:val="00562B4D"/>
    <w:rPr>
      <w:rFonts w:eastAsiaTheme="minorEastAsia"/>
      <w:b/>
      <w:bCs/>
      <w:sz w:val="20"/>
      <w:szCs w:val="20"/>
      <w:lang w:val="en-US"/>
    </w:rPr>
  </w:style>
  <w:style w:type="paragraph" w:styleId="Header">
    <w:name w:val="header"/>
    <w:basedOn w:val="Normal"/>
    <w:link w:val="HeaderChar"/>
    <w:uiPriority w:val="99"/>
    <w:unhideWhenUsed/>
    <w:rsid w:val="00562B4D"/>
    <w:pPr>
      <w:tabs>
        <w:tab w:val="center" w:pos="4252"/>
        <w:tab w:val="right" w:pos="8504"/>
      </w:tabs>
      <w:spacing w:after="0" w:line="240" w:lineRule="auto"/>
    </w:pPr>
  </w:style>
  <w:style w:type="character" w:customStyle="1" w:styleId="HeaderChar">
    <w:name w:val="Header Char"/>
    <w:basedOn w:val="DefaultParagraphFont"/>
    <w:link w:val="Header"/>
    <w:uiPriority w:val="99"/>
    <w:rsid w:val="00562B4D"/>
    <w:rPr>
      <w:rFonts w:eastAsiaTheme="minorEastAsia"/>
      <w:lang w:val="en-US"/>
    </w:rPr>
  </w:style>
  <w:style w:type="paragraph" w:styleId="Footer">
    <w:name w:val="footer"/>
    <w:basedOn w:val="Normal"/>
    <w:link w:val="FooterChar"/>
    <w:uiPriority w:val="99"/>
    <w:unhideWhenUsed/>
    <w:rsid w:val="00562B4D"/>
    <w:pPr>
      <w:tabs>
        <w:tab w:val="center" w:pos="4252"/>
        <w:tab w:val="right" w:pos="8504"/>
      </w:tabs>
      <w:spacing w:after="0" w:line="240" w:lineRule="auto"/>
    </w:pPr>
  </w:style>
  <w:style w:type="character" w:customStyle="1" w:styleId="FooterChar">
    <w:name w:val="Footer Char"/>
    <w:basedOn w:val="DefaultParagraphFont"/>
    <w:link w:val="Footer"/>
    <w:uiPriority w:val="99"/>
    <w:rsid w:val="00562B4D"/>
    <w:rPr>
      <w:rFonts w:eastAsiaTheme="minorEastAsia"/>
      <w:lang w:val="en-US"/>
    </w:rPr>
  </w:style>
  <w:style w:type="paragraph" w:styleId="Revision">
    <w:name w:val="Revision"/>
    <w:hidden/>
    <w:uiPriority w:val="99"/>
    <w:semiHidden/>
    <w:rsid w:val="00562B4D"/>
    <w:pPr>
      <w:spacing w:after="0" w:line="240" w:lineRule="auto"/>
    </w:pPr>
    <w:rPr>
      <w:rFonts w:eastAsiaTheme="minorEastAsia"/>
    </w:rPr>
  </w:style>
  <w:style w:type="table" w:styleId="PlainTable2">
    <w:name w:val="Plain Table 2"/>
    <w:basedOn w:val="TableNormal"/>
    <w:uiPriority w:val="42"/>
    <w:rsid w:val="00562B4D"/>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62B4D"/>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rsid w:val="00562B4D"/>
    <w:pPr>
      <w:spacing w:after="0" w:line="240" w:lineRule="auto"/>
    </w:pPr>
    <w:rPr>
      <w:rFonts w:ascii="Times New Roman" w:eastAsia="Times New Roman" w:hAnsi="Times New Roman" w:cs="Times New Roman"/>
      <w:color w:val="000000"/>
      <w:kern w:val="0"/>
      <w14:ligatures w14:val="none"/>
    </w:rPr>
  </w:style>
  <w:style w:type="character" w:customStyle="1" w:styleId="BodyTextChar">
    <w:name w:val="Body Text Char"/>
    <w:basedOn w:val="DefaultParagraphFont"/>
    <w:link w:val="BodyText"/>
    <w:rsid w:val="00562B4D"/>
    <w:rPr>
      <w:rFonts w:ascii="Times New Roman" w:eastAsia="Times New Roman" w:hAnsi="Times New Roman" w:cs="Times New Roman"/>
      <w:color w:val="000000"/>
      <w:kern w:val="0"/>
      <w:lang w:val="en-US"/>
      <w14:ligatures w14:val="none"/>
    </w:rPr>
  </w:style>
  <w:style w:type="paragraph" w:styleId="HTMLPreformatted">
    <w:name w:val="HTML Preformatted"/>
    <w:basedOn w:val="Normal"/>
    <w:link w:val="HTMLPreformattedChar"/>
    <w:uiPriority w:val="99"/>
    <w:semiHidden/>
    <w:unhideWhenUsed/>
    <w:rsid w:val="00562B4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2B4D"/>
    <w:rPr>
      <w:rFonts w:ascii="Consolas" w:eastAsiaTheme="minorEastAsia" w:hAnsi="Consolas"/>
      <w:sz w:val="20"/>
      <w:szCs w:val="20"/>
      <w:lang w:val="en-US"/>
    </w:rPr>
  </w:style>
  <w:style w:type="paragraph" w:styleId="List">
    <w:name w:val="List"/>
    <w:basedOn w:val="Normal"/>
    <w:uiPriority w:val="99"/>
    <w:unhideWhenUsed/>
    <w:rsid w:val="00562B4D"/>
    <w:pPr>
      <w:ind w:left="283" w:hanging="283"/>
      <w:contextualSpacing/>
    </w:pPr>
  </w:style>
  <w:style w:type="paragraph" w:styleId="List3">
    <w:name w:val="List 3"/>
    <w:basedOn w:val="Normal"/>
    <w:uiPriority w:val="99"/>
    <w:unhideWhenUsed/>
    <w:rsid w:val="00562B4D"/>
    <w:pPr>
      <w:ind w:left="849" w:hanging="283"/>
      <w:contextualSpacing/>
    </w:pPr>
  </w:style>
  <w:style w:type="paragraph" w:styleId="ListBullet">
    <w:name w:val="List Bullet"/>
    <w:basedOn w:val="Normal"/>
    <w:uiPriority w:val="99"/>
    <w:unhideWhenUsed/>
    <w:rsid w:val="00562B4D"/>
    <w:pPr>
      <w:numPr>
        <w:numId w:val="18"/>
      </w:numPr>
      <w:tabs>
        <w:tab w:val="clear" w:pos="360"/>
      </w:tabs>
      <w:ind w:left="0" w:firstLine="0"/>
      <w:contextualSpacing/>
    </w:pPr>
  </w:style>
  <w:style w:type="paragraph" w:styleId="ListBullet2">
    <w:name w:val="List Bullet 2"/>
    <w:basedOn w:val="Normal"/>
    <w:uiPriority w:val="99"/>
    <w:unhideWhenUsed/>
    <w:rsid w:val="00562B4D"/>
    <w:pPr>
      <w:numPr>
        <w:numId w:val="19"/>
      </w:numPr>
      <w:tabs>
        <w:tab w:val="clear" w:pos="643"/>
      </w:tabs>
      <w:ind w:left="0" w:firstLine="0"/>
      <w:contextualSpacing/>
    </w:pPr>
  </w:style>
  <w:style w:type="paragraph" w:styleId="ListContinue">
    <w:name w:val="List Continue"/>
    <w:basedOn w:val="Normal"/>
    <w:uiPriority w:val="99"/>
    <w:unhideWhenUsed/>
    <w:rsid w:val="00562B4D"/>
    <w:pPr>
      <w:spacing w:after="120"/>
      <w:ind w:left="283"/>
      <w:contextualSpacing/>
    </w:pPr>
  </w:style>
  <w:style w:type="paragraph" w:customStyle="1" w:styleId="Lneadeautor">
    <w:name w:val="Línea de autor"/>
    <w:basedOn w:val="BodyText"/>
    <w:rsid w:val="00562B4D"/>
  </w:style>
  <w:style w:type="paragraph" w:styleId="BodyTextIndent">
    <w:name w:val="Body Text Indent"/>
    <w:basedOn w:val="Normal"/>
    <w:link w:val="BodyTextIndentChar"/>
    <w:uiPriority w:val="99"/>
    <w:semiHidden/>
    <w:unhideWhenUsed/>
    <w:rsid w:val="00562B4D"/>
    <w:pPr>
      <w:spacing w:after="120"/>
      <w:ind w:left="283"/>
    </w:pPr>
  </w:style>
  <w:style w:type="character" w:customStyle="1" w:styleId="BodyTextIndentChar">
    <w:name w:val="Body Text Indent Char"/>
    <w:basedOn w:val="DefaultParagraphFont"/>
    <w:link w:val="BodyTextIndent"/>
    <w:uiPriority w:val="99"/>
    <w:semiHidden/>
    <w:rsid w:val="00562B4D"/>
    <w:rPr>
      <w:rFonts w:eastAsiaTheme="minorEastAsia"/>
      <w:lang w:val="en-US"/>
    </w:rPr>
  </w:style>
  <w:style w:type="paragraph" w:styleId="BodyTextFirstIndent2">
    <w:name w:val="Body Text First Indent 2"/>
    <w:basedOn w:val="BodyTextIndent"/>
    <w:link w:val="BodyTextFirstIndent2Char"/>
    <w:uiPriority w:val="99"/>
    <w:unhideWhenUsed/>
    <w:rsid w:val="00562B4D"/>
    <w:pPr>
      <w:spacing w:after="160"/>
      <w:ind w:left="360" w:firstLine="360"/>
    </w:pPr>
  </w:style>
  <w:style w:type="character" w:customStyle="1" w:styleId="BodyTextFirstIndent2Char">
    <w:name w:val="Body Text First Indent 2 Char"/>
    <w:basedOn w:val="BodyTextIndentChar"/>
    <w:link w:val="BodyTextFirstIndent2"/>
    <w:uiPriority w:val="99"/>
    <w:rsid w:val="00562B4D"/>
    <w:rPr>
      <w:rFonts w:eastAsiaTheme="minorEastAsia"/>
      <w:lang w:val="en-US"/>
    </w:rPr>
  </w:style>
  <w:style w:type="character" w:styleId="Emphasis">
    <w:name w:val="Emphasis"/>
    <w:basedOn w:val="DefaultParagraphFont"/>
    <w:uiPriority w:val="20"/>
    <w:qFormat/>
    <w:rsid w:val="00562B4D"/>
    <w:rPr>
      <w:i/>
      <w:iCs/>
    </w:rPr>
  </w:style>
  <w:style w:type="table" w:styleId="GridTable1Light">
    <w:name w:val="Grid Table 1 Light"/>
    <w:basedOn w:val="TableNormal"/>
    <w:uiPriority w:val="46"/>
    <w:rsid w:val="00562B4D"/>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stilo1">
    <w:name w:val="Estilo1"/>
    <w:basedOn w:val="Caption"/>
    <w:link w:val="Estilo1Car"/>
    <w:rsid w:val="00562B4D"/>
    <w:pPr>
      <w:jc w:val="both"/>
    </w:pPr>
    <w:rPr>
      <w:rFonts w:ascii="Times New Roman" w:hAnsi="Times New Roman" w:cs="Times New Roman"/>
      <w:b/>
      <w:bCs/>
    </w:rPr>
  </w:style>
  <w:style w:type="character" w:customStyle="1" w:styleId="Estilo1Car">
    <w:name w:val="Estilo1 Car"/>
    <w:basedOn w:val="CaptionChar"/>
    <w:link w:val="Estilo1"/>
    <w:rsid w:val="00562B4D"/>
    <w:rPr>
      <w:rFonts w:ascii="Times New Roman" w:eastAsiaTheme="minorEastAsia" w:hAnsi="Times New Roman" w:cs="Times New Roman"/>
      <w:b/>
      <w:bCs/>
      <w:i/>
      <w:iCs/>
      <w:color w:val="0E2841" w:themeColor="text2"/>
      <w:sz w:val="18"/>
      <w:szCs w:val="18"/>
      <w:lang w:val="en-US"/>
    </w:rPr>
  </w:style>
  <w:style w:type="paragraph" w:customStyle="1" w:styleId="Default">
    <w:name w:val="Default"/>
    <w:rsid w:val="00BF4826"/>
    <w:pPr>
      <w:autoSpaceDE w:val="0"/>
      <w:autoSpaceDN w:val="0"/>
      <w:adjustRightInd w:val="0"/>
      <w:spacing w:after="0" w:line="240" w:lineRule="auto"/>
    </w:pPr>
    <w:rPr>
      <w:rFonts w:ascii="Cambria" w:eastAsia="Calibri" w:hAnsi="Cambria" w:cs="Cambria"/>
      <w:color w:val="000000"/>
      <w:kern w:val="0"/>
      <w:lang w:eastAsia="en-NZ"/>
      <w14:ligatures w14:val="none"/>
    </w:rPr>
  </w:style>
  <w:style w:type="paragraph" w:customStyle="1" w:styleId="CM1">
    <w:name w:val="CM1"/>
    <w:basedOn w:val="Default"/>
    <w:next w:val="Default"/>
    <w:rsid w:val="00BF4826"/>
    <w:pPr>
      <w:widowControl w:val="0"/>
      <w:spacing w:line="323" w:lineRule="atLeast"/>
    </w:pPr>
    <w:rPr>
      <w:rFonts w:ascii="Times New Roman" w:eastAsia="Times New Roman" w:hAnsi="Times New Roman" w:cs="Times New Roman"/>
      <w:color w:val="auto"/>
      <w:lang w:val="en-US" w:eastAsia="en-US"/>
    </w:rPr>
  </w:style>
  <w:style w:type="paragraph" w:customStyle="1" w:styleId="CM20">
    <w:name w:val="CM20"/>
    <w:basedOn w:val="Default"/>
    <w:next w:val="Default"/>
    <w:rsid w:val="00BF4826"/>
    <w:pPr>
      <w:widowControl w:val="0"/>
      <w:spacing w:after="1503"/>
    </w:pPr>
    <w:rPr>
      <w:rFonts w:ascii="Times New Roman" w:eastAsia="Times New Roman" w:hAnsi="Times New Roman" w:cs="Times New Roman"/>
      <w:color w:val="auto"/>
      <w:lang w:val="en-US" w:eastAsia="en-US"/>
    </w:rPr>
  </w:style>
  <w:style w:type="paragraph" w:customStyle="1" w:styleId="CM3">
    <w:name w:val="CM3"/>
    <w:basedOn w:val="Default"/>
    <w:next w:val="Default"/>
    <w:rsid w:val="00BF4826"/>
    <w:pPr>
      <w:widowControl w:val="0"/>
    </w:pPr>
    <w:rPr>
      <w:rFonts w:ascii="Times New Roman" w:eastAsia="Times New Roman" w:hAnsi="Times New Roman" w:cs="Times New Roman"/>
      <w:color w:val="auto"/>
      <w:lang w:val="en-US" w:eastAsia="en-US"/>
    </w:rPr>
  </w:style>
  <w:style w:type="paragraph" w:customStyle="1" w:styleId="CM22">
    <w:name w:val="CM22"/>
    <w:basedOn w:val="Default"/>
    <w:next w:val="Default"/>
    <w:rsid w:val="00BF4826"/>
    <w:pPr>
      <w:widowControl w:val="0"/>
      <w:spacing w:after="65"/>
    </w:pPr>
    <w:rPr>
      <w:rFonts w:ascii="Times New Roman" w:eastAsia="Times New Roman" w:hAnsi="Times New Roman" w:cs="Times New Roman"/>
      <w:color w:val="auto"/>
      <w:lang w:val="en-US" w:eastAsia="en-US"/>
    </w:rPr>
  </w:style>
  <w:style w:type="paragraph" w:customStyle="1" w:styleId="CM4">
    <w:name w:val="CM4"/>
    <w:basedOn w:val="Default"/>
    <w:next w:val="Default"/>
    <w:rsid w:val="00BF4826"/>
    <w:pPr>
      <w:widowControl w:val="0"/>
      <w:spacing w:line="253" w:lineRule="atLeast"/>
    </w:pPr>
    <w:rPr>
      <w:rFonts w:ascii="Times New Roman" w:eastAsia="Times New Roman" w:hAnsi="Times New Roman" w:cs="Times New Roman"/>
      <w:color w:val="auto"/>
      <w:lang w:val="en-US" w:eastAsia="en-US"/>
    </w:rPr>
  </w:style>
  <w:style w:type="paragraph" w:customStyle="1" w:styleId="CM23">
    <w:name w:val="CM23"/>
    <w:basedOn w:val="Default"/>
    <w:next w:val="Default"/>
    <w:rsid w:val="00BF4826"/>
    <w:pPr>
      <w:widowControl w:val="0"/>
      <w:spacing w:after="233"/>
    </w:pPr>
    <w:rPr>
      <w:rFonts w:ascii="Times New Roman" w:eastAsia="Times New Roman" w:hAnsi="Times New Roman" w:cs="Times New Roman"/>
      <w:color w:val="auto"/>
      <w:lang w:val="en-US" w:eastAsia="en-US"/>
    </w:rPr>
  </w:style>
  <w:style w:type="character" w:styleId="BookTitle">
    <w:name w:val="Book Title"/>
    <w:basedOn w:val="DefaultParagraphFont"/>
    <w:uiPriority w:val="33"/>
    <w:qFormat/>
    <w:rsid w:val="00BB58F8"/>
    <w:rPr>
      <w:b/>
      <w:bCs/>
      <w:i/>
      <w:iCs/>
      <w:spacing w:val="5"/>
    </w:rPr>
  </w:style>
  <w:style w:type="paragraph" w:styleId="NoSpacing">
    <w:name w:val="No Spacing"/>
    <w:uiPriority w:val="1"/>
    <w:qFormat/>
    <w:rsid w:val="00BB58F8"/>
    <w:pPr>
      <w:spacing w:after="0" w:line="240" w:lineRule="auto"/>
    </w:pPr>
    <w:rPr>
      <w:rFonts w:eastAsiaTheme="minorEastAsia"/>
      <w:lang w:val="en-US"/>
    </w:rPr>
  </w:style>
  <w:style w:type="character" w:styleId="Strong">
    <w:name w:val="Strong"/>
    <w:basedOn w:val="DefaultParagraphFont"/>
    <w:uiPriority w:val="22"/>
    <w:qFormat/>
    <w:rsid w:val="00BB58F8"/>
    <w:rPr>
      <w:b/>
      <w:bCs/>
    </w:rPr>
  </w:style>
  <w:style w:type="character" w:styleId="SubtleEmphasis">
    <w:name w:val="Subtle Emphasis"/>
    <w:basedOn w:val="DefaultParagraphFont"/>
    <w:uiPriority w:val="19"/>
    <w:qFormat/>
    <w:rsid w:val="00BB58F8"/>
    <w:rPr>
      <w:i/>
      <w:iCs/>
      <w:color w:val="404040" w:themeColor="text1" w:themeTint="BF"/>
    </w:rPr>
  </w:style>
  <w:style w:type="character" w:styleId="SubtleReference">
    <w:name w:val="Subtle Reference"/>
    <w:basedOn w:val="DefaultParagraphFont"/>
    <w:uiPriority w:val="31"/>
    <w:qFormat/>
    <w:rsid w:val="00BB58F8"/>
    <w:rPr>
      <w:smallCaps/>
      <w:color w:val="5A5A5A" w:themeColor="text1" w:themeTint="A5"/>
    </w:rPr>
  </w:style>
  <w:style w:type="paragraph" w:styleId="TOCHeading">
    <w:name w:val="TOC Heading"/>
    <w:basedOn w:val="Heading1"/>
    <w:next w:val="Normal"/>
    <w:uiPriority w:val="39"/>
    <w:semiHidden/>
    <w:unhideWhenUsed/>
    <w:qFormat/>
    <w:rsid w:val="00BB58F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5D57B-08C5-4EE4-A324-CB784C515278}">
  <ds:schemaRefs>
    <ds:schemaRef ds:uri="http://schemas.openxmlformats.org/officeDocument/2006/bibliography"/>
  </ds:schemaRefs>
</ds:datastoreItem>
</file>

<file path=docMetadata/LabelInfo.xml><?xml version="1.0" encoding="utf-8"?>
<clbl:labelList xmlns:clbl="http://schemas.microsoft.com/office/2020/mipLabelMetadata">
  <clbl:label id="{220f5dc3-9452-48e5-9b4f-888df42f7a2d}" enabled="0" method="" siteId="{220f5dc3-9452-48e5-9b4f-888df42f7a2d}" removed="1"/>
</clbl:labelList>
</file>

<file path=docProps/app.xml><?xml version="1.0" encoding="utf-8"?>
<Properties xmlns="http://schemas.openxmlformats.org/officeDocument/2006/extended-properties" xmlns:vt="http://schemas.openxmlformats.org/officeDocument/2006/docPropsVTypes">
  <Template>Normal</Template>
  <TotalTime>2</TotalTime>
  <Pages>39</Pages>
  <Words>12930</Words>
  <Characters>69953</Characters>
  <Application>Microsoft Office Word</Application>
  <DocSecurity>0</DocSecurity>
  <Lines>1427</Lines>
  <Paragraphs>702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Tucker</dc:creator>
  <cp:keywords/>
  <dc:description/>
  <cp:lastModifiedBy>Geua Boe-Gibson</cp:lastModifiedBy>
  <cp:revision>2</cp:revision>
  <cp:lastPrinted>2026-09-06T03:22:00Z</cp:lastPrinted>
  <dcterms:created xsi:type="dcterms:W3CDTF">2026-09-15T05:33:00Z</dcterms:created>
  <dcterms:modified xsi:type="dcterms:W3CDTF">2026-09-15T05:33:00Z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2332382f-2311-4267-8d44-c40373a5f1c1</vt:lpwstr>
  </property>
</Properties>
</file>